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C8F06A">
      <w:pPr>
        <w:keepNext w:val="0"/>
        <w:keepLines w:val="0"/>
        <w:pageBreakBefore w:val="0"/>
        <w:widowControl w:val="0"/>
        <w:kinsoku/>
        <w:wordWrap/>
        <w:overflowPunct/>
        <w:topLinePunct w:val="0"/>
        <w:autoSpaceDE/>
        <w:autoSpaceDN/>
        <w:bidi w:val="0"/>
        <w:adjustRightInd/>
        <w:snapToGrid/>
        <w:spacing w:before="2497" w:beforeLines="800"/>
        <w:jc w:val="center"/>
        <w:textAlignment w:val="auto"/>
        <w:rPr>
          <w:b/>
          <w:bCs/>
          <w:color w:val="auto"/>
          <w:sz w:val="72"/>
          <w:szCs w:val="72"/>
          <w:highlight w:val="none"/>
        </w:rPr>
      </w:pPr>
      <w:r>
        <w:rPr>
          <w:b/>
          <w:bCs/>
          <w:color w:val="auto"/>
          <w:sz w:val="72"/>
          <w:szCs w:val="72"/>
          <w:highlight w:val="none"/>
        </w:rPr>
        <w:t>建设项目</w:t>
      </w:r>
      <w:r>
        <w:rPr>
          <w:rFonts w:hint="eastAsia"/>
          <w:b/>
          <w:bCs/>
          <w:color w:val="auto"/>
          <w:sz w:val="72"/>
          <w:szCs w:val="72"/>
          <w:highlight w:val="none"/>
          <w:lang w:val="en-US" w:eastAsia="zh-CN"/>
        </w:rPr>
        <w:t>生态</w:t>
      </w:r>
      <w:r>
        <w:rPr>
          <w:b/>
          <w:bCs/>
          <w:color w:val="auto"/>
          <w:sz w:val="72"/>
          <w:szCs w:val="72"/>
          <w:highlight w:val="none"/>
        </w:rPr>
        <w:t>环境影响报告表</w:t>
      </w:r>
    </w:p>
    <w:p w14:paraId="5CBC10B0">
      <w:pPr>
        <w:keepNext w:val="0"/>
        <w:keepLines w:val="0"/>
        <w:pageBreakBefore w:val="0"/>
        <w:widowControl w:val="0"/>
        <w:kinsoku/>
        <w:wordWrap/>
        <w:overflowPunct/>
        <w:topLinePunct w:val="0"/>
        <w:autoSpaceDE/>
        <w:autoSpaceDN/>
        <w:bidi w:val="0"/>
        <w:adjustRightInd w:val="0"/>
        <w:snapToGrid w:val="0"/>
        <w:spacing w:before="192" w:beforeLines="80" w:after="1249" w:afterLines="400" w:line="360" w:lineRule="auto"/>
        <w:ind w:firstLine="0"/>
        <w:jc w:val="center"/>
        <w:textAlignment w:val="auto"/>
        <w:rPr>
          <w:rFonts w:eastAsia="楷体_GB2312"/>
          <w:bCs/>
          <w:color w:val="auto"/>
          <w:sz w:val="48"/>
          <w:szCs w:val="48"/>
          <w:highlight w:val="none"/>
        </w:rPr>
      </w:pPr>
      <w:r>
        <w:rPr>
          <w:rFonts w:eastAsia="楷体_GB2312"/>
          <w:bCs/>
          <w:color w:val="auto"/>
          <w:sz w:val="48"/>
          <w:szCs w:val="48"/>
          <w:highlight w:val="none"/>
        </w:rPr>
        <w:t>（污染影响类）</w:t>
      </w:r>
    </w:p>
    <w:p w14:paraId="573645C3">
      <w:pPr>
        <w:keepNext w:val="0"/>
        <w:keepLines w:val="0"/>
        <w:pageBreakBefore w:val="0"/>
        <w:widowControl w:val="0"/>
        <w:kinsoku/>
        <w:wordWrap/>
        <w:overflowPunct/>
        <w:topLinePunct w:val="0"/>
        <w:autoSpaceDE/>
        <w:autoSpaceDN/>
        <w:bidi w:val="0"/>
        <w:adjustRightInd w:val="0"/>
        <w:snapToGrid w:val="0"/>
        <w:spacing w:before="192" w:beforeLines="80" w:after="1249" w:afterLines="400" w:line="360" w:lineRule="auto"/>
        <w:ind w:firstLine="0"/>
        <w:jc w:val="both"/>
        <w:textAlignment w:val="auto"/>
        <w:rPr>
          <w:rFonts w:eastAsia="楷体_GB2312"/>
          <w:bCs/>
          <w:color w:val="auto"/>
          <w:sz w:val="48"/>
          <w:szCs w:val="48"/>
          <w:highlight w:val="none"/>
        </w:rPr>
      </w:pPr>
    </w:p>
    <w:p w14:paraId="63761E2B">
      <w:pPr>
        <w:keepNext w:val="0"/>
        <w:keepLines w:val="0"/>
        <w:pageBreakBefore w:val="0"/>
        <w:widowControl w:val="0"/>
        <w:kinsoku/>
        <w:wordWrap/>
        <w:overflowPunct/>
        <w:topLinePunct w:val="0"/>
        <w:autoSpaceDE/>
        <w:autoSpaceDN/>
        <w:bidi w:val="0"/>
        <w:adjustRightInd w:val="0"/>
        <w:snapToGrid w:val="0"/>
        <w:spacing w:before="192" w:beforeLines="80" w:after="1249" w:afterLines="400" w:line="360" w:lineRule="auto"/>
        <w:ind w:firstLine="0"/>
        <w:jc w:val="center"/>
        <w:textAlignment w:val="auto"/>
        <w:rPr>
          <w:rFonts w:eastAsia="楷体_GB2312"/>
          <w:bCs/>
          <w:color w:val="auto"/>
          <w:sz w:val="48"/>
          <w:szCs w:val="48"/>
          <w:highlight w:val="none"/>
        </w:rPr>
      </w:pPr>
    </w:p>
    <w:p w14:paraId="2021E106">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eastAsia="仿宋_GB2312"/>
          <w:color w:val="auto"/>
          <w:sz w:val="32"/>
          <w:szCs w:val="32"/>
          <w:highlight w:val="none"/>
          <w:u w:val="single"/>
        </w:rPr>
      </w:pPr>
      <w:bookmarkStart w:id="0" w:name="_Hlk57884087"/>
      <w:r>
        <w:rPr>
          <w:rFonts w:eastAsia="仿宋_GB2312"/>
          <w:color w:val="auto"/>
          <w:sz w:val="36"/>
          <w:szCs w:val="36"/>
          <w:highlight w:val="none"/>
        </w:rPr>
        <w:t>项目名称：</w:t>
      </w:r>
      <w:r>
        <w:rPr>
          <w:rFonts w:hint="eastAsia" w:eastAsia="仿宋_GB2312"/>
          <w:color w:val="auto"/>
          <w:sz w:val="36"/>
          <w:szCs w:val="36"/>
          <w:highlight w:val="none"/>
          <w:u w:val="single"/>
          <w:lang w:eastAsia="zh-CN"/>
        </w:rPr>
        <w:t>盛邦鞋业产研智造基地</w:t>
      </w:r>
    </w:p>
    <w:p w14:paraId="4EC277D9">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eastAsia="仿宋_GB2312"/>
          <w:color w:val="auto"/>
          <w:sz w:val="36"/>
          <w:szCs w:val="36"/>
          <w:highlight w:val="none"/>
          <w:u w:val="single"/>
          <w:lang w:eastAsia="zh-CN"/>
        </w:rPr>
      </w:pPr>
      <w:r>
        <w:rPr>
          <w:rFonts w:eastAsia="仿宋_GB2312"/>
          <w:color w:val="auto"/>
          <w:sz w:val="36"/>
          <w:szCs w:val="36"/>
          <w:highlight w:val="none"/>
        </w:rPr>
        <w:t>建设单位（盖章）：</w:t>
      </w:r>
      <w:r>
        <w:rPr>
          <w:rFonts w:hint="eastAsia" w:eastAsia="仿宋_GB2312"/>
          <w:color w:val="auto"/>
          <w:sz w:val="36"/>
          <w:szCs w:val="36"/>
          <w:highlight w:val="none"/>
          <w:u w:val="single"/>
          <w:lang w:eastAsia="zh-CN"/>
        </w:rPr>
        <w:t>中山市盛邦鞋业有限责任公司</w:t>
      </w:r>
    </w:p>
    <w:p w14:paraId="157CA36A">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eastAsia="仿宋_GB2312"/>
          <w:color w:val="auto"/>
          <w:sz w:val="36"/>
          <w:szCs w:val="36"/>
          <w:highlight w:val="none"/>
          <w:u w:val="single"/>
        </w:rPr>
      </w:pPr>
      <w:r>
        <w:rPr>
          <w:rFonts w:eastAsia="仿宋_GB2312"/>
          <w:color w:val="auto"/>
          <w:sz w:val="36"/>
          <w:szCs w:val="36"/>
          <w:highlight w:val="none"/>
        </w:rPr>
        <w:t>编制日期：</w:t>
      </w:r>
      <w:r>
        <w:rPr>
          <w:rFonts w:eastAsia="仿宋_GB2312"/>
          <w:color w:val="auto"/>
          <w:sz w:val="36"/>
          <w:szCs w:val="36"/>
          <w:highlight w:val="none"/>
          <w:u w:val="single"/>
        </w:rPr>
        <w:t>202</w:t>
      </w:r>
      <w:r>
        <w:rPr>
          <w:rFonts w:hint="eastAsia" w:eastAsia="仿宋_GB2312"/>
          <w:color w:val="auto"/>
          <w:sz w:val="36"/>
          <w:szCs w:val="36"/>
          <w:highlight w:val="none"/>
          <w:u w:val="single"/>
          <w:lang w:val="en-US" w:eastAsia="zh-CN"/>
        </w:rPr>
        <w:t>6</w:t>
      </w:r>
      <w:r>
        <w:rPr>
          <w:rFonts w:eastAsia="仿宋_GB2312"/>
          <w:color w:val="auto"/>
          <w:sz w:val="36"/>
          <w:szCs w:val="36"/>
          <w:highlight w:val="none"/>
          <w:u w:val="single"/>
        </w:rPr>
        <w:t>年</w:t>
      </w:r>
      <w:r>
        <w:rPr>
          <w:rFonts w:hint="eastAsia" w:eastAsia="仿宋_GB2312"/>
          <w:color w:val="auto"/>
          <w:sz w:val="36"/>
          <w:szCs w:val="36"/>
          <w:highlight w:val="none"/>
          <w:u w:val="single"/>
          <w:lang w:val="en-US" w:eastAsia="zh-CN"/>
        </w:rPr>
        <w:t xml:space="preserve">  </w:t>
      </w:r>
      <w:r>
        <w:rPr>
          <w:rFonts w:eastAsia="仿宋_GB2312"/>
          <w:color w:val="auto"/>
          <w:sz w:val="36"/>
          <w:szCs w:val="36"/>
          <w:highlight w:val="none"/>
          <w:u w:val="single"/>
        </w:rPr>
        <w:t>月</w:t>
      </w:r>
    </w:p>
    <w:p w14:paraId="6437FBBC">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eastAsia="仿宋_GB2312"/>
          <w:color w:val="auto"/>
          <w:sz w:val="36"/>
          <w:szCs w:val="36"/>
          <w:highlight w:val="none"/>
          <w:u w:val="single"/>
        </w:rPr>
      </w:pPr>
    </w:p>
    <w:p w14:paraId="2175355B">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eastAsia="仿宋_GB2312"/>
          <w:color w:val="auto"/>
          <w:sz w:val="36"/>
          <w:szCs w:val="36"/>
          <w:highlight w:val="none"/>
          <w:u w:val="single"/>
        </w:rPr>
      </w:pPr>
    </w:p>
    <w:p w14:paraId="71199B1C">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eastAsia="仿宋_GB2312"/>
          <w:color w:val="auto"/>
          <w:sz w:val="36"/>
          <w:szCs w:val="36"/>
          <w:highlight w:val="none"/>
          <w:u w:val="single"/>
        </w:rPr>
      </w:pPr>
    </w:p>
    <w:bookmarkEnd w:id="0"/>
    <w:p w14:paraId="7ED1166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eastAsia="楷体_GB2312"/>
          <w:color w:val="auto"/>
          <w:sz w:val="36"/>
          <w:szCs w:val="36"/>
          <w:highlight w:val="none"/>
        </w:rPr>
        <w:sectPr>
          <w:footerReference r:id="rId3" w:type="default"/>
          <w:pgSz w:w="11907" w:h="16839"/>
          <w:pgMar w:top="1440" w:right="1800" w:bottom="1440" w:left="1800" w:header="851" w:footer="567" w:gutter="0"/>
          <w:pgNumType w:start="1"/>
          <w:cols w:space="0" w:num="1"/>
          <w:docGrid w:linePitch="312" w:charSpace="0"/>
        </w:sectPr>
      </w:pPr>
      <w:r>
        <w:rPr>
          <w:rFonts w:eastAsia="楷体_GB2312"/>
          <w:color w:val="auto"/>
          <w:sz w:val="36"/>
          <w:szCs w:val="36"/>
          <w:highlight w:val="none"/>
        </w:rPr>
        <w:t>中华人民共和国生态环境部制</w:t>
      </w:r>
    </w:p>
    <w:p w14:paraId="2CA92B9D">
      <w:pPr>
        <w:pStyle w:val="223"/>
        <w:pageBreakBefore w:val="0"/>
        <w:kinsoku/>
        <w:wordWrap/>
        <w:overflowPunct/>
        <w:topLinePunct w:val="0"/>
        <w:autoSpaceDE/>
        <w:autoSpaceDN/>
        <w:bidi w:val="0"/>
        <w:adjustRightInd/>
        <w:snapToGrid/>
        <w:spacing w:before="0" w:beforeAutospacing="0" w:afterAutospacing="0" w:line="360" w:lineRule="auto"/>
        <w:ind w:firstLine="880" w:firstLineChars="200"/>
        <w:jc w:val="center"/>
        <w:textAlignment w:val="auto"/>
        <w:rPr>
          <w:color w:val="auto"/>
          <w:highlight w:val="none"/>
          <w:lang w:val="zh-CN"/>
        </w:rPr>
      </w:pPr>
      <w:r>
        <w:rPr>
          <w:rFonts w:ascii="Times New Roman" w:hAnsi="Times New Roman" w:cs="Times New Roman"/>
          <w:color w:val="auto"/>
          <w:sz w:val="44"/>
          <w:szCs w:val="44"/>
          <w:highlight w:val="none"/>
          <w:lang w:val="zh-CN"/>
        </w:rPr>
        <w:t>目录</w:t>
      </w:r>
    </w:p>
    <w:p w14:paraId="6489A8C6">
      <w:pPr>
        <w:pStyle w:val="29"/>
        <w:tabs>
          <w:tab w:val="right" w:leader="dot" w:pos="10467"/>
        </w:tabs>
        <w:rPr>
          <w:color w:val="auto"/>
        </w:rPr>
      </w:pPr>
      <w:r>
        <w:rPr>
          <w:rFonts w:ascii="Times New Roman" w:hAnsi="Times New Roman" w:cs="Times New Roman"/>
          <w:color w:val="auto"/>
          <w:highlight w:val="none"/>
        </w:rPr>
        <w:fldChar w:fldCharType="begin"/>
      </w:r>
      <w:r>
        <w:rPr>
          <w:rFonts w:ascii="Times New Roman" w:hAnsi="Times New Roman" w:cs="Times New Roman"/>
          <w:color w:val="auto"/>
          <w:highlight w:val="none"/>
        </w:rPr>
        <w:instrText xml:space="preserve">TOC\o"1-3"\h\z\u</w:instrText>
      </w:r>
      <w:r>
        <w:rPr>
          <w:rFonts w:ascii="Times New Roman" w:hAnsi="Times New Roman" w:cs="Times New Roman"/>
          <w:color w:val="auto"/>
          <w:highlight w:val="none"/>
        </w:rPr>
        <w:fldChar w:fldCharType="separate"/>
      </w:r>
      <w:r>
        <w:rPr>
          <w:rFonts w:ascii="Times New Roman" w:hAnsi="Times New Roman" w:cs="Times New Roman"/>
          <w:color w:val="auto"/>
          <w:highlight w:val="none"/>
        </w:rPr>
        <w:fldChar w:fldCharType="begin"/>
      </w:r>
      <w:r>
        <w:rPr>
          <w:rFonts w:ascii="Times New Roman" w:hAnsi="Times New Roman" w:cs="Times New Roman"/>
          <w:color w:val="auto"/>
          <w:highlight w:val="none"/>
        </w:rPr>
        <w:instrText xml:space="preserve"> HYPERLINK \l _Toc1120 </w:instrText>
      </w:r>
      <w:r>
        <w:rPr>
          <w:rFonts w:ascii="Times New Roman" w:hAnsi="Times New Roman" w:cs="Times New Roman"/>
          <w:color w:val="auto"/>
          <w:highlight w:val="none"/>
        </w:rPr>
        <w:fldChar w:fldCharType="separate"/>
      </w:r>
      <w:r>
        <w:rPr>
          <w:color w:val="auto"/>
          <w:szCs w:val="52"/>
          <w:highlight w:val="none"/>
        </w:rPr>
        <w:t>一、建设项目基本情况</w:t>
      </w:r>
      <w:r>
        <w:rPr>
          <w:color w:val="auto"/>
        </w:rPr>
        <w:tab/>
      </w:r>
      <w:r>
        <w:rPr>
          <w:color w:val="auto"/>
        </w:rPr>
        <w:fldChar w:fldCharType="begin"/>
      </w:r>
      <w:r>
        <w:rPr>
          <w:color w:val="auto"/>
        </w:rPr>
        <w:instrText xml:space="preserve"> PAGEREF _Toc1120 \h </w:instrText>
      </w:r>
      <w:r>
        <w:rPr>
          <w:color w:val="auto"/>
        </w:rPr>
        <w:fldChar w:fldCharType="separate"/>
      </w:r>
      <w:r>
        <w:rPr>
          <w:color w:val="auto"/>
        </w:rPr>
        <w:t>1</w:t>
      </w:r>
      <w:r>
        <w:rPr>
          <w:color w:val="auto"/>
        </w:rPr>
        <w:fldChar w:fldCharType="end"/>
      </w:r>
      <w:r>
        <w:rPr>
          <w:rFonts w:ascii="Times New Roman" w:hAnsi="Times New Roman" w:cs="Times New Roman"/>
          <w:color w:val="auto"/>
          <w:highlight w:val="none"/>
        </w:rPr>
        <w:fldChar w:fldCharType="end"/>
      </w:r>
    </w:p>
    <w:p w14:paraId="2FA2F911">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_Toc30414 </w:instrText>
      </w:r>
      <w:r>
        <w:rPr>
          <w:rFonts w:hint="default" w:ascii="Times New Roman" w:hAnsi="Times New Roman"/>
          <w:color w:val="auto"/>
          <w:highlight w:val="none"/>
        </w:rPr>
        <w:fldChar w:fldCharType="separate"/>
      </w:r>
      <w:r>
        <w:rPr>
          <w:color w:val="auto"/>
          <w:szCs w:val="52"/>
          <w:highlight w:val="none"/>
        </w:rPr>
        <w:t>二、建设项目工程分析</w:t>
      </w:r>
      <w:r>
        <w:rPr>
          <w:color w:val="auto"/>
        </w:rPr>
        <w:tab/>
      </w:r>
      <w:r>
        <w:rPr>
          <w:color w:val="auto"/>
        </w:rPr>
        <w:fldChar w:fldCharType="begin"/>
      </w:r>
      <w:r>
        <w:rPr>
          <w:color w:val="auto"/>
        </w:rPr>
        <w:instrText xml:space="preserve"> PAGEREF _Toc30414 \h </w:instrText>
      </w:r>
      <w:r>
        <w:rPr>
          <w:color w:val="auto"/>
        </w:rPr>
        <w:fldChar w:fldCharType="separate"/>
      </w:r>
      <w:r>
        <w:rPr>
          <w:color w:val="auto"/>
        </w:rPr>
        <w:t>8</w:t>
      </w:r>
      <w:r>
        <w:rPr>
          <w:color w:val="auto"/>
        </w:rPr>
        <w:fldChar w:fldCharType="end"/>
      </w:r>
      <w:r>
        <w:rPr>
          <w:rFonts w:hint="default" w:ascii="Times New Roman" w:hAnsi="Times New Roman"/>
          <w:color w:val="auto"/>
          <w:highlight w:val="none"/>
        </w:rPr>
        <w:fldChar w:fldCharType="end"/>
      </w:r>
    </w:p>
    <w:p w14:paraId="43B621A9">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_Toc31612 </w:instrText>
      </w:r>
      <w:r>
        <w:rPr>
          <w:rFonts w:hint="default" w:ascii="Times New Roman" w:hAnsi="Times New Roman"/>
          <w:color w:val="auto"/>
          <w:highlight w:val="none"/>
        </w:rPr>
        <w:fldChar w:fldCharType="separate"/>
      </w:r>
      <w:r>
        <w:rPr>
          <w:color w:val="auto"/>
          <w:highlight w:val="none"/>
        </w:rPr>
        <w:t>三、区域环境质量现状、环境保护目标及评价标准</w:t>
      </w:r>
      <w:r>
        <w:rPr>
          <w:color w:val="auto"/>
        </w:rPr>
        <w:tab/>
      </w:r>
      <w:r>
        <w:rPr>
          <w:color w:val="auto"/>
        </w:rPr>
        <w:fldChar w:fldCharType="begin"/>
      </w:r>
      <w:r>
        <w:rPr>
          <w:color w:val="auto"/>
        </w:rPr>
        <w:instrText xml:space="preserve"> PAGEREF _Toc31612 \h </w:instrText>
      </w:r>
      <w:r>
        <w:rPr>
          <w:color w:val="auto"/>
        </w:rPr>
        <w:fldChar w:fldCharType="separate"/>
      </w:r>
      <w:r>
        <w:rPr>
          <w:color w:val="auto"/>
        </w:rPr>
        <w:t>24</w:t>
      </w:r>
      <w:r>
        <w:rPr>
          <w:color w:val="auto"/>
        </w:rPr>
        <w:fldChar w:fldCharType="end"/>
      </w:r>
      <w:r>
        <w:rPr>
          <w:rFonts w:hint="default" w:ascii="Times New Roman" w:hAnsi="Times New Roman"/>
          <w:color w:val="auto"/>
          <w:highlight w:val="none"/>
        </w:rPr>
        <w:fldChar w:fldCharType="end"/>
      </w:r>
    </w:p>
    <w:p w14:paraId="5AD97F2C">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_Toc13629 </w:instrText>
      </w:r>
      <w:r>
        <w:rPr>
          <w:rFonts w:hint="default" w:ascii="Times New Roman" w:hAnsi="Times New Roman"/>
          <w:color w:val="auto"/>
          <w:highlight w:val="none"/>
        </w:rPr>
        <w:fldChar w:fldCharType="separate"/>
      </w:r>
      <w:r>
        <w:rPr>
          <w:color w:val="auto"/>
          <w:highlight w:val="none"/>
        </w:rPr>
        <w:t>四、主要环境影响和保护措施</w:t>
      </w:r>
      <w:r>
        <w:rPr>
          <w:color w:val="auto"/>
        </w:rPr>
        <w:tab/>
      </w:r>
      <w:r>
        <w:rPr>
          <w:color w:val="auto"/>
        </w:rPr>
        <w:fldChar w:fldCharType="begin"/>
      </w:r>
      <w:r>
        <w:rPr>
          <w:color w:val="auto"/>
        </w:rPr>
        <w:instrText xml:space="preserve"> PAGEREF _Toc13629 \h </w:instrText>
      </w:r>
      <w:r>
        <w:rPr>
          <w:color w:val="auto"/>
        </w:rPr>
        <w:fldChar w:fldCharType="separate"/>
      </w:r>
      <w:r>
        <w:rPr>
          <w:color w:val="auto"/>
        </w:rPr>
        <w:t>30</w:t>
      </w:r>
      <w:r>
        <w:rPr>
          <w:color w:val="auto"/>
        </w:rPr>
        <w:fldChar w:fldCharType="end"/>
      </w:r>
      <w:r>
        <w:rPr>
          <w:rFonts w:hint="default" w:ascii="Times New Roman" w:hAnsi="Times New Roman"/>
          <w:color w:val="auto"/>
          <w:highlight w:val="none"/>
        </w:rPr>
        <w:fldChar w:fldCharType="end"/>
      </w:r>
    </w:p>
    <w:p w14:paraId="15D11E19">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_Toc17314 </w:instrText>
      </w:r>
      <w:r>
        <w:rPr>
          <w:rFonts w:hint="default" w:ascii="Times New Roman" w:hAnsi="Times New Roman"/>
          <w:color w:val="auto"/>
          <w:highlight w:val="none"/>
        </w:rPr>
        <w:fldChar w:fldCharType="separate"/>
      </w:r>
      <w:r>
        <w:rPr>
          <w:rFonts w:hint="eastAsia"/>
          <w:color w:val="auto"/>
        </w:rPr>
        <w:t xml:space="preserve">五、 </w:t>
      </w:r>
      <w:r>
        <w:rPr>
          <w:color w:val="auto"/>
          <w:highlight w:val="none"/>
        </w:rPr>
        <w:t>环境保护措施监督检查清单</w:t>
      </w:r>
      <w:r>
        <w:rPr>
          <w:color w:val="auto"/>
        </w:rPr>
        <w:tab/>
      </w:r>
      <w:r>
        <w:rPr>
          <w:color w:val="auto"/>
        </w:rPr>
        <w:fldChar w:fldCharType="begin"/>
      </w:r>
      <w:r>
        <w:rPr>
          <w:color w:val="auto"/>
        </w:rPr>
        <w:instrText xml:space="preserve"> PAGEREF _Toc17314 \h </w:instrText>
      </w:r>
      <w:r>
        <w:rPr>
          <w:color w:val="auto"/>
        </w:rPr>
        <w:fldChar w:fldCharType="separate"/>
      </w:r>
      <w:r>
        <w:rPr>
          <w:color w:val="auto"/>
        </w:rPr>
        <w:t>58</w:t>
      </w:r>
      <w:r>
        <w:rPr>
          <w:color w:val="auto"/>
        </w:rPr>
        <w:fldChar w:fldCharType="end"/>
      </w:r>
      <w:r>
        <w:rPr>
          <w:rFonts w:hint="default" w:ascii="Times New Roman" w:hAnsi="Times New Roman"/>
          <w:color w:val="auto"/>
          <w:highlight w:val="none"/>
        </w:rPr>
        <w:fldChar w:fldCharType="end"/>
      </w:r>
    </w:p>
    <w:p w14:paraId="279ABA12">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_Toc15365 </w:instrText>
      </w:r>
      <w:r>
        <w:rPr>
          <w:rFonts w:hint="default" w:ascii="Times New Roman" w:hAnsi="Times New Roman"/>
          <w:color w:val="auto"/>
          <w:highlight w:val="none"/>
        </w:rPr>
        <w:fldChar w:fldCharType="separate"/>
      </w:r>
      <w:r>
        <w:rPr>
          <w:color w:val="auto"/>
          <w:highlight w:val="none"/>
        </w:rPr>
        <w:t>六、结论</w:t>
      </w:r>
      <w:r>
        <w:rPr>
          <w:color w:val="auto"/>
        </w:rPr>
        <w:tab/>
      </w:r>
      <w:r>
        <w:rPr>
          <w:color w:val="auto"/>
        </w:rPr>
        <w:fldChar w:fldCharType="begin"/>
      </w:r>
      <w:r>
        <w:rPr>
          <w:color w:val="auto"/>
        </w:rPr>
        <w:instrText xml:space="preserve"> PAGEREF _Toc15365 \h </w:instrText>
      </w:r>
      <w:r>
        <w:rPr>
          <w:color w:val="auto"/>
        </w:rPr>
        <w:fldChar w:fldCharType="separate"/>
      </w:r>
      <w:r>
        <w:rPr>
          <w:color w:val="auto"/>
        </w:rPr>
        <w:t>61</w:t>
      </w:r>
      <w:r>
        <w:rPr>
          <w:color w:val="auto"/>
        </w:rPr>
        <w:fldChar w:fldCharType="end"/>
      </w:r>
      <w:r>
        <w:rPr>
          <w:rFonts w:hint="default" w:ascii="Times New Roman" w:hAnsi="Times New Roman"/>
          <w:color w:val="auto"/>
          <w:highlight w:val="none"/>
        </w:rPr>
        <w:fldChar w:fldCharType="end"/>
      </w:r>
    </w:p>
    <w:p w14:paraId="06CEDC51">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_Toc22213 </w:instrText>
      </w:r>
      <w:r>
        <w:rPr>
          <w:rFonts w:hint="default" w:ascii="Times New Roman" w:hAnsi="Times New Roman"/>
          <w:color w:val="auto"/>
          <w:highlight w:val="none"/>
        </w:rPr>
        <w:fldChar w:fldCharType="separate"/>
      </w:r>
      <w:r>
        <w:rPr>
          <w:snapToGrid w:val="0"/>
          <w:color w:val="auto"/>
          <w:highlight w:val="none"/>
        </w:rPr>
        <w:t>附表：</w:t>
      </w:r>
      <w:r>
        <w:rPr>
          <w:color w:val="auto"/>
        </w:rPr>
        <w:tab/>
      </w:r>
      <w:r>
        <w:rPr>
          <w:color w:val="auto"/>
        </w:rPr>
        <w:fldChar w:fldCharType="begin"/>
      </w:r>
      <w:r>
        <w:rPr>
          <w:color w:val="auto"/>
        </w:rPr>
        <w:instrText xml:space="preserve"> PAGEREF _Toc22213 \h </w:instrText>
      </w:r>
      <w:r>
        <w:rPr>
          <w:color w:val="auto"/>
        </w:rPr>
        <w:fldChar w:fldCharType="separate"/>
      </w:r>
      <w:r>
        <w:rPr>
          <w:color w:val="auto"/>
        </w:rPr>
        <w:t>62</w:t>
      </w:r>
      <w:r>
        <w:rPr>
          <w:color w:val="auto"/>
        </w:rPr>
        <w:fldChar w:fldCharType="end"/>
      </w:r>
      <w:r>
        <w:rPr>
          <w:rFonts w:hint="default" w:ascii="Times New Roman" w:hAnsi="Times New Roman"/>
          <w:color w:val="auto"/>
          <w:highlight w:val="none"/>
        </w:rPr>
        <w:fldChar w:fldCharType="end"/>
      </w:r>
    </w:p>
    <w:p w14:paraId="28275D45">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_Toc8889 </w:instrText>
      </w:r>
      <w:r>
        <w:rPr>
          <w:rFonts w:hint="default" w:ascii="Times New Roman" w:hAnsi="Times New Roman"/>
          <w:color w:val="auto"/>
          <w:highlight w:val="none"/>
        </w:rPr>
        <w:fldChar w:fldCharType="separate"/>
      </w:r>
      <w:r>
        <w:rPr>
          <w:color w:val="auto"/>
          <w:highlight w:val="none"/>
        </w:rPr>
        <w:t>附图</w:t>
      </w:r>
      <w:r>
        <w:rPr>
          <w:rFonts w:hint="eastAsia"/>
          <w:color w:val="auto"/>
          <w:highlight w:val="none"/>
          <w:lang w:val="en-US" w:eastAsia="zh-CN"/>
        </w:rPr>
        <w:t>1</w:t>
      </w:r>
      <w:r>
        <w:rPr>
          <w:color w:val="auto"/>
          <w:highlight w:val="none"/>
        </w:rPr>
        <w:t>：建设项目地理位置</w:t>
      </w:r>
      <w:r>
        <w:rPr>
          <w:rFonts w:hint="eastAsia"/>
          <w:color w:val="auto"/>
          <w:highlight w:val="none"/>
          <w:lang w:val="en-US" w:eastAsia="zh-CN"/>
        </w:rPr>
        <w:t>图</w:t>
      </w:r>
      <w:r>
        <w:rPr>
          <w:color w:val="auto"/>
        </w:rPr>
        <w:tab/>
      </w:r>
      <w:r>
        <w:rPr>
          <w:color w:val="auto"/>
        </w:rPr>
        <w:fldChar w:fldCharType="begin"/>
      </w:r>
      <w:r>
        <w:rPr>
          <w:color w:val="auto"/>
        </w:rPr>
        <w:instrText xml:space="preserve"> PAGEREF _Toc8889 \h </w:instrText>
      </w:r>
      <w:r>
        <w:rPr>
          <w:color w:val="auto"/>
        </w:rPr>
        <w:fldChar w:fldCharType="separate"/>
      </w:r>
      <w:r>
        <w:rPr>
          <w:color w:val="auto"/>
        </w:rPr>
        <w:t>63</w:t>
      </w:r>
      <w:r>
        <w:rPr>
          <w:color w:val="auto"/>
        </w:rPr>
        <w:fldChar w:fldCharType="end"/>
      </w:r>
      <w:r>
        <w:rPr>
          <w:rFonts w:hint="default" w:ascii="Times New Roman" w:hAnsi="Times New Roman"/>
          <w:color w:val="auto"/>
          <w:highlight w:val="none"/>
        </w:rPr>
        <w:fldChar w:fldCharType="end"/>
      </w:r>
    </w:p>
    <w:p w14:paraId="240840AD">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_Toc12912 </w:instrText>
      </w:r>
      <w:r>
        <w:rPr>
          <w:rFonts w:hint="default" w:ascii="Times New Roman" w:hAnsi="Times New Roman"/>
          <w:color w:val="auto"/>
          <w:highlight w:val="none"/>
        </w:rPr>
        <w:fldChar w:fldCharType="separate"/>
      </w:r>
      <w:r>
        <w:rPr>
          <w:color w:val="auto"/>
          <w:highlight w:val="none"/>
        </w:rPr>
        <w:t>附图</w:t>
      </w:r>
      <w:r>
        <w:rPr>
          <w:rFonts w:hint="eastAsia"/>
          <w:color w:val="auto"/>
          <w:highlight w:val="none"/>
          <w:lang w:val="en-US" w:eastAsia="zh-CN"/>
        </w:rPr>
        <w:t>2</w:t>
      </w:r>
      <w:r>
        <w:rPr>
          <w:color w:val="auto"/>
          <w:highlight w:val="none"/>
        </w:rPr>
        <w:t>：中山市自然资源局一通图</w:t>
      </w:r>
      <w:r>
        <w:rPr>
          <w:color w:val="auto"/>
        </w:rPr>
        <w:tab/>
      </w:r>
      <w:r>
        <w:rPr>
          <w:color w:val="auto"/>
        </w:rPr>
        <w:fldChar w:fldCharType="begin"/>
      </w:r>
      <w:r>
        <w:rPr>
          <w:color w:val="auto"/>
        </w:rPr>
        <w:instrText xml:space="preserve"> PAGEREF _Toc12912 \h </w:instrText>
      </w:r>
      <w:r>
        <w:rPr>
          <w:color w:val="auto"/>
        </w:rPr>
        <w:fldChar w:fldCharType="separate"/>
      </w:r>
      <w:r>
        <w:rPr>
          <w:color w:val="auto"/>
        </w:rPr>
        <w:t>64</w:t>
      </w:r>
      <w:r>
        <w:rPr>
          <w:color w:val="auto"/>
        </w:rPr>
        <w:fldChar w:fldCharType="end"/>
      </w:r>
      <w:r>
        <w:rPr>
          <w:rFonts w:hint="default" w:ascii="Times New Roman" w:hAnsi="Times New Roman"/>
          <w:color w:val="auto"/>
          <w:highlight w:val="none"/>
        </w:rPr>
        <w:fldChar w:fldCharType="end"/>
      </w:r>
    </w:p>
    <w:p w14:paraId="421E7297">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_Toc4099 </w:instrText>
      </w:r>
      <w:r>
        <w:rPr>
          <w:rFonts w:hint="default" w:ascii="Times New Roman" w:hAnsi="Times New Roman"/>
          <w:color w:val="auto"/>
          <w:highlight w:val="none"/>
        </w:rPr>
        <w:fldChar w:fldCharType="separate"/>
      </w:r>
      <w:r>
        <w:rPr>
          <w:color w:val="auto"/>
          <w:highlight w:val="none"/>
        </w:rPr>
        <w:t>附图</w:t>
      </w:r>
      <w:r>
        <w:rPr>
          <w:rFonts w:hint="eastAsia"/>
          <w:color w:val="auto"/>
          <w:highlight w:val="none"/>
          <w:lang w:val="en-US" w:eastAsia="zh-CN"/>
        </w:rPr>
        <w:t>3</w:t>
      </w:r>
      <w:r>
        <w:rPr>
          <w:color w:val="auto"/>
          <w:highlight w:val="none"/>
        </w:rPr>
        <w:t>：项目四至情况</w:t>
      </w:r>
      <w:r>
        <w:rPr>
          <w:color w:val="auto"/>
        </w:rPr>
        <w:tab/>
      </w:r>
      <w:r>
        <w:rPr>
          <w:color w:val="auto"/>
        </w:rPr>
        <w:fldChar w:fldCharType="begin"/>
      </w:r>
      <w:r>
        <w:rPr>
          <w:color w:val="auto"/>
        </w:rPr>
        <w:instrText xml:space="preserve"> PAGEREF _Toc4099 \h </w:instrText>
      </w:r>
      <w:r>
        <w:rPr>
          <w:color w:val="auto"/>
        </w:rPr>
        <w:fldChar w:fldCharType="separate"/>
      </w:r>
      <w:r>
        <w:rPr>
          <w:color w:val="auto"/>
        </w:rPr>
        <w:t>65</w:t>
      </w:r>
      <w:r>
        <w:rPr>
          <w:color w:val="auto"/>
        </w:rPr>
        <w:fldChar w:fldCharType="end"/>
      </w:r>
      <w:r>
        <w:rPr>
          <w:rFonts w:hint="default" w:ascii="Times New Roman" w:hAnsi="Times New Roman"/>
          <w:color w:val="auto"/>
          <w:highlight w:val="none"/>
        </w:rPr>
        <w:fldChar w:fldCharType="end"/>
      </w:r>
    </w:p>
    <w:p w14:paraId="3C6C4296">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_Toc23254 </w:instrText>
      </w:r>
      <w:r>
        <w:rPr>
          <w:rFonts w:hint="default" w:ascii="Times New Roman" w:hAnsi="Times New Roman"/>
          <w:color w:val="auto"/>
          <w:highlight w:val="none"/>
        </w:rPr>
        <w:fldChar w:fldCharType="separate"/>
      </w:r>
      <w:r>
        <w:rPr>
          <w:color w:val="auto"/>
          <w:highlight w:val="none"/>
        </w:rPr>
        <w:t>附图</w:t>
      </w:r>
      <w:r>
        <w:rPr>
          <w:rFonts w:hint="eastAsia"/>
          <w:color w:val="auto"/>
          <w:highlight w:val="none"/>
          <w:lang w:val="en-US" w:eastAsia="zh-CN"/>
        </w:rPr>
        <w:t>4 1</w:t>
      </w:r>
      <w:r>
        <w:rPr>
          <w:color w:val="auto"/>
          <w:highlight w:val="none"/>
        </w:rPr>
        <w:t>：项目厂区平面布置图</w:t>
      </w:r>
      <w:r>
        <w:rPr>
          <w:color w:val="auto"/>
        </w:rPr>
        <w:tab/>
      </w:r>
      <w:r>
        <w:rPr>
          <w:color w:val="auto"/>
        </w:rPr>
        <w:fldChar w:fldCharType="begin"/>
      </w:r>
      <w:r>
        <w:rPr>
          <w:color w:val="auto"/>
        </w:rPr>
        <w:instrText xml:space="preserve"> PAGEREF _Toc23254 \h </w:instrText>
      </w:r>
      <w:r>
        <w:rPr>
          <w:color w:val="auto"/>
        </w:rPr>
        <w:fldChar w:fldCharType="separate"/>
      </w:r>
      <w:r>
        <w:rPr>
          <w:color w:val="auto"/>
        </w:rPr>
        <w:t>66</w:t>
      </w:r>
      <w:r>
        <w:rPr>
          <w:color w:val="auto"/>
        </w:rPr>
        <w:fldChar w:fldCharType="end"/>
      </w:r>
      <w:r>
        <w:rPr>
          <w:rFonts w:hint="default" w:ascii="Times New Roman" w:hAnsi="Times New Roman"/>
          <w:color w:val="auto"/>
          <w:highlight w:val="none"/>
        </w:rPr>
        <w:fldChar w:fldCharType="end"/>
      </w:r>
    </w:p>
    <w:p w14:paraId="568DA614">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_Toc29354 </w:instrText>
      </w:r>
      <w:r>
        <w:rPr>
          <w:rFonts w:hint="default" w:ascii="Times New Roman" w:hAnsi="Times New Roman"/>
          <w:color w:val="auto"/>
          <w:highlight w:val="none"/>
        </w:rPr>
        <w:fldChar w:fldCharType="separate"/>
      </w:r>
      <w:r>
        <w:rPr>
          <w:color w:val="auto"/>
          <w:highlight w:val="none"/>
        </w:rPr>
        <w:t>附图</w:t>
      </w:r>
      <w:r>
        <w:rPr>
          <w:rFonts w:hint="eastAsia"/>
          <w:color w:val="auto"/>
          <w:highlight w:val="none"/>
          <w:lang w:val="en-US" w:eastAsia="zh-CN"/>
        </w:rPr>
        <w:t>4 2</w:t>
      </w:r>
      <w:r>
        <w:rPr>
          <w:color w:val="auto"/>
          <w:highlight w:val="none"/>
        </w:rPr>
        <w:t>：项目</w:t>
      </w:r>
      <w:r>
        <w:rPr>
          <w:rFonts w:hint="eastAsia"/>
          <w:color w:val="auto"/>
          <w:highlight w:val="none"/>
          <w:lang w:val="en-US" w:eastAsia="zh-CN"/>
        </w:rPr>
        <w:t>1#厂房八层</w:t>
      </w:r>
      <w:r>
        <w:rPr>
          <w:color w:val="auto"/>
          <w:highlight w:val="none"/>
        </w:rPr>
        <w:t>平面布置图</w:t>
      </w:r>
      <w:r>
        <w:rPr>
          <w:color w:val="auto"/>
        </w:rPr>
        <w:tab/>
      </w:r>
      <w:r>
        <w:rPr>
          <w:color w:val="auto"/>
        </w:rPr>
        <w:fldChar w:fldCharType="begin"/>
      </w:r>
      <w:r>
        <w:rPr>
          <w:color w:val="auto"/>
        </w:rPr>
        <w:instrText xml:space="preserve"> PAGEREF _Toc29354 \h </w:instrText>
      </w:r>
      <w:r>
        <w:rPr>
          <w:color w:val="auto"/>
        </w:rPr>
        <w:fldChar w:fldCharType="separate"/>
      </w:r>
      <w:r>
        <w:rPr>
          <w:color w:val="auto"/>
        </w:rPr>
        <w:t>67</w:t>
      </w:r>
      <w:r>
        <w:rPr>
          <w:color w:val="auto"/>
        </w:rPr>
        <w:fldChar w:fldCharType="end"/>
      </w:r>
      <w:r>
        <w:rPr>
          <w:rFonts w:hint="default" w:ascii="Times New Roman" w:hAnsi="Times New Roman"/>
          <w:color w:val="auto"/>
          <w:highlight w:val="none"/>
        </w:rPr>
        <w:fldChar w:fldCharType="end"/>
      </w:r>
    </w:p>
    <w:p w14:paraId="13524573">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_Toc6521 </w:instrText>
      </w:r>
      <w:r>
        <w:rPr>
          <w:rFonts w:hint="default" w:ascii="Times New Roman" w:hAnsi="Times New Roman"/>
          <w:color w:val="auto"/>
          <w:highlight w:val="none"/>
        </w:rPr>
        <w:fldChar w:fldCharType="separate"/>
      </w:r>
      <w:r>
        <w:rPr>
          <w:color w:val="auto"/>
          <w:highlight w:val="none"/>
        </w:rPr>
        <w:t>附图</w:t>
      </w:r>
      <w:r>
        <w:rPr>
          <w:rFonts w:hint="eastAsia"/>
          <w:color w:val="auto"/>
          <w:highlight w:val="none"/>
          <w:lang w:val="en-US" w:eastAsia="zh-CN"/>
        </w:rPr>
        <w:t>4 3</w:t>
      </w:r>
      <w:r>
        <w:rPr>
          <w:color w:val="auto"/>
          <w:highlight w:val="none"/>
        </w:rPr>
        <w:t>：项目</w:t>
      </w:r>
      <w:r>
        <w:rPr>
          <w:rFonts w:hint="eastAsia"/>
          <w:color w:val="auto"/>
          <w:highlight w:val="none"/>
          <w:lang w:val="en-US" w:eastAsia="zh-CN"/>
        </w:rPr>
        <w:t>1#厂房和2#厂房七层</w:t>
      </w:r>
      <w:r>
        <w:rPr>
          <w:color w:val="auto"/>
          <w:highlight w:val="none"/>
        </w:rPr>
        <w:t>平面布置图</w:t>
      </w:r>
      <w:r>
        <w:rPr>
          <w:color w:val="auto"/>
        </w:rPr>
        <w:tab/>
      </w:r>
      <w:r>
        <w:rPr>
          <w:color w:val="auto"/>
        </w:rPr>
        <w:fldChar w:fldCharType="begin"/>
      </w:r>
      <w:r>
        <w:rPr>
          <w:color w:val="auto"/>
        </w:rPr>
        <w:instrText xml:space="preserve"> PAGEREF _Toc6521 \h </w:instrText>
      </w:r>
      <w:r>
        <w:rPr>
          <w:color w:val="auto"/>
        </w:rPr>
        <w:fldChar w:fldCharType="separate"/>
      </w:r>
      <w:r>
        <w:rPr>
          <w:color w:val="auto"/>
        </w:rPr>
        <w:t>68</w:t>
      </w:r>
      <w:r>
        <w:rPr>
          <w:color w:val="auto"/>
        </w:rPr>
        <w:fldChar w:fldCharType="end"/>
      </w:r>
      <w:r>
        <w:rPr>
          <w:rFonts w:hint="default" w:ascii="Times New Roman" w:hAnsi="Times New Roman"/>
          <w:color w:val="auto"/>
          <w:highlight w:val="none"/>
        </w:rPr>
        <w:fldChar w:fldCharType="end"/>
      </w:r>
    </w:p>
    <w:p w14:paraId="392A7389">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_Toc5271 </w:instrText>
      </w:r>
      <w:r>
        <w:rPr>
          <w:rFonts w:hint="default" w:ascii="Times New Roman" w:hAnsi="Times New Roman"/>
          <w:color w:val="auto"/>
          <w:highlight w:val="none"/>
        </w:rPr>
        <w:fldChar w:fldCharType="separate"/>
      </w:r>
      <w:r>
        <w:rPr>
          <w:color w:val="auto"/>
          <w:highlight w:val="none"/>
        </w:rPr>
        <w:t>附图</w:t>
      </w:r>
      <w:r>
        <w:rPr>
          <w:rFonts w:hint="eastAsia"/>
          <w:color w:val="auto"/>
          <w:highlight w:val="none"/>
          <w:lang w:val="en-US" w:eastAsia="zh-CN"/>
        </w:rPr>
        <w:t>4 4</w:t>
      </w:r>
      <w:r>
        <w:rPr>
          <w:color w:val="auto"/>
          <w:highlight w:val="none"/>
        </w:rPr>
        <w:t>：项目</w:t>
      </w:r>
      <w:r>
        <w:rPr>
          <w:rFonts w:hint="eastAsia"/>
          <w:color w:val="auto"/>
          <w:highlight w:val="none"/>
          <w:lang w:val="en-US" w:eastAsia="zh-CN"/>
        </w:rPr>
        <w:t>1#厂房和2#厂房六层</w:t>
      </w:r>
      <w:r>
        <w:rPr>
          <w:color w:val="auto"/>
          <w:highlight w:val="none"/>
        </w:rPr>
        <w:t>平面布置图</w:t>
      </w:r>
      <w:r>
        <w:rPr>
          <w:color w:val="auto"/>
        </w:rPr>
        <w:tab/>
      </w:r>
      <w:r>
        <w:rPr>
          <w:color w:val="auto"/>
        </w:rPr>
        <w:fldChar w:fldCharType="begin"/>
      </w:r>
      <w:r>
        <w:rPr>
          <w:color w:val="auto"/>
        </w:rPr>
        <w:instrText xml:space="preserve"> PAGEREF _Toc5271 \h </w:instrText>
      </w:r>
      <w:r>
        <w:rPr>
          <w:color w:val="auto"/>
        </w:rPr>
        <w:fldChar w:fldCharType="separate"/>
      </w:r>
      <w:r>
        <w:rPr>
          <w:color w:val="auto"/>
        </w:rPr>
        <w:t>69</w:t>
      </w:r>
      <w:r>
        <w:rPr>
          <w:color w:val="auto"/>
        </w:rPr>
        <w:fldChar w:fldCharType="end"/>
      </w:r>
      <w:r>
        <w:rPr>
          <w:rFonts w:hint="default" w:ascii="Times New Roman" w:hAnsi="Times New Roman"/>
          <w:color w:val="auto"/>
          <w:highlight w:val="none"/>
        </w:rPr>
        <w:fldChar w:fldCharType="end"/>
      </w:r>
    </w:p>
    <w:p w14:paraId="77A99D4A">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_Toc25930 </w:instrText>
      </w:r>
      <w:r>
        <w:rPr>
          <w:rFonts w:hint="default" w:ascii="Times New Roman" w:hAnsi="Times New Roman"/>
          <w:color w:val="auto"/>
          <w:highlight w:val="none"/>
        </w:rPr>
        <w:fldChar w:fldCharType="separate"/>
      </w:r>
      <w:r>
        <w:rPr>
          <w:color w:val="auto"/>
          <w:highlight w:val="none"/>
        </w:rPr>
        <w:t>附图</w:t>
      </w:r>
      <w:r>
        <w:rPr>
          <w:rFonts w:hint="eastAsia"/>
          <w:color w:val="auto"/>
          <w:highlight w:val="none"/>
          <w:lang w:val="en-US" w:eastAsia="zh-CN"/>
        </w:rPr>
        <w:t>4 5</w:t>
      </w:r>
      <w:r>
        <w:rPr>
          <w:color w:val="auto"/>
          <w:highlight w:val="none"/>
        </w:rPr>
        <w:t>：项目</w:t>
      </w:r>
      <w:r>
        <w:rPr>
          <w:rFonts w:hint="eastAsia"/>
          <w:color w:val="auto"/>
          <w:highlight w:val="none"/>
          <w:lang w:val="en-US" w:eastAsia="zh-CN"/>
        </w:rPr>
        <w:t>1#厂房和2#厂房五层</w:t>
      </w:r>
      <w:r>
        <w:rPr>
          <w:color w:val="auto"/>
          <w:highlight w:val="none"/>
        </w:rPr>
        <w:t>平面布置图</w:t>
      </w:r>
      <w:r>
        <w:rPr>
          <w:color w:val="auto"/>
        </w:rPr>
        <w:tab/>
      </w:r>
      <w:r>
        <w:rPr>
          <w:color w:val="auto"/>
        </w:rPr>
        <w:fldChar w:fldCharType="begin"/>
      </w:r>
      <w:r>
        <w:rPr>
          <w:color w:val="auto"/>
        </w:rPr>
        <w:instrText xml:space="preserve"> PAGEREF _Toc25930 \h </w:instrText>
      </w:r>
      <w:r>
        <w:rPr>
          <w:color w:val="auto"/>
        </w:rPr>
        <w:fldChar w:fldCharType="separate"/>
      </w:r>
      <w:r>
        <w:rPr>
          <w:color w:val="auto"/>
        </w:rPr>
        <w:t>70</w:t>
      </w:r>
      <w:r>
        <w:rPr>
          <w:color w:val="auto"/>
        </w:rPr>
        <w:fldChar w:fldCharType="end"/>
      </w:r>
      <w:r>
        <w:rPr>
          <w:rFonts w:hint="default" w:ascii="Times New Roman" w:hAnsi="Times New Roman"/>
          <w:color w:val="auto"/>
          <w:highlight w:val="none"/>
        </w:rPr>
        <w:fldChar w:fldCharType="end"/>
      </w:r>
    </w:p>
    <w:p w14:paraId="0C40AF4F">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_Toc15104 </w:instrText>
      </w:r>
      <w:r>
        <w:rPr>
          <w:rFonts w:hint="default" w:ascii="Times New Roman" w:hAnsi="Times New Roman"/>
          <w:color w:val="auto"/>
          <w:highlight w:val="none"/>
        </w:rPr>
        <w:fldChar w:fldCharType="separate"/>
      </w:r>
      <w:r>
        <w:rPr>
          <w:color w:val="auto"/>
          <w:highlight w:val="none"/>
        </w:rPr>
        <w:t>附图</w:t>
      </w:r>
      <w:r>
        <w:rPr>
          <w:rFonts w:hint="eastAsia"/>
          <w:color w:val="auto"/>
          <w:highlight w:val="none"/>
          <w:lang w:val="en-US" w:eastAsia="zh-CN"/>
        </w:rPr>
        <w:t>4 6</w:t>
      </w:r>
      <w:r>
        <w:rPr>
          <w:color w:val="auto"/>
          <w:highlight w:val="none"/>
        </w:rPr>
        <w:t>：项目</w:t>
      </w:r>
      <w:r>
        <w:rPr>
          <w:rFonts w:hint="eastAsia"/>
          <w:color w:val="auto"/>
          <w:highlight w:val="none"/>
          <w:lang w:val="en-US" w:eastAsia="zh-CN"/>
        </w:rPr>
        <w:t>1#厂房和2#厂房四层</w:t>
      </w:r>
      <w:r>
        <w:rPr>
          <w:color w:val="auto"/>
          <w:highlight w:val="none"/>
        </w:rPr>
        <w:t>平面布置图</w:t>
      </w:r>
      <w:r>
        <w:rPr>
          <w:color w:val="auto"/>
        </w:rPr>
        <w:tab/>
      </w:r>
      <w:r>
        <w:rPr>
          <w:color w:val="auto"/>
        </w:rPr>
        <w:fldChar w:fldCharType="begin"/>
      </w:r>
      <w:r>
        <w:rPr>
          <w:color w:val="auto"/>
        </w:rPr>
        <w:instrText xml:space="preserve"> PAGEREF _Toc15104 \h </w:instrText>
      </w:r>
      <w:r>
        <w:rPr>
          <w:color w:val="auto"/>
        </w:rPr>
        <w:fldChar w:fldCharType="separate"/>
      </w:r>
      <w:r>
        <w:rPr>
          <w:color w:val="auto"/>
        </w:rPr>
        <w:t>71</w:t>
      </w:r>
      <w:r>
        <w:rPr>
          <w:color w:val="auto"/>
        </w:rPr>
        <w:fldChar w:fldCharType="end"/>
      </w:r>
      <w:r>
        <w:rPr>
          <w:rFonts w:hint="default" w:ascii="Times New Roman" w:hAnsi="Times New Roman"/>
          <w:color w:val="auto"/>
          <w:highlight w:val="none"/>
        </w:rPr>
        <w:fldChar w:fldCharType="end"/>
      </w:r>
    </w:p>
    <w:p w14:paraId="2E1FC185">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_Toc30878 </w:instrText>
      </w:r>
      <w:r>
        <w:rPr>
          <w:rFonts w:hint="default" w:ascii="Times New Roman" w:hAnsi="Times New Roman"/>
          <w:color w:val="auto"/>
          <w:highlight w:val="none"/>
        </w:rPr>
        <w:fldChar w:fldCharType="separate"/>
      </w:r>
      <w:r>
        <w:rPr>
          <w:color w:val="auto"/>
          <w:highlight w:val="none"/>
        </w:rPr>
        <w:t>附图</w:t>
      </w:r>
      <w:r>
        <w:rPr>
          <w:rFonts w:hint="eastAsia"/>
          <w:color w:val="auto"/>
          <w:highlight w:val="none"/>
          <w:lang w:val="en-US" w:eastAsia="zh-CN"/>
        </w:rPr>
        <w:t>4 7</w:t>
      </w:r>
      <w:r>
        <w:rPr>
          <w:color w:val="auto"/>
          <w:highlight w:val="none"/>
        </w:rPr>
        <w:t>：项目</w:t>
      </w:r>
      <w:r>
        <w:rPr>
          <w:rFonts w:hint="eastAsia"/>
          <w:color w:val="auto"/>
          <w:highlight w:val="none"/>
          <w:lang w:val="en-US" w:eastAsia="zh-CN"/>
        </w:rPr>
        <w:t>1#厂房和2#厂房三层</w:t>
      </w:r>
      <w:r>
        <w:rPr>
          <w:color w:val="auto"/>
          <w:highlight w:val="none"/>
        </w:rPr>
        <w:t>平面布置图</w:t>
      </w:r>
      <w:r>
        <w:rPr>
          <w:color w:val="auto"/>
        </w:rPr>
        <w:tab/>
      </w:r>
      <w:r>
        <w:rPr>
          <w:color w:val="auto"/>
        </w:rPr>
        <w:fldChar w:fldCharType="begin"/>
      </w:r>
      <w:r>
        <w:rPr>
          <w:color w:val="auto"/>
        </w:rPr>
        <w:instrText xml:space="preserve"> PAGEREF _Toc30878 \h </w:instrText>
      </w:r>
      <w:r>
        <w:rPr>
          <w:color w:val="auto"/>
        </w:rPr>
        <w:fldChar w:fldCharType="separate"/>
      </w:r>
      <w:r>
        <w:rPr>
          <w:color w:val="auto"/>
        </w:rPr>
        <w:t>72</w:t>
      </w:r>
      <w:r>
        <w:rPr>
          <w:color w:val="auto"/>
        </w:rPr>
        <w:fldChar w:fldCharType="end"/>
      </w:r>
      <w:r>
        <w:rPr>
          <w:rFonts w:hint="default" w:ascii="Times New Roman" w:hAnsi="Times New Roman"/>
          <w:color w:val="auto"/>
          <w:highlight w:val="none"/>
        </w:rPr>
        <w:fldChar w:fldCharType="end"/>
      </w:r>
    </w:p>
    <w:p w14:paraId="4540BD63">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_Toc242 </w:instrText>
      </w:r>
      <w:r>
        <w:rPr>
          <w:rFonts w:hint="default" w:ascii="Times New Roman" w:hAnsi="Times New Roman"/>
          <w:color w:val="auto"/>
          <w:highlight w:val="none"/>
        </w:rPr>
        <w:fldChar w:fldCharType="separate"/>
      </w:r>
      <w:r>
        <w:rPr>
          <w:color w:val="auto"/>
          <w:highlight w:val="none"/>
        </w:rPr>
        <w:t>附图</w:t>
      </w:r>
      <w:r>
        <w:rPr>
          <w:rFonts w:hint="eastAsia"/>
          <w:color w:val="auto"/>
          <w:highlight w:val="none"/>
          <w:lang w:val="en-US" w:eastAsia="zh-CN"/>
        </w:rPr>
        <w:t>4 8</w:t>
      </w:r>
      <w:r>
        <w:rPr>
          <w:color w:val="auto"/>
          <w:highlight w:val="none"/>
        </w:rPr>
        <w:t>：项目</w:t>
      </w:r>
      <w:r>
        <w:rPr>
          <w:rFonts w:hint="eastAsia"/>
          <w:color w:val="auto"/>
          <w:highlight w:val="none"/>
          <w:lang w:val="en-US" w:eastAsia="zh-CN"/>
        </w:rPr>
        <w:t>1#厂房和2#厂房二层</w:t>
      </w:r>
      <w:r>
        <w:rPr>
          <w:color w:val="auto"/>
          <w:highlight w:val="none"/>
        </w:rPr>
        <w:t>平面布置图</w:t>
      </w:r>
      <w:r>
        <w:rPr>
          <w:color w:val="auto"/>
        </w:rPr>
        <w:tab/>
      </w:r>
      <w:r>
        <w:rPr>
          <w:color w:val="auto"/>
        </w:rPr>
        <w:fldChar w:fldCharType="begin"/>
      </w:r>
      <w:r>
        <w:rPr>
          <w:color w:val="auto"/>
        </w:rPr>
        <w:instrText xml:space="preserve"> PAGEREF _Toc242 \h </w:instrText>
      </w:r>
      <w:r>
        <w:rPr>
          <w:color w:val="auto"/>
        </w:rPr>
        <w:fldChar w:fldCharType="separate"/>
      </w:r>
      <w:r>
        <w:rPr>
          <w:color w:val="auto"/>
        </w:rPr>
        <w:t>73</w:t>
      </w:r>
      <w:r>
        <w:rPr>
          <w:color w:val="auto"/>
        </w:rPr>
        <w:fldChar w:fldCharType="end"/>
      </w:r>
      <w:r>
        <w:rPr>
          <w:rFonts w:hint="default" w:ascii="Times New Roman" w:hAnsi="Times New Roman"/>
          <w:color w:val="auto"/>
          <w:highlight w:val="none"/>
        </w:rPr>
        <w:fldChar w:fldCharType="end"/>
      </w:r>
    </w:p>
    <w:p w14:paraId="290ED83B">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_Toc27677 </w:instrText>
      </w:r>
      <w:r>
        <w:rPr>
          <w:rFonts w:hint="default" w:ascii="Times New Roman" w:hAnsi="Times New Roman"/>
          <w:color w:val="auto"/>
          <w:highlight w:val="none"/>
        </w:rPr>
        <w:fldChar w:fldCharType="separate"/>
      </w:r>
      <w:r>
        <w:rPr>
          <w:color w:val="auto"/>
          <w:highlight w:val="none"/>
        </w:rPr>
        <w:t>附图</w:t>
      </w:r>
      <w:r>
        <w:rPr>
          <w:rFonts w:hint="eastAsia"/>
          <w:color w:val="auto"/>
          <w:highlight w:val="none"/>
          <w:lang w:val="en-US" w:eastAsia="zh-CN"/>
        </w:rPr>
        <w:t>4 9</w:t>
      </w:r>
      <w:r>
        <w:rPr>
          <w:color w:val="auto"/>
          <w:highlight w:val="none"/>
        </w:rPr>
        <w:t>：项目</w:t>
      </w:r>
      <w:r>
        <w:rPr>
          <w:rFonts w:hint="eastAsia"/>
          <w:color w:val="auto"/>
          <w:highlight w:val="none"/>
          <w:lang w:val="en-US" w:eastAsia="zh-CN"/>
        </w:rPr>
        <w:t>1#厂房和2#厂房一层</w:t>
      </w:r>
      <w:r>
        <w:rPr>
          <w:color w:val="auto"/>
          <w:highlight w:val="none"/>
        </w:rPr>
        <w:t>平面布置图</w:t>
      </w:r>
      <w:r>
        <w:rPr>
          <w:color w:val="auto"/>
        </w:rPr>
        <w:tab/>
      </w:r>
      <w:r>
        <w:rPr>
          <w:color w:val="auto"/>
        </w:rPr>
        <w:fldChar w:fldCharType="begin"/>
      </w:r>
      <w:r>
        <w:rPr>
          <w:color w:val="auto"/>
        </w:rPr>
        <w:instrText xml:space="preserve"> PAGEREF _Toc27677 \h </w:instrText>
      </w:r>
      <w:r>
        <w:rPr>
          <w:color w:val="auto"/>
        </w:rPr>
        <w:fldChar w:fldCharType="separate"/>
      </w:r>
      <w:r>
        <w:rPr>
          <w:color w:val="auto"/>
        </w:rPr>
        <w:t>74</w:t>
      </w:r>
      <w:r>
        <w:rPr>
          <w:color w:val="auto"/>
        </w:rPr>
        <w:fldChar w:fldCharType="end"/>
      </w:r>
      <w:r>
        <w:rPr>
          <w:rFonts w:hint="default" w:ascii="Times New Roman" w:hAnsi="Times New Roman"/>
          <w:color w:val="auto"/>
          <w:highlight w:val="none"/>
        </w:rPr>
        <w:fldChar w:fldCharType="end"/>
      </w:r>
    </w:p>
    <w:p w14:paraId="3E8584C0">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_Toc1819 </w:instrText>
      </w:r>
      <w:r>
        <w:rPr>
          <w:rFonts w:hint="default" w:ascii="Times New Roman" w:hAnsi="Times New Roman"/>
          <w:color w:val="auto"/>
          <w:highlight w:val="none"/>
        </w:rPr>
        <w:fldChar w:fldCharType="separate"/>
      </w:r>
      <w:r>
        <w:rPr>
          <w:bCs/>
          <w:color w:val="auto"/>
          <w:highlight w:val="none"/>
        </w:rPr>
        <w:t>附图</w:t>
      </w:r>
      <w:r>
        <w:rPr>
          <w:rFonts w:hint="eastAsia"/>
          <w:bCs/>
          <w:color w:val="auto"/>
          <w:highlight w:val="none"/>
          <w:lang w:val="en-US" w:eastAsia="zh-CN"/>
        </w:rPr>
        <w:t>5</w:t>
      </w:r>
      <w:r>
        <w:rPr>
          <w:bCs/>
          <w:color w:val="auto"/>
          <w:highlight w:val="none"/>
        </w:rPr>
        <w:t>项目大气</w:t>
      </w:r>
      <w:r>
        <w:rPr>
          <w:rFonts w:hint="eastAsia"/>
          <w:bCs/>
          <w:color w:val="auto"/>
          <w:highlight w:val="none"/>
        </w:rPr>
        <w:t>、声</w:t>
      </w:r>
      <w:r>
        <w:rPr>
          <w:bCs/>
          <w:color w:val="auto"/>
          <w:highlight w:val="none"/>
        </w:rPr>
        <w:t>敏感点调查图</w:t>
      </w:r>
      <w:r>
        <w:rPr>
          <w:color w:val="auto"/>
        </w:rPr>
        <w:tab/>
      </w:r>
      <w:r>
        <w:rPr>
          <w:color w:val="auto"/>
        </w:rPr>
        <w:fldChar w:fldCharType="begin"/>
      </w:r>
      <w:r>
        <w:rPr>
          <w:color w:val="auto"/>
        </w:rPr>
        <w:instrText xml:space="preserve"> PAGEREF _Toc1819 \h </w:instrText>
      </w:r>
      <w:r>
        <w:rPr>
          <w:color w:val="auto"/>
        </w:rPr>
        <w:fldChar w:fldCharType="separate"/>
      </w:r>
      <w:r>
        <w:rPr>
          <w:color w:val="auto"/>
        </w:rPr>
        <w:t>75</w:t>
      </w:r>
      <w:r>
        <w:rPr>
          <w:color w:val="auto"/>
        </w:rPr>
        <w:fldChar w:fldCharType="end"/>
      </w:r>
      <w:r>
        <w:rPr>
          <w:rFonts w:hint="default" w:ascii="Times New Roman" w:hAnsi="Times New Roman"/>
          <w:color w:val="auto"/>
          <w:highlight w:val="none"/>
        </w:rPr>
        <w:fldChar w:fldCharType="end"/>
      </w:r>
    </w:p>
    <w:p w14:paraId="7AF5630F">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_Toc9682 </w:instrText>
      </w:r>
      <w:r>
        <w:rPr>
          <w:rFonts w:hint="default" w:ascii="Times New Roman" w:hAnsi="Times New Roman"/>
          <w:color w:val="auto"/>
          <w:highlight w:val="none"/>
        </w:rPr>
        <w:fldChar w:fldCharType="separate"/>
      </w:r>
      <w:r>
        <w:rPr>
          <w:color w:val="auto"/>
          <w:highlight w:val="none"/>
        </w:rPr>
        <w:t>附图</w:t>
      </w:r>
      <w:r>
        <w:rPr>
          <w:rFonts w:hint="eastAsia"/>
          <w:color w:val="auto"/>
          <w:highlight w:val="none"/>
          <w:lang w:val="en-US" w:eastAsia="zh-CN"/>
        </w:rPr>
        <w:t>6</w:t>
      </w:r>
      <w:r>
        <w:rPr>
          <w:color w:val="auto"/>
          <w:highlight w:val="none"/>
        </w:rPr>
        <w:t>：</w:t>
      </w:r>
      <w:r>
        <w:rPr>
          <w:rFonts w:hint="eastAsia"/>
          <w:color w:val="auto"/>
          <w:highlight w:val="none"/>
        </w:rPr>
        <w:t>项目环境空气质量功能区划图</w:t>
      </w:r>
      <w:r>
        <w:rPr>
          <w:color w:val="auto"/>
        </w:rPr>
        <w:tab/>
      </w:r>
      <w:r>
        <w:rPr>
          <w:color w:val="auto"/>
        </w:rPr>
        <w:fldChar w:fldCharType="begin"/>
      </w:r>
      <w:r>
        <w:rPr>
          <w:color w:val="auto"/>
        </w:rPr>
        <w:instrText xml:space="preserve"> PAGEREF _Toc9682 \h </w:instrText>
      </w:r>
      <w:r>
        <w:rPr>
          <w:color w:val="auto"/>
        </w:rPr>
        <w:fldChar w:fldCharType="separate"/>
      </w:r>
      <w:r>
        <w:rPr>
          <w:color w:val="auto"/>
        </w:rPr>
        <w:t>76</w:t>
      </w:r>
      <w:r>
        <w:rPr>
          <w:color w:val="auto"/>
        </w:rPr>
        <w:fldChar w:fldCharType="end"/>
      </w:r>
      <w:r>
        <w:rPr>
          <w:rFonts w:hint="default" w:ascii="Times New Roman" w:hAnsi="Times New Roman"/>
          <w:color w:val="auto"/>
          <w:highlight w:val="none"/>
        </w:rPr>
        <w:fldChar w:fldCharType="end"/>
      </w:r>
    </w:p>
    <w:p w14:paraId="68C53E27">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_Toc11017 </w:instrText>
      </w:r>
      <w:r>
        <w:rPr>
          <w:rFonts w:hint="default" w:ascii="Times New Roman" w:hAnsi="Times New Roman"/>
          <w:color w:val="auto"/>
          <w:highlight w:val="none"/>
        </w:rPr>
        <w:fldChar w:fldCharType="separate"/>
      </w:r>
      <w:r>
        <w:rPr>
          <w:color w:val="auto"/>
          <w:highlight w:val="none"/>
        </w:rPr>
        <w:t>附图</w:t>
      </w:r>
      <w:r>
        <w:rPr>
          <w:rFonts w:hint="eastAsia"/>
          <w:color w:val="auto"/>
          <w:highlight w:val="none"/>
          <w:lang w:val="en-US" w:eastAsia="zh-CN"/>
        </w:rPr>
        <w:t>7</w:t>
      </w:r>
      <w:r>
        <w:rPr>
          <w:color w:val="auto"/>
          <w:highlight w:val="none"/>
        </w:rPr>
        <w:t>：</w:t>
      </w:r>
      <w:r>
        <w:rPr>
          <w:rFonts w:hint="eastAsia"/>
          <w:color w:val="auto"/>
          <w:highlight w:val="none"/>
        </w:rPr>
        <w:t>项目水环境功能区划图</w:t>
      </w:r>
      <w:r>
        <w:rPr>
          <w:color w:val="auto"/>
        </w:rPr>
        <w:tab/>
      </w:r>
      <w:r>
        <w:rPr>
          <w:color w:val="auto"/>
        </w:rPr>
        <w:fldChar w:fldCharType="begin"/>
      </w:r>
      <w:r>
        <w:rPr>
          <w:color w:val="auto"/>
        </w:rPr>
        <w:instrText xml:space="preserve"> PAGEREF _Toc11017 \h </w:instrText>
      </w:r>
      <w:r>
        <w:rPr>
          <w:color w:val="auto"/>
        </w:rPr>
        <w:fldChar w:fldCharType="separate"/>
      </w:r>
      <w:r>
        <w:rPr>
          <w:color w:val="auto"/>
        </w:rPr>
        <w:t>77</w:t>
      </w:r>
      <w:r>
        <w:rPr>
          <w:color w:val="auto"/>
        </w:rPr>
        <w:fldChar w:fldCharType="end"/>
      </w:r>
      <w:r>
        <w:rPr>
          <w:rFonts w:hint="default" w:ascii="Times New Roman" w:hAnsi="Times New Roman"/>
          <w:color w:val="auto"/>
          <w:highlight w:val="none"/>
        </w:rPr>
        <w:fldChar w:fldCharType="end"/>
      </w:r>
    </w:p>
    <w:p w14:paraId="2613552C">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_Toc9728 </w:instrText>
      </w:r>
      <w:r>
        <w:rPr>
          <w:rFonts w:hint="default" w:ascii="Times New Roman" w:hAnsi="Times New Roman"/>
          <w:color w:val="auto"/>
          <w:highlight w:val="none"/>
        </w:rPr>
        <w:fldChar w:fldCharType="separate"/>
      </w:r>
      <w:r>
        <w:rPr>
          <w:rFonts w:hint="eastAsia"/>
          <w:bCs/>
          <w:color w:val="auto"/>
          <w:highlight w:val="none"/>
          <w:lang w:val="zh-CN"/>
        </w:rPr>
        <w:t>附图</w:t>
      </w:r>
      <w:r>
        <w:rPr>
          <w:rFonts w:hint="eastAsia"/>
          <w:bCs/>
          <w:color w:val="auto"/>
          <w:highlight w:val="none"/>
          <w:lang w:val="en-US" w:eastAsia="zh-CN"/>
        </w:rPr>
        <w:t>8</w:t>
      </w:r>
      <w:r>
        <w:rPr>
          <w:rFonts w:hint="eastAsia"/>
          <w:bCs/>
          <w:color w:val="auto"/>
          <w:highlight w:val="none"/>
          <w:lang w:val="zh-CN"/>
        </w:rPr>
        <w:t>：</w:t>
      </w:r>
      <w:r>
        <w:rPr>
          <w:bCs/>
          <w:color w:val="auto"/>
          <w:highlight w:val="none"/>
          <w:lang w:val="zh-CN"/>
        </w:rPr>
        <w:t>项目声</w:t>
      </w:r>
      <w:r>
        <w:rPr>
          <w:rFonts w:hint="eastAsia"/>
          <w:bCs/>
          <w:color w:val="auto"/>
          <w:highlight w:val="none"/>
        </w:rPr>
        <w:t>环境</w:t>
      </w:r>
      <w:r>
        <w:rPr>
          <w:bCs/>
          <w:color w:val="auto"/>
          <w:highlight w:val="none"/>
          <w:lang w:val="zh-CN"/>
        </w:rPr>
        <w:t>功能</w:t>
      </w:r>
      <w:r>
        <w:rPr>
          <w:rFonts w:hint="eastAsia"/>
          <w:bCs/>
          <w:color w:val="auto"/>
          <w:highlight w:val="none"/>
        </w:rPr>
        <w:t>区划</w:t>
      </w:r>
      <w:r>
        <w:rPr>
          <w:bCs/>
          <w:color w:val="auto"/>
          <w:highlight w:val="none"/>
          <w:lang w:val="zh-CN"/>
        </w:rPr>
        <w:t>图</w:t>
      </w:r>
      <w:r>
        <w:rPr>
          <w:color w:val="auto"/>
        </w:rPr>
        <w:tab/>
      </w:r>
      <w:r>
        <w:rPr>
          <w:color w:val="auto"/>
        </w:rPr>
        <w:fldChar w:fldCharType="begin"/>
      </w:r>
      <w:r>
        <w:rPr>
          <w:color w:val="auto"/>
        </w:rPr>
        <w:instrText xml:space="preserve"> PAGEREF _Toc9728 \h </w:instrText>
      </w:r>
      <w:r>
        <w:rPr>
          <w:color w:val="auto"/>
        </w:rPr>
        <w:fldChar w:fldCharType="separate"/>
      </w:r>
      <w:r>
        <w:rPr>
          <w:color w:val="auto"/>
        </w:rPr>
        <w:t>78</w:t>
      </w:r>
      <w:r>
        <w:rPr>
          <w:color w:val="auto"/>
        </w:rPr>
        <w:fldChar w:fldCharType="end"/>
      </w:r>
      <w:r>
        <w:rPr>
          <w:rFonts w:hint="default" w:ascii="Times New Roman" w:hAnsi="Times New Roman"/>
          <w:color w:val="auto"/>
          <w:highlight w:val="none"/>
        </w:rPr>
        <w:fldChar w:fldCharType="end"/>
      </w:r>
    </w:p>
    <w:p w14:paraId="7F4B3383">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_Toc18743 </w:instrText>
      </w:r>
      <w:r>
        <w:rPr>
          <w:rFonts w:hint="default" w:ascii="Times New Roman" w:hAnsi="Times New Roman"/>
          <w:color w:val="auto"/>
          <w:highlight w:val="none"/>
        </w:rPr>
        <w:fldChar w:fldCharType="separate"/>
      </w:r>
      <w:r>
        <w:rPr>
          <w:color w:val="auto"/>
          <w:highlight w:val="none"/>
        </w:rPr>
        <w:t>附图</w:t>
      </w:r>
      <w:r>
        <w:rPr>
          <w:rFonts w:hint="eastAsia"/>
          <w:bCs/>
          <w:color w:val="auto"/>
          <w:highlight w:val="none"/>
          <w:lang w:val="en-US" w:eastAsia="zh-CN"/>
        </w:rPr>
        <w:t>9</w:t>
      </w:r>
      <w:r>
        <w:rPr>
          <w:color w:val="auto"/>
          <w:highlight w:val="none"/>
        </w:rPr>
        <w:t>：中山市环境管控单元图</w:t>
      </w:r>
      <w:r>
        <w:rPr>
          <w:color w:val="auto"/>
        </w:rPr>
        <w:tab/>
      </w:r>
      <w:r>
        <w:rPr>
          <w:color w:val="auto"/>
        </w:rPr>
        <w:fldChar w:fldCharType="begin"/>
      </w:r>
      <w:r>
        <w:rPr>
          <w:color w:val="auto"/>
        </w:rPr>
        <w:instrText xml:space="preserve"> PAGEREF _Toc18743 \h </w:instrText>
      </w:r>
      <w:r>
        <w:rPr>
          <w:color w:val="auto"/>
        </w:rPr>
        <w:fldChar w:fldCharType="separate"/>
      </w:r>
      <w:r>
        <w:rPr>
          <w:color w:val="auto"/>
        </w:rPr>
        <w:t>79</w:t>
      </w:r>
      <w:r>
        <w:rPr>
          <w:color w:val="auto"/>
        </w:rPr>
        <w:fldChar w:fldCharType="end"/>
      </w:r>
      <w:r>
        <w:rPr>
          <w:rFonts w:hint="default" w:ascii="Times New Roman" w:hAnsi="Times New Roman"/>
          <w:color w:val="auto"/>
          <w:highlight w:val="none"/>
        </w:rPr>
        <w:fldChar w:fldCharType="end"/>
      </w:r>
    </w:p>
    <w:p w14:paraId="4BECCAE8">
      <w:pPr>
        <w:pStyle w:val="29"/>
        <w:tabs>
          <w:tab w:val="right" w:leader="dot" w:pos="10467"/>
        </w:tabs>
        <w:rPr>
          <w:color w:val="auto"/>
        </w:rPr>
      </w:pPr>
      <w:r>
        <w:rPr>
          <w:rFonts w:hint="default" w:ascii="Times New Roman" w:hAnsi="Times New Roman"/>
          <w:color w:val="auto"/>
          <w:highlight w:val="none"/>
        </w:rPr>
        <w:fldChar w:fldCharType="begin"/>
      </w:r>
      <w:r>
        <w:rPr>
          <w:rFonts w:hint="default" w:ascii="Times New Roman" w:hAnsi="Times New Roman"/>
          <w:color w:val="auto"/>
          <w:highlight w:val="none"/>
        </w:rPr>
        <w:instrText xml:space="preserve"> HYPERLINK \l _Toc18288 </w:instrText>
      </w:r>
      <w:r>
        <w:rPr>
          <w:rFonts w:hint="default" w:ascii="Times New Roman" w:hAnsi="Times New Roman"/>
          <w:color w:val="auto"/>
          <w:highlight w:val="none"/>
        </w:rPr>
        <w:fldChar w:fldCharType="separate"/>
      </w:r>
      <w:r>
        <w:rPr>
          <w:color w:val="auto"/>
          <w:highlight w:val="none"/>
        </w:rPr>
        <w:t>附图</w:t>
      </w:r>
      <w:r>
        <w:rPr>
          <w:rFonts w:hint="eastAsia"/>
          <w:color w:val="auto"/>
          <w:highlight w:val="none"/>
          <w:lang w:val="en-US" w:eastAsia="zh-CN"/>
        </w:rPr>
        <w:t>10</w:t>
      </w:r>
      <w:r>
        <w:rPr>
          <w:rFonts w:hint="eastAsia"/>
          <w:color w:val="auto"/>
          <w:highlight w:val="none"/>
        </w:rPr>
        <w:t>：</w:t>
      </w:r>
      <w:r>
        <w:rPr>
          <w:color w:val="auto"/>
          <w:highlight w:val="none"/>
          <w:lang w:val="en-US"/>
        </w:rPr>
        <w:t>中山市地下水污染防治重点区划定分区图</w:t>
      </w:r>
      <w:r>
        <w:rPr>
          <w:color w:val="auto"/>
        </w:rPr>
        <w:tab/>
      </w:r>
      <w:r>
        <w:rPr>
          <w:color w:val="auto"/>
        </w:rPr>
        <w:fldChar w:fldCharType="begin"/>
      </w:r>
      <w:r>
        <w:rPr>
          <w:color w:val="auto"/>
        </w:rPr>
        <w:instrText xml:space="preserve"> PAGEREF _Toc18288 \h </w:instrText>
      </w:r>
      <w:r>
        <w:rPr>
          <w:color w:val="auto"/>
        </w:rPr>
        <w:fldChar w:fldCharType="separate"/>
      </w:r>
      <w:r>
        <w:rPr>
          <w:color w:val="auto"/>
        </w:rPr>
        <w:t>80</w:t>
      </w:r>
      <w:r>
        <w:rPr>
          <w:color w:val="auto"/>
        </w:rPr>
        <w:fldChar w:fldCharType="end"/>
      </w:r>
      <w:r>
        <w:rPr>
          <w:rFonts w:hint="default" w:ascii="Times New Roman" w:hAnsi="Times New Roman"/>
          <w:color w:val="auto"/>
          <w:highlight w:val="none"/>
        </w:rPr>
        <w:fldChar w:fldCharType="end"/>
      </w:r>
    </w:p>
    <w:p w14:paraId="01F4B15B">
      <w:pPr>
        <w:pStyle w:val="69"/>
        <w:pageBreakBefore w:val="0"/>
        <w:kinsoku/>
        <w:wordWrap/>
        <w:overflowPunct/>
        <w:topLinePunct w:val="0"/>
        <w:autoSpaceDE/>
        <w:autoSpaceDN/>
        <w:bidi w:val="0"/>
        <w:adjustRightInd/>
        <w:snapToGrid/>
        <w:spacing w:before="0" w:beforeAutospacing="0" w:after="0" w:afterAutospacing="0" w:line="360" w:lineRule="auto"/>
        <w:ind w:firstLine="360" w:firstLineChars="200"/>
        <w:textAlignment w:val="auto"/>
        <w:rPr>
          <w:rFonts w:hint="default" w:ascii="Times New Roman" w:hAnsi="Times New Roman"/>
          <w:color w:val="auto"/>
          <w:highlight w:val="none"/>
        </w:rPr>
        <w:sectPr>
          <w:pgSz w:w="11907" w:h="16839"/>
          <w:pgMar w:top="720" w:right="720" w:bottom="720" w:left="720" w:header="851" w:footer="567" w:gutter="0"/>
          <w:pgNumType w:start="1"/>
          <w:cols w:space="0" w:num="1"/>
          <w:docGrid w:linePitch="312" w:charSpace="0"/>
        </w:sectPr>
      </w:pPr>
      <w:r>
        <w:rPr>
          <w:rFonts w:hint="default" w:ascii="Times New Roman" w:hAnsi="Times New Roman"/>
          <w:color w:val="auto"/>
          <w:highlight w:val="none"/>
        </w:rPr>
        <w:fldChar w:fldCharType="end"/>
      </w:r>
    </w:p>
    <w:p w14:paraId="2344AB67">
      <w:pPr>
        <w:pStyle w:val="2"/>
        <w:ind w:firstLine="562"/>
        <w:jc w:val="center"/>
        <w:rPr>
          <w:color w:val="auto"/>
          <w:sz w:val="36"/>
          <w:szCs w:val="52"/>
          <w:highlight w:val="none"/>
        </w:rPr>
      </w:pPr>
      <w:bookmarkStart w:id="1" w:name="_Toc25544"/>
      <w:bookmarkStart w:id="2" w:name="_Toc1120"/>
      <w:r>
        <w:rPr>
          <w:color w:val="auto"/>
          <w:sz w:val="36"/>
          <w:szCs w:val="52"/>
          <w:highlight w:val="none"/>
        </w:rPr>
        <w:t>一、建设项目基本情况</w:t>
      </w:r>
      <w:bookmarkEnd w:id="1"/>
      <w:bookmarkEnd w:id="2"/>
    </w:p>
    <w:tbl>
      <w:tblPr>
        <w:tblStyle w:val="48"/>
        <w:tblW w:w="1033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50"/>
        <w:gridCol w:w="1598"/>
        <w:gridCol w:w="2467"/>
        <w:gridCol w:w="2028"/>
        <w:gridCol w:w="456"/>
        <w:gridCol w:w="3340"/>
      </w:tblGrid>
      <w:tr w14:paraId="39F1D2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45" w:hRule="atLeast"/>
          <w:jc w:val="center"/>
        </w:trPr>
        <w:tc>
          <w:tcPr>
            <w:tcW w:w="2048" w:type="dxa"/>
            <w:gridSpan w:val="2"/>
            <w:tcMar>
              <w:top w:w="16" w:type="dxa"/>
              <w:left w:w="16" w:type="dxa"/>
              <w:right w:w="16" w:type="dxa"/>
            </w:tcMar>
            <w:vAlign w:val="center"/>
          </w:tcPr>
          <w:p w14:paraId="1C7062D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建设项目名称</w:t>
            </w:r>
          </w:p>
        </w:tc>
        <w:tc>
          <w:tcPr>
            <w:tcW w:w="8291" w:type="dxa"/>
            <w:gridSpan w:val="4"/>
            <w:vAlign w:val="center"/>
          </w:tcPr>
          <w:p w14:paraId="1E8D9DF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eastAsia" w:ascii="Times New Roman" w:hAnsi="Times New Roman" w:eastAsia="宋体"/>
                <w:color w:val="auto"/>
                <w:sz w:val="21"/>
                <w:highlight w:val="none"/>
                <w:lang w:eastAsia="zh-CN"/>
              </w:rPr>
              <w:t>盛邦鞋业产研智造基地</w:t>
            </w:r>
          </w:p>
        </w:tc>
      </w:tr>
      <w:tr w14:paraId="72F867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98" w:hRule="atLeast"/>
          <w:jc w:val="center"/>
        </w:trPr>
        <w:tc>
          <w:tcPr>
            <w:tcW w:w="2048" w:type="dxa"/>
            <w:gridSpan w:val="2"/>
            <w:tcMar>
              <w:top w:w="16" w:type="dxa"/>
              <w:left w:w="16" w:type="dxa"/>
              <w:right w:w="16" w:type="dxa"/>
            </w:tcMar>
            <w:vAlign w:val="center"/>
          </w:tcPr>
          <w:p w14:paraId="0D3342B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项目代码</w:t>
            </w:r>
          </w:p>
        </w:tc>
        <w:tc>
          <w:tcPr>
            <w:tcW w:w="8291" w:type="dxa"/>
            <w:gridSpan w:val="4"/>
            <w:vAlign w:val="center"/>
          </w:tcPr>
          <w:p w14:paraId="0293964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lang w:val="en-US" w:eastAsia="zh-CN"/>
              </w:rPr>
              <w:t>2502</w:t>
            </w:r>
            <w:r>
              <w:rPr>
                <w:rFonts w:hint="eastAsia"/>
                <w:color w:val="auto"/>
                <w:sz w:val="21"/>
                <w:highlight w:val="none"/>
                <w:lang w:val="en-US" w:eastAsia="zh-CN"/>
              </w:rPr>
              <w:t xml:space="preserve"> -</w:t>
            </w:r>
            <w:r>
              <w:rPr>
                <w:rFonts w:hint="default" w:ascii="Times New Roman" w:hAnsi="Times New Roman" w:eastAsia="宋体"/>
                <w:color w:val="auto"/>
                <w:sz w:val="21"/>
                <w:highlight w:val="none"/>
                <w:lang w:val="en-US" w:eastAsia="zh-CN"/>
              </w:rPr>
              <w:t>442000</w:t>
            </w:r>
            <w:r>
              <w:rPr>
                <w:rFonts w:hint="eastAsia"/>
                <w:color w:val="auto"/>
                <w:sz w:val="21"/>
                <w:highlight w:val="none"/>
                <w:lang w:val="en-US" w:eastAsia="zh-CN"/>
              </w:rPr>
              <w:t xml:space="preserve">- </w:t>
            </w:r>
            <w:r>
              <w:rPr>
                <w:rFonts w:hint="default" w:ascii="Times New Roman" w:hAnsi="Times New Roman" w:eastAsia="宋体"/>
                <w:color w:val="auto"/>
                <w:sz w:val="21"/>
                <w:highlight w:val="none"/>
                <w:lang w:val="en-US" w:eastAsia="zh-CN"/>
              </w:rPr>
              <w:t>04</w:t>
            </w:r>
            <w:r>
              <w:rPr>
                <w:rFonts w:hint="eastAsia"/>
                <w:color w:val="auto"/>
                <w:sz w:val="21"/>
                <w:highlight w:val="none"/>
                <w:lang w:val="en-US" w:eastAsia="zh-CN"/>
              </w:rPr>
              <w:t xml:space="preserve">- </w:t>
            </w:r>
            <w:r>
              <w:rPr>
                <w:rFonts w:hint="default" w:ascii="Times New Roman" w:hAnsi="Times New Roman" w:eastAsia="宋体"/>
                <w:color w:val="auto"/>
                <w:sz w:val="21"/>
                <w:highlight w:val="none"/>
                <w:lang w:val="en-US" w:eastAsia="zh-CN"/>
              </w:rPr>
              <w:t>01</w:t>
            </w:r>
            <w:r>
              <w:rPr>
                <w:rFonts w:hint="eastAsia"/>
                <w:color w:val="auto"/>
                <w:sz w:val="21"/>
                <w:highlight w:val="none"/>
                <w:lang w:val="en-US" w:eastAsia="zh-CN"/>
              </w:rPr>
              <w:t xml:space="preserve"> -</w:t>
            </w:r>
            <w:r>
              <w:rPr>
                <w:rFonts w:hint="default" w:ascii="Times New Roman" w:hAnsi="Times New Roman" w:eastAsia="宋体"/>
                <w:color w:val="auto"/>
                <w:sz w:val="21"/>
                <w:highlight w:val="none"/>
                <w:lang w:val="en-US" w:eastAsia="zh-CN"/>
              </w:rPr>
              <w:t>132724</w:t>
            </w:r>
          </w:p>
        </w:tc>
      </w:tr>
      <w:tr w14:paraId="40DA5F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98" w:hRule="atLeast"/>
          <w:jc w:val="center"/>
        </w:trPr>
        <w:tc>
          <w:tcPr>
            <w:tcW w:w="2048" w:type="dxa"/>
            <w:gridSpan w:val="2"/>
            <w:tcMar>
              <w:top w:w="16" w:type="dxa"/>
              <w:left w:w="16" w:type="dxa"/>
              <w:right w:w="16" w:type="dxa"/>
            </w:tcMar>
            <w:vAlign w:val="center"/>
          </w:tcPr>
          <w:p w14:paraId="3E9907D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建设单位联系人</w:t>
            </w:r>
          </w:p>
        </w:tc>
        <w:tc>
          <w:tcPr>
            <w:tcW w:w="2467" w:type="dxa"/>
            <w:vAlign w:val="center"/>
          </w:tcPr>
          <w:p w14:paraId="0FCEFCD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lang w:val="en-US" w:eastAsia="zh-CN"/>
              </w:rPr>
            </w:pPr>
            <w:r>
              <w:rPr>
                <w:rFonts w:hint="eastAsia" w:ascii="Times New Roman" w:hAnsi="Times New Roman" w:eastAsia="宋体"/>
                <w:color w:val="auto"/>
                <w:sz w:val="21"/>
                <w:highlight w:val="none"/>
              </w:rPr>
              <w:t>张</w:t>
            </w:r>
            <w:r>
              <w:rPr>
                <w:rFonts w:hint="eastAsia"/>
                <w:color w:val="auto"/>
                <w:sz w:val="21"/>
                <w:highlight w:val="none"/>
                <w:lang w:val="en-US" w:eastAsia="zh-CN"/>
              </w:rPr>
              <w:t>碧涛</w:t>
            </w:r>
          </w:p>
        </w:tc>
        <w:tc>
          <w:tcPr>
            <w:tcW w:w="2484" w:type="dxa"/>
            <w:gridSpan w:val="2"/>
            <w:vAlign w:val="center"/>
          </w:tcPr>
          <w:p w14:paraId="12C71C0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联系方式</w:t>
            </w:r>
          </w:p>
        </w:tc>
        <w:tc>
          <w:tcPr>
            <w:tcW w:w="3340" w:type="dxa"/>
            <w:vAlign w:val="center"/>
          </w:tcPr>
          <w:p w14:paraId="7B8BE4E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18202767946</w:t>
            </w:r>
          </w:p>
        </w:tc>
      </w:tr>
      <w:tr w14:paraId="5FFFC1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98" w:hRule="atLeast"/>
          <w:jc w:val="center"/>
        </w:trPr>
        <w:tc>
          <w:tcPr>
            <w:tcW w:w="2048" w:type="dxa"/>
            <w:gridSpan w:val="2"/>
            <w:tcMar>
              <w:top w:w="16" w:type="dxa"/>
              <w:left w:w="16" w:type="dxa"/>
              <w:right w:w="16" w:type="dxa"/>
            </w:tcMar>
            <w:vAlign w:val="center"/>
          </w:tcPr>
          <w:p w14:paraId="149CA69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建设地点</w:t>
            </w:r>
          </w:p>
        </w:tc>
        <w:tc>
          <w:tcPr>
            <w:tcW w:w="8291" w:type="dxa"/>
            <w:gridSpan w:val="4"/>
            <w:vAlign w:val="center"/>
          </w:tcPr>
          <w:p w14:paraId="58AF814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lang w:val="en-US" w:eastAsia="zh-CN"/>
              </w:rPr>
            </w:pPr>
            <w:r>
              <w:rPr>
                <w:rFonts w:hint="eastAsia" w:ascii="Times New Roman" w:hAnsi="Times New Roman" w:eastAsia="宋体"/>
                <w:color w:val="auto"/>
                <w:sz w:val="21"/>
                <w:highlight w:val="none"/>
                <w:lang w:eastAsia="zh-CN"/>
              </w:rPr>
              <w:t>中山市南区圣都南</w:t>
            </w:r>
            <w:r>
              <w:rPr>
                <w:rFonts w:hint="eastAsia" w:ascii="Times New Roman" w:hAnsi="Times New Roman" w:eastAsia="宋体"/>
                <w:color w:val="auto"/>
                <w:sz w:val="21"/>
                <w:highlight w:val="none"/>
                <w:lang w:val="en-US" w:eastAsia="zh-CN"/>
              </w:rPr>
              <w:t>路55号</w:t>
            </w:r>
          </w:p>
        </w:tc>
      </w:tr>
      <w:tr w14:paraId="341507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98" w:hRule="atLeast"/>
          <w:jc w:val="center"/>
        </w:trPr>
        <w:tc>
          <w:tcPr>
            <w:tcW w:w="2048" w:type="dxa"/>
            <w:gridSpan w:val="2"/>
            <w:tcMar>
              <w:top w:w="16" w:type="dxa"/>
              <w:left w:w="16" w:type="dxa"/>
              <w:right w:w="16" w:type="dxa"/>
            </w:tcMar>
            <w:vAlign w:val="center"/>
          </w:tcPr>
          <w:p w14:paraId="71B258D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地理坐标</w:t>
            </w:r>
          </w:p>
        </w:tc>
        <w:tc>
          <w:tcPr>
            <w:tcW w:w="8291" w:type="dxa"/>
            <w:gridSpan w:val="4"/>
            <w:vAlign w:val="center"/>
          </w:tcPr>
          <w:p w14:paraId="6206A5D7">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olor w:val="auto"/>
                <w:sz w:val="21"/>
                <w:highlight w:val="none"/>
                <w:lang w:eastAsia="zh-CN"/>
              </w:rPr>
            </w:pPr>
            <w:r>
              <w:rPr>
                <w:rFonts w:hint="default" w:ascii="Times New Roman" w:hAnsi="Times New Roman" w:eastAsia="宋体"/>
                <w:color w:val="auto"/>
                <w:sz w:val="21"/>
                <w:highlight w:val="none"/>
              </w:rPr>
              <w:t>东经</w:t>
            </w:r>
            <w:r>
              <w:rPr>
                <w:rFonts w:hint="eastAsia" w:ascii="Times New Roman" w:hAnsi="Times New Roman" w:eastAsia="宋体"/>
                <w:color w:val="auto"/>
                <w:sz w:val="21"/>
                <w:highlight w:val="none"/>
                <w:lang w:eastAsia="zh-CN"/>
              </w:rPr>
              <w:t>113°18′3.156″</w:t>
            </w:r>
            <w:r>
              <w:rPr>
                <w:rFonts w:hint="default" w:ascii="Times New Roman" w:hAnsi="Times New Roman" w:eastAsia="宋体"/>
                <w:color w:val="auto"/>
                <w:sz w:val="21"/>
                <w:highlight w:val="none"/>
              </w:rPr>
              <w:t>、北纬</w:t>
            </w:r>
            <w:r>
              <w:rPr>
                <w:rFonts w:hint="eastAsia" w:ascii="Times New Roman" w:hAnsi="Times New Roman" w:eastAsia="宋体"/>
                <w:color w:val="auto"/>
                <w:sz w:val="21"/>
                <w:highlight w:val="none"/>
                <w:lang w:eastAsia="zh-CN"/>
              </w:rPr>
              <w:t>22°26′13.548″</w:t>
            </w:r>
          </w:p>
        </w:tc>
      </w:tr>
      <w:tr w14:paraId="286CA7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14" w:hRule="atLeast"/>
          <w:jc w:val="center"/>
        </w:trPr>
        <w:tc>
          <w:tcPr>
            <w:tcW w:w="2048" w:type="dxa"/>
            <w:gridSpan w:val="2"/>
            <w:tcMar>
              <w:top w:w="16" w:type="dxa"/>
              <w:left w:w="16" w:type="dxa"/>
              <w:right w:w="16" w:type="dxa"/>
            </w:tcMar>
            <w:vAlign w:val="center"/>
          </w:tcPr>
          <w:p w14:paraId="25CB47D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国民经济</w:t>
            </w:r>
          </w:p>
          <w:p w14:paraId="028F585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行业类别</w:t>
            </w:r>
          </w:p>
        </w:tc>
        <w:tc>
          <w:tcPr>
            <w:tcW w:w="2467" w:type="dxa"/>
            <w:vAlign w:val="center"/>
          </w:tcPr>
          <w:p w14:paraId="10947EA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szCs w:val="21"/>
                <w:highlight w:val="none"/>
                <w:lang w:val="en-US" w:eastAsia="zh-CN"/>
              </w:rPr>
            </w:pPr>
            <w:r>
              <w:rPr>
                <w:rFonts w:hint="default" w:ascii="Times New Roman" w:hAnsi="Times New Roman" w:eastAsia="宋体"/>
                <w:color w:val="auto"/>
                <w:sz w:val="21"/>
                <w:szCs w:val="21"/>
                <w:highlight w:val="none"/>
                <w:lang w:val="en-US" w:eastAsia="zh-CN"/>
              </w:rPr>
              <w:t>C1959其他制鞋业</w:t>
            </w:r>
          </w:p>
          <w:p w14:paraId="3943A89D">
            <w:pPr>
              <w:keepNext w:val="0"/>
              <w:keepLines w:val="0"/>
              <w:suppressLineNumbers w:val="0"/>
              <w:adjustRightInd w:val="0"/>
              <w:snapToGrid w:val="0"/>
              <w:spacing w:before="0" w:beforeAutospacing="0" w:after="0" w:afterAutospacing="0"/>
              <w:ind w:left="0" w:right="0"/>
              <w:jc w:val="center"/>
              <w:rPr>
                <w:rFonts w:hint="default" w:ascii="Segoe UI" w:hAnsi="Segoe UI" w:eastAsia="Segoe UI" w:cs="Segoe UI"/>
                <w:i w:val="0"/>
                <w:iCs w:val="0"/>
                <w:caps w:val="0"/>
                <w:color w:val="auto"/>
                <w:spacing w:val="0"/>
                <w:sz w:val="21"/>
                <w:szCs w:val="21"/>
                <w:shd w:val="clear" w:fill="FFFFFF"/>
              </w:rPr>
            </w:pPr>
            <w:r>
              <w:rPr>
                <w:rFonts w:hint="default" w:ascii="Times New Roman" w:hAnsi="Times New Roman" w:eastAsia="宋体"/>
                <w:color w:val="auto"/>
                <w:sz w:val="21"/>
                <w:szCs w:val="21"/>
                <w:highlight w:val="none"/>
                <w:lang w:val="en-US" w:eastAsia="zh-CN"/>
              </w:rPr>
              <w:t>C1951纺织面料鞋制造C1953塑料鞋制造</w:t>
            </w:r>
          </w:p>
        </w:tc>
        <w:tc>
          <w:tcPr>
            <w:tcW w:w="2028" w:type="dxa"/>
            <w:vAlign w:val="center"/>
          </w:tcPr>
          <w:p w14:paraId="6D6D2C6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bookmarkStart w:id="3" w:name="_Hlk49843745"/>
            <w:r>
              <w:rPr>
                <w:rFonts w:hint="default" w:ascii="Times New Roman" w:hAnsi="Times New Roman" w:eastAsia="宋体"/>
                <w:color w:val="auto"/>
                <w:sz w:val="21"/>
                <w:highlight w:val="none"/>
              </w:rPr>
              <w:t>建设项目</w:t>
            </w:r>
          </w:p>
          <w:p w14:paraId="104E737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行业类别</w:t>
            </w:r>
            <w:bookmarkEnd w:id="3"/>
          </w:p>
        </w:tc>
        <w:tc>
          <w:tcPr>
            <w:tcW w:w="3796" w:type="dxa"/>
            <w:gridSpan w:val="2"/>
            <w:vAlign w:val="center"/>
          </w:tcPr>
          <w:p w14:paraId="6829D8B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eastAsia" w:ascii="Times New Roman" w:hAnsi="Times New Roman" w:eastAsia="宋体"/>
                <w:color w:val="auto"/>
                <w:sz w:val="21"/>
                <w:szCs w:val="21"/>
                <w:highlight w:val="none"/>
                <w:lang w:val="en-US" w:eastAsia="zh-CN"/>
              </w:rPr>
              <w:t>十六</w:t>
            </w:r>
            <w:r>
              <w:rPr>
                <w:rFonts w:hint="default" w:ascii="Times New Roman" w:hAnsi="Times New Roman" w:eastAsia="宋体"/>
                <w:color w:val="auto"/>
                <w:sz w:val="21"/>
                <w:szCs w:val="21"/>
                <w:highlight w:val="none"/>
                <w:lang w:val="en-US" w:eastAsia="zh-CN"/>
              </w:rPr>
              <w:t>、皮革、毛皮、羽毛及其制品和制鞋业19</w:t>
            </w:r>
            <w:r>
              <w:rPr>
                <w:rFonts w:hint="default" w:ascii="Times New Roman" w:hAnsi="Times New Roman" w:eastAsia="宋体"/>
                <w:color w:val="auto"/>
                <w:sz w:val="21"/>
                <w:szCs w:val="21"/>
                <w:highlight w:val="none"/>
              </w:rPr>
              <w:t>（</w:t>
            </w:r>
            <w:r>
              <w:rPr>
                <w:rFonts w:hint="eastAsia" w:ascii="Times New Roman" w:hAnsi="Times New Roman" w:eastAsia="宋体"/>
                <w:color w:val="auto"/>
                <w:sz w:val="21"/>
                <w:szCs w:val="21"/>
                <w:highlight w:val="none"/>
                <w:lang w:val="en-US" w:eastAsia="zh-CN"/>
              </w:rPr>
              <w:t>32</w:t>
            </w:r>
            <w:r>
              <w:rPr>
                <w:rFonts w:hint="default" w:ascii="Times New Roman" w:hAnsi="Times New Roman" w:eastAsia="宋体"/>
                <w:color w:val="auto"/>
                <w:sz w:val="21"/>
                <w:szCs w:val="21"/>
                <w:highlight w:val="none"/>
              </w:rPr>
              <w:t>）、</w:t>
            </w:r>
            <w:r>
              <w:rPr>
                <w:rFonts w:hint="eastAsia" w:ascii="Times New Roman" w:hAnsi="Times New Roman" w:eastAsia="宋体"/>
                <w:color w:val="auto"/>
                <w:sz w:val="21"/>
                <w:szCs w:val="21"/>
                <w:highlight w:val="none"/>
                <w:lang w:val="en-US" w:eastAsia="zh-CN"/>
              </w:rPr>
              <w:t>制鞋业195</w:t>
            </w:r>
            <w:r>
              <w:rPr>
                <w:rFonts w:hint="eastAsia" w:ascii="Times New Roman" w:hAnsi="Times New Roman" w:eastAsia="宋体"/>
                <w:color w:val="auto"/>
                <w:sz w:val="21"/>
                <w:szCs w:val="21"/>
                <w:highlight w:val="none"/>
              </w:rPr>
              <w:t>；</w:t>
            </w:r>
            <w:r>
              <w:rPr>
                <w:rFonts w:hint="eastAsia"/>
                <w:color w:val="auto"/>
                <w:sz w:val="21"/>
                <w:szCs w:val="21"/>
                <w:highlight w:val="none"/>
                <w:lang w:eastAsia="zh-CN"/>
              </w:rPr>
              <w:t xml:space="preserve"> </w:t>
            </w:r>
            <w:r>
              <w:rPr>
                <w:rFonts w:hint="eastAsia" w:ascii="Times New Roman" w:hAnsi="Times New Roman" w:eastAsia="宋体"/>
                <w:color w:val="auto"/>
                <w:sz w:val="21"/>
                <w:szCs w:val="21"/>
                <w:highlight w:val="none"/>
                <w:lang w:val="en-US" w:eastAsia="zh-CN"/>
              </w:rPr>
              <w:t>有橡胶硫化工艺、塑料注塑工艺的；年用溶剂型胶粘剂10吨及以上的，或年用溶剂型处理剂3吨及以上的</w:t>
            </w:r>
          </w:p>
        </w:tc>
      </w:tr>
      <w:tr w14:paraId="6BD45D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25" w:hRule="atLeast"/>
          <w:jc w:val="center"/>
        </w:trPr>
        <w:tc>
          <w:tcPr>
            <w:tcW w:w="2048" w:type="dxa"/>
            <w:gridSpan w:val="2"/>
            <w:tcMar>
              <w:top w:w="16" w:type="dxa"/>
              <w:left w:w="16" w:type="dxa"/>
              <w:right w:w="16" w:type="dxa"/>
            </w:tcMar>
            <w:vAlign w:val="center"/>
          </w:tcPr>
          <w:p w14:paraId="6B684EB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建设性质</w:t>
            </w:r>
          </w:p>
        </w:tc>
        <w:tc>
          <w:tcPr>
            <w:tcW w:w="2467" w:type="dxa"/>
            <w:vAlign w:val="center"/>
          </w:tcPr>
          <w:p w14:paraId="1BA194C9">
            <w:pPr>
              <w:keepNext w:val="0"/>
              <w:keepLines w:val="0"/>
              <w:suppressLineNumbers w:val="0"/>
              <w:adjustRightInd w:val="0"/>
              <w:snapToGrid w:val="0"/>
              <w:spacing w:before="0" w:beforeAutospacing="0" w:after="0" w:afterAutospacing="0"/>
              <w:ind w:left="0" w:right="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sym w:font="Wingdings 2" w:char="0052"/>
            </w:r>
            <w:r>
              <w:rPr>
                <w:rFonts w:hint="default" w:ascii="Times New Roman" w:hAnsi="Times New Roman" w:eastAsia="宋体"/>
                <w:color w:val="auto"/>
                <w:sz w:val="21"/>
                <w:highlight w:val="none"/>
              </w:rPr>
              <w:t>新建（迁建）</w:t>
            </w:r>
          </w:p>
          <w:p w14:paraId="20D59AB2">
            <w:pPr>
              <w:keepNext w:val="0"/>
              <w:keepLines w:val="0"/>
              <w:suppressLineNumbers w:val="0"/>
              <w:adjustRightInd w:val="0"/>
              <w:snapToGrid w:val="0"/>
              <w:spacing w:before="0" w:beforeAutospacing="0" w:after="0" w:afterAutospacing="0"/>
              <w:ind w:left="0" w:right="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□改建</w:t>
            </w:r>
          </w:p>
          <w:p w14:paraId="3D9C5091">
            <w:pPr>
              <w:keepNext w:val="0"/>
              <w:keepLines w:val="0"/>
              <w:suppressLineNumbers w:val="0"/>
              <w:adjustRightInd w:val="0"/>
              <w:snapToGrid w:val="0"/>
              <w:spacing w:before="0" w:beforeAutospacing="0" w:after="0" w:afterAutospacing="0"/>
              <w:ind w:left="0" w:right="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□扩建</w:t>
            </w:r>
          </w:p>
          <w:p w14:paraId="30CBA378">
            <w:pPr>
              <w:keepNext w:val="0"/>
              <w:keepLines w:val="0"/>
              <w:suppressLineNumbers w:val="0"/>
              <w:adjustRightInd w:val="0"/>
              <w:snapToGrid w:val="0"/>
              <w:spacing w:before="0" w:beforeAutospacing="0" w:after="0" w:afterAutospacing="0"/>
              <w:ind w:left="0" w:right="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□技术改造</w:t>
            </w:r>
          </w:p>
        </w:tc>
        <w:tc>
          <w:tcPr>
            <w:tcW w:w="2028" w:type="dxa"/>
            <w:vAlign w:val="center"/>
          </w:tcPr>
          <w:p w14:paraId="0F4AEF7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建设项目</w:t>
            </w:r>
          </w:p>
          <w:p w14:paraId="48D0620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申报情形</w:t>
            </w:r>
          </w:p>
        </w:tc>
        <w:tc>
          <w:tcPr>
            <w:tcW w:w="3796" w:type="dxa"/>
            <w:gridSpan w:val="2"/>
            <w:vAlign w:val="center"/>
          </w:tcPr>
          <w:p w14:paraId="7D4E2F56">
            <w:pPr>
              <w:keepNext w:val="0"/>
              <w:keepLines w:val="0"/>
              <w:suppressLineNumbers w:val="0"/>
              <w:adjustRightInd w:val="0"/>
              <w:snapToGrid w:val="0"/>
              <w:spacing w:before="0" w:beforeAutospacing="0" w:after="0" w:afterAutospacing="0"/>
              <w:ind w:left="0" w:right="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sym w:font="Wingdings 2" w:char="0052"/>
            </w:r>
            <w:r>
              <w:rPr>
                <w:rFonts w:hint="default" w:ascii="Times New Roman" w:hAnsi="Times New Roman" w:eastAsia="宋体"/>
                <w:color w:val="auto"/>
                <w:sz w:val="21"/>
                <w:highlight w:val="none"/>
              </w:rPr>
              <w:t>首次申报项目</w:t>
            </w:r>
          </w:p>
          <w:p w14:paraId="3B7AF34C">
            <w:pPr>
              <w:keepNext w:val="0"/>
              <w:keepLines w:val="0"/>
              <w:suppressLineNumbers w:val="0"/>
              <w:adjustRightInd w:val="0"/>
              <w:snapToGrid w:val="0"/>
              <w:spacing w:before="0" w:beforeAutospacing="0" w:after="0" w:afterAutospacing="0"/>
              <w:ind w:left="0" w:right="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□不予批准后再次申报项目</w:t>
            </w:r>
          </w:p>
          <w:p w14:paraId="76D48A97">
            <w:pPr>
              <w:keepNext w:val="0"/>
              <w:keepLines w:val="0"/>
              <w:suppressLineNumbers w:val="0"/>
              <w:adjustRightInd w:val="0"/>
              <w:snapToGrid w:val="0"/>
              <w:spacing w:before="0" w:beforeAutospacing="0" w:after="0" w:afterAutospacing="0"/>
              <w:ind w:left="0" w:right="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□超五年重新审核项目</w:t>
            </w:r>
          </w:p>
          <w:p w14:paraId="52D5B6D8">
            <w:pPr>
              <w:keepNext w:val="0"/>
              <w:keepLines w:val="0"/>
              <w:suppressLineNumbers w:val="0"/>
              <w:adjustRightInd w:val="0"/>
              <w:snapToGrid w:val="0"/>
              <w:spacing w:before="0" w:beforeAutospacing="0" w:after="0" w:afterAutospacing="0"/>
              <w:ind w:left="0" w:right="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□重大变动重新报批项目</w:t>
            </w:r>
          </w:p>
        </w:tc>
      </w:tr>
      <w:tr w14:paraId="11EC4D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98" w:hRule="atLeast"/>
          <w:jc w:val="center"/>
        </w:trPr>
        <w:tc>
          <w:tcPr>
            <w:tcW w:w="2048" w:type="dxa"/>
            <w:gridSpan w:val="2"/>
            <w:tcMar>
              <w:top w:w="16" w:type="dxa"/>
              <w:left w:w="16" w:type="dxa"/>
              <w:right w:w="16" w:type="dxa"/>
            </w:tcMar>
            <w:vAlign w:val="center"/>
          </w:tcPr>
          <w:p w14:paraId="4D085A7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项目审批（核准/</w:t>
            </w:r>
          </w:p>
          <w:p w14:paraId="5483B1F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备案）部门（选填）</w:t>
            </w:r>
          </w:p>
        </w:tc>
        <w:tc>
          <w:tcPr>
            <w:tcW w:w="2467" w:type="dxa"/>
            <w:vAlign w:val="center"/>
          </w:tcPr>
          <w:p w14:paraId="5B50358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w:t>
            </w:r>
          </w:p>
        </w:tc>
        <w:tc>
          <w:tcPr>
            <w:tcW w:w="2028" w:type="dxa"/>
            <w:vAlign w:val="center"/>
          </w:tcPr>
          <w:p w14:paraId="2F22C7E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项目审批（核准/</w:t>
            </w:r>
          </w:p>
          <w:p w14:paraId="645C8BF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备案）文号（选填）</w:t>
            </w:r>
          </w:p>
        </w:tc>
        <w:tc>
          <w:tcPr>
            <w:tcW w:w="3796" w:type="dxa"/>
            <w:gridSpan w:val="2"/>
            <w:vAlign w:val="center"/>
          </w:tcPr>
          <w:p w14:paraId="4D7162E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w:t>
            </w:r>
          </w:p>
        </w:tc>
      </w:tr>
      <w:tr w14:paraId="1CF9AF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98" w:hRule="atLeast"/>
          <w:jc w:val="center"/>
        </w:trPr>
        <w:tc>
          <w:tcPr>
            <w:tcW w:w="2048" w:type="dxa"/>
            <w:gridSpan w:val="2"/>
            <w:tcMar>
              <w:top w:w="16" w:type="dxa"/>
              <w:left w:w="16" w:type="dxa"/>
              <w:right w:w="16" w:type="dxa"/>
            </w:tcMar>
            <w:vAlign w:val="center"/>
          </w:tcPr>
          <w:p w14:paraId="316AC9D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总投资（万元）</w:t>
            </w:r>
          </w:p>
        </w:tc>
        <w:tc>
          <w:tcPr>
            <w:tcW w:w="2467" w:type="dxa"/>
            <w:vAlign w:val="center"/>
          </w:tcPr>
          <w:p w14:paraId="68CD36D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lang w:val="en-US" w:eastAsia="zh-CN"/>
              </w:rPr>
            </w:pPr>
            <w:r>
              <w:rPr>
                <w:rFonts w:hint="eastAsia"/>
                <w:color w:val="auto"/>
                <w:sz w:val="21"/>
                <w:highlight w:val="none"/>
                <w:lang w:val="en-US" w:eastAsia="zh-CN"/>
              </w:rPr>
              <w:t>8</w:t>
            </w:r>
            <w:r>
              <w:rPr>
                <w:rFonts w:hint="eastAsia" w:ascii="Times New Roman" w:hAnsi="Times New Roman" w:eastAsia="宋体"/>
                <w:color w:val="auto"/>
                <w:sz w:val="21"/>
                <w:highlight w:val="none"/>
                <w:lang w:val="en-US" w:eastAsia="zh-CN"/>
              </w:rPr>
              <w:t>000</w:t>
            </w:r>
          </w:p>
        </w:tc>
        <w:tc>
          <w:tcPr>
            <w:tcW w:w="2028" w:type="dxa"/>
            <w:tcMar>
              <w:top w:w="16" w:type="dxa"/>
              <w:left w:w="16" w:type="dxa"/>
              <w:right w:w="16" w:type="dxa"/>
            </w:tcMar>
            <w:vAlign w:val="center"/>
          </w:tcPr>
          <w:p w14:paraId="23BD766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环保投资（万元）</w:t>
            </w:r>
          </w:p>
        </w:tc>
        <w:tc>
          <w:tcPr>
            <w:tcW w:w="3796" w:type="dxa"/>
            <w:gridSpan w:val="2"/>
            <w:vAlign w:val="center"/>
          </w:tcPr>
          <w:p w14:paraId="36740BE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lang w:val="en-US" w:eastAsia="zh-CN"/>
              </w:rPr>
            </w:pPr>
            <w:r>
              <w:rPr>
                <w:rFonts w:hint="eastAsia"/>
                <w:color w:val="auto"/>
                <w:sz w:val="21"/>
                <w:highlight w:val="none"/>
                <w:lang w:val="en-US" w:eastAsia="zh-CN"/>
              </w:rPr>
              <w:t>80</w:t>
            </w:r>
          </w:p>
        </w:tc>
      </w:tr>
      <w:tr w14:paraId="5DC485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98" w:hRule="atLeast"/>
          <w:jc w:val="center"/>
        </w:trPr>
        <w:tc>
          <w:tcPr>
            <w:tcW w:w="2048" w:type="dxa"/>
            <w:gridSpan w:val="2"/>
            <w:tcMar>
              <w:top w:w="16" w:type="dxa"/>
              <w:left w:w="16" w:type="dxa"/>
              <w:right w:w="16" w:type="dxa"/>
            </w:tcMar>
            <w:vAlign w:val="center"/>
          </w:tcPr>
          <w:p w14:paraId="31DC1F9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环保投资占比（%）</w:t>
            </w:r>
          </w:p>
        </w:tc>
        <w:tc>
          <w:tcPr>
            <w:tcW w:w="2467" w:type="dxa"/>
            <w:vAlign w:val="center"/>
          </w:tcPr>
          <w:p w14:paraId="64B535E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eastAsia" w:ascii="Times New Roman" w:hAnsi="Times New Roman" w:eastAsia="宋体"/>
                <w:color w:val="auto"/>
                <w:sz w:val="21"/>
                <w:highlight w:val="none"/>
                <w:lang w:val="en-US" w:eastAsia="zh-CN"/>
              </w:rPr>
              <w:t>1</w:t>
            </w:r>
            <w:r>
              <w:rPr>
                <w:rFonts w:hint="default" w:ascii="Times New Roman" w:hAnsi="Times New Roman" w:eastAsia="宋体"/>
                <w:color w:val="auto"/>
                <w:sz w:val="21"/>
                <w:highlight w:val="none"/>
              </w:rPr>
              <w:t>%</w:t>
            </w:r>
          </w:p>
        </w:tc>
        <w:tc>
          <w:tcPr>
            <w:tcW w:w="2028" w:type="dxa"/>
            <w:tcMar>
              <w:top w:w="16" w:type="dxa"/>
              <w:left w:w="16" w:type="dxa"/>
              <w:right w:w="16" w:type="dxa"/>
            </w:tcMar>
            <w:vAlign w:val="center"/>
          </w:tcPr>
          <w:p w14:paraId="16E0D7E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施工工期</w:t>
            </w:r>
          </w:p>
        </w:tc>
        <w:tc>
          <w:tcPr>
            <w:tcW w:w="3796" w:type="dxa"/>
            <w:gridSpan w:val="2"/>
            <w:vAlign w:val="center"/>
          </w:tcPr>
          <w:p w14:paraId="4AC7604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w:t>
            </w:r>
          </w:p>
        </w:tc>
      </w:tr>
      <w:tr w14:paraId="383EBC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98" w:hRule="atLeast"/>
          <w:jc w:val="center"/>
        </w:trPr>
        <w:tc>
          <w:tcPr>
            <w:tcW w:w="2048" w:type="dxa"/>
            <w:gridSpan w:val="2"/>
            <w:tcMar>
              <w:top w:w="16" w:type="dxa"/>
              <w:left w:w="16" w:type="dxa"/>
              <w:right w:w="16" w:type="dxa"/>
            </w:tcMar>
            <w:vAlign w:val="center"/>
          </w:tcPr>
          <w:p w14:paraId="573B36E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是否开工建设</w:t>
            </w:r>
          </w:p>
        </w:tc>
        <w:tc>
          <w:tcPr>
            <w:tcW w:w="2467" w:type="dxa"/>
            <w:vAlign w:val="center"/>
          </w:tcPr>
          <w:p w14:paraId="15B580BA">
            <w:pPr>
              <w:keepNext w:val="0"/>
              <w:keepLines w:val="0"/>
              <w:suppressLineNumbers w:val="0"/>
              <w:adjustRightInd w:val="0"/>
              <w:snapToGrid w:val="0"/>
              <w:spacing w:before="0" w:beforeAutospacing="0" w:after="0" w:afterAutospacing="0"/>
              <w:ind w:left="0" w:right="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sym w:font="Wingdings 2" w:char="0052"/>
            </w:r>
            <w:r>
              <w:rPr>
                <w:rFonts w:hint="default" w:ascii="Times New Roman" w:hAnsi="Times New Roman" w:eastAsia="宋体"/>
                <w:color w:val="auto"/>
                <w:sz w:val="21"/>
                <w:highlight w:val="none"/>
              </w:rPr>
              <w:t>否</w:t>
            </w:r>
          </w:p>
          <w:p w14:paraId="6F182660">
            <w:pPr>
              <w:keepNext w:val="0"/>
              <w:keepLines w:val="0"/>
              <w:suppressLineNumbers w:val="0"/>
              <w:adjustRightInd w:val="0"/>
              <w:snapToGrid w:val="0"/>
              <w:spacing w:before="0" w:beforeAutospacing="0" w:after="0" w:afterAutospacing="0"/>
              <w:ind w:left="0" w:right="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sym w:font="Wingdings 2" w:char="00A3"/>
            </w:r>
            <w:r>
              <w:rPr>
                <w:rFonts w:hint="default" w:ascii="Times New Roman" w:hAnsi="Times New Roman" w:eastAsia="宋体"/>
                <w:color w:val="auto"/>
                <w:sz w:val="21"/>
                <w:highlight w:val="none"/>
              </w:rPr>
              <w:t>是：</w:t>
            </w:r>
          </w:p>
        </w:tc>
        <w:tc>
          <w:tcPr>
            <w:tcW w:w="2028" w:type="dxa"/>
            <w:tcMar>
              <w:top w:w="16" w:type="dxa"/>
              <w:left w:w="16" w:type="dxa"/>
              <w:right w:w="16" w:type="dxa"/>
            </w:tcMar>
            <w:vAlign w:val="center"/>
          </w:tcPr>
          <w:p w14:paraId="0C8523A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用地（用海）</w:t>
            </w:r>
          </w:p>
          <w:p w14:paraId="6AB6151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面积（㎡）</w:t>
            </w:r>
          </w:p>
        </w:tc>
        <w:tc>
          <w:tcPr>
            <w:tcW w:w="3796" w:type="dxa"/>
            <w:gridSpan w:val="2"/>
            <w:vAlign w:val="center"/>
          </w:tcPr>
          <w:p w14:paraId="3D2F154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lang w:val="en-US" w:eastAsia="zh-CN"/>
              </w:rPr>
            </w:pPr>
            <w:r>
              <w:rPr>
                <w:rFonts w:hint="eastAsia" w:ascii="Times New Roman" w:hAnsi="Times New Roman" w:eastAsia="宋体"/>
                <w:color w:val="auto"/>
                <w:sz w:val="21"/>
                <w:highlight w:val="none"/>
                <w:lang w:val="en-US" w:eastAsia="zh-CN"/>
              </w:rPr>
              <w:t>2395</w:t>
            </w:r>
            <w:r>
              <w:rPr>
                <w:rFonts w:hint="eastAsia"/>
                <w:color w:val="auto"/>
                <w:sz w:val="21"/>
                <w:highlight w:val="none"/>
                <w:lang w:val="en-US" w:eastAsia="zh-CN"/>
              </w:rPr>
              <w:t>5.17</w:t>
            </w:r>
          </w:p>
        </w:tc>
      </w:tr>
      <w:tr w14:paraId="7C96B7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48" w:type="dxa"/>
            <w:gridSpan w:val="2"/>
            <w:vAlign w:val="center"/>
          </w:tcPr>
          <w:p w14:paraId="59D9D4F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专项评价设置情况</w:t>
            </w:r>
          </w:p>
        </w:tc>
        <w:tc>
          <w:tcPr>
            <w:tcW w:w="8291" w:type="dxa"/>
            <w:gridSpan w:val="4"/>
            <w:vAlign w:val="center"/>
          </w:tcPr>
          <w:p w14:paraId="49092FB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p>
          <w:tbl>
            <w:tblPr>
              <w:tblStyle w:val="49"/>
              <w:tblW w:w="80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1"/>
              <w:gridCol w:w="3585"/>
              <w:gridCol w:w="2670"/>
              <w:gridCol w:w="679"/>
            </w:tblGrid>
            <w:tr w14:paraId="3259E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1" w:type="dxa"/>
                  <w:vAlign w:val="center"/>
                </w:tcPr>
                <w:p w14:paraId="3EA39D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h"/>
                      <w:b/>
                      <w:bCs/>
                      <w:color w:val="auto"/>
                      <w:kern w:val="0"/>
                      <w:sz w:val="21"/>
                      <w:szCs w:val="24"/>
                      <w:lang w:val="en-US" w:eastAsia="zh-CN" w:bidi="ar"/>
                    </w:rPr>
                    <w:t>专项评价的类别</w:t>
                  </w:r>
                </w:p>
              </w:tc>
              <w:tc>
                <w:tcPr>
                  <w:tcW w:w="3585" w:type="dxa"/>
                  <w:vAlign w:val="center"/>
                </w:tcPr>
                <w:p w14:paraId="6FA0BA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h"/>
                      <w:b/>
                      <w:bCs/>
                      <w:color w:val="auto"/>
                      <w:kern w:val="0"/>
                      <w:sz w:val="21"/>
                      <w:szCs w:val="24"/>
                      <w:lang w:val="en-US" w:eastAsia="zh-CN" w:bidi="ar"/>
                    </w:rPr>
                    <w:t>设置原则</w:t>
                  </w:r>
                </w:p>
              </w:tc>
              <w:tc>
                <w:tcPr>
                  <w:tcW w:w="2670" w:type="dxa"/>
                  <w:vAlign w:val="center"/>
                </w:tcPr>
                <w:p w14:paraId="103496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h"/>
                      <w:b/>
                      <w:bCs/>
                      <w:color w:val="auto"/>
                      <w:kern w:val="0"/>
                      <w:sz w:val="21"/>
                      <w:szCs w:val="24"/>
                      <w:lang w:val="en-US" w:eastAsia="zh-CN" w:bidi="ar"/>
                    </w:rPr>
                    <w:t>本项目情况</w:t>
                  </w:r>
                </w:p>
              </w:tc>
              <w:tc>
                <w:tcPr>
                  <w:tcW w:w="679" w:type="dxa"/>
                  <w:vAlign w:val="center"/>
                </w:tcPr>
                <w:p w14:paraId="4146C7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h"/>
                      <w:b/>
                      <w:bCs/>
                      <w:color w:val="auto"/>
                      <w:kern w:val="0"/>
                      <w:sz w:val="21"/>
                      <w:szCs w:val="24"/>
                      <w:lang w:val="en-US" w:eastAsia="zh-CN" w:bidi="ar"/>
                    </w:rPr>
                    <w:t>是否设置</w:t>
                  </w:r>
                </w:p>
              </w:tc>
            </w:tr>
            <w:tr w14:paraId="0A57E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1" w:type="dxa"/>
                  <w:vAlign w:val="center"/>
                </w:tcPr>
                <w:p w14:paraId="07A1E6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大气</w:t>
                  </w:r>
                </w:p>
              </w:tc>
              <w:tc>
                <w:tcPr>
                  <w:tcW w:w="3585" w:type="dxa"/>
                  <w:vAlign w:val="center"/>
                </w:tcPr>
                <w:p w14:paraId="4B7C52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排放废气含有毒有害污染物、二噁英、苯并[a]芘、氰化物、氯气且厂界外500米范围内有环境空气保护目标的建设项目</w:t>
                  </w:r>
                </w:p>
              </w:tc>
              <w:tc>
                <w:tcPr>
                  <w:tcW w:w="2670" w:type="dxa"/>
                  <w:vAlign w:val="center"/>
                </w:tcPr>
                <w:p w14:paraId="4EDD47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本项目不排放上述有毒有害污染物</w:t>
                  </w:r>
                </w:p>
              </w:tc>
              <w:tc>
                <w:tcPr>
                  <w:tcW w:w="679" w:type="dxa"/>
                  <w:vAlign w:val="center"/>
                </w:tcPr>
                <w:p w14:paraId="38DCF1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否</w:t>
                  </w:r>
                </w:p>
              </w:tc>
            </w:tr>
            <w:tr w14:paraId="20533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1" w:type="dxa"/>
                  <w:vAlign w:val="center"/>
                </w:tcPr>
                <w:p w14:paraId="163467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地表水</w:t>
                  </w:r>
                </w:p>
              </w:tc>
              <w:tc>
                <w:tcPr>
                  <w:tcW w:w="3585" w:type="dxa"/>
                  <w:vAlign w:val="center"/>
                </w:tcPr>
                <w:p w14:paraId="03EA5A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新增工业废水直排建设项目（槽罐车外送污水处理厂的除外）；新增废水直排的污水集中处理厂</w:t>
                  </w:r>
                </w:p>
              </w:tc>
              <w:tc>
                <w:tcPr>
                  <w:tcW w:w="2670" w:type="dxa"/>
                  <w:vAlign w:val="center"/>
                </w:tcPr>
                <w:p w14:paraId="05B802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本项目生活污水经市政管网排入污水处理厂，</w:t>
                  </w:r>
                  <w:r>
                    <w:rPr>
                      <w:rFonts w:hint="eastAsia" w:cs="var(--dsw-font-markdown-table)"/>
                      <w:color w:val="auto"/>
                      <w:kern w:val="0"/>
                      <w:sz w:val="21"/>
                      <w:szCs w:val="24"/>
                      <w:lang w:val="en-US" w:eastAsia="zh-CN" w:bidi="ar"/>
                    </w:rPr>
                    <w:t>生产废水委外处理，</w:t>
                  </w:r>
                  <w:r>
                    <w:rPr>
                      <w:rFonts w:hint="default" w:ascii="Times New Roman" w:hAnsi="Times New Roman" w:eastAsia="宋体" w:cs="var(--dsw-font-markdown-table)"/>
                      <w:color w:val="auto"/>
                      <w:kern w:val="0"/>
                      <w:sz w:val="21"/>
                      <w:szCs w:val="24"/>
                      <w:lang w:val="en-US" w:eastAsia="zh-CN" w:bidi="ar"/>
                    </w:rPr>
                    <w:t>不涉及工业废水直排</w:t>
                  </w:r>
                </w:p>
              </w:tc>
              <w:tc>
                <w:tcPr>
                  <w:tcW w:w="679" w:type="dxa"/>
                  <w:vAlign w:val="center"/>
                </w:tcPr>
                <w:p w14:paraId="00DBDB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否</w:t>
                  </w:r>
                </w:p>
              </w:tc>
            </w:tr>
            <w:tr w14:paraId="4A01E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1" w:type="dxa"/>
                  <w:vAlign w:val="center"/>
                </w:tcPr>
                <w:p w14:paraId="1035A3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环境风险</w:t>
                  </w:r>
                </w:p>
              </w:tc>
              <w:tc>
                <w:tcPr>
                  <w:tcW w:w="3585" w:type="dxa"/>
                  <w:vAlign w:val="center"/>
                </w:tcPr>
                <w:p w14:paraId="138130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有毒有害和易燃易爆危险物质存储量超过临界量的建设项目</w:t>
                  </w:r>
                </w:p>
              </w:tc>
              <w:tc>
                <w:tcPr>
                  <w:tcW w:w="2670" w:type="dxa"/>
                  <w:vAlign w:val="center"/>
                </w:tcPr>
                <w:p w14:paraId="7C6132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本项目危险物质存储量Q值＜1</w:t>
                  </w:r>
                </w:p>
              </w:tc>
              <w:tc>
                <w:tcPr>
                  <w:tcW w:w="679" w:type="dxa"/>
                  <w:vAlign w:val="center"/>
                </w:tcPr>
                <w:p w14:paraId="3F46C1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否</w:t>
                  </w:r>
                </w:p>
              </w:tc>
            </w:tr>
            <w:tr w14:paraId="502E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1" w:type="dxa"/>
                  <w:vAlign w:val="center"/>
                </w:tcPr>
                <w:p w14:paraId="4CB27C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生态</w:t>
                  </w:r>
                </w:p>
              </w:tc>
              <w:tc>
                <w:tcPr>
                  <w:tcW w:w="3585" w:type="dxa"/>
                  <w:vAlign w:val="center"/>
                </w:tcPr>
                <w:p w14:paraId="01DD27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取水口下游500米范围内有重要水生生物的自然产卵场、索饵场、越冬场和洄游通道的新增河道取水的污染类建设项目</w:t>
                  </w:r>
                </w:p>
              </w:tc>
              <w:tc>
                <w:tcPr>
                  <w:tcW w:w="2670" w:type="dxa"/>
                  <w:vAlign w:val="center"/>
                </w:tcPr>
                <w:p w14:paraId="2E816D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不涉及</w:t>
                  </w:r>
                </w:p>
              </w:tc>
              <w:tc>
                <w:tcPr>
                  <w:tcW w:w="679" w:type="dxa"/>
                  <w:vAlign w:val="center"/>
                </w:tcPr>
                <w:p w14:paraId="1182E2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否</w:t>
                  </w:r>
                </w:p>
              </w:tc>
            </w:tr>
            <w:tr w14:paraId="506FA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1" w:type="dxa"/>
                  <w:vAlign w:val="center"/>
                </w:tcPr>
                <w:p w14:paraId="6640BB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海洋</w:t>
                  </w:r>
                </w:p>
              </w:tc>
              <w:tc>
                <w:tcPr>
                  <w:tcW w:w="3585" w:type="dxa"/>
                  <w:vAlign w:val="center"/>
                </w:tcPr>
                <w:p w14:paraId="172F66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直接向海排放污染物的海洋工程建设项目</w:t>
                  </w:r>
                </w:p>
              </w:tc>
              <w:tc>
                <w:tcPr>
                  <w:tcW w:w="2670" w:type="dxa"/>
                  <w:vAlign w:val="center"/>
                </w:tcPr>
                <w:p w14:paraId="4C8FE5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不涉及</w:t>
                  </w:r>
                </w:p>
              </w:tc>
              <w:tc>
                <w:tcPr>
                  <w:tcW w:w="679" w:type="dxa"/>
                  <w:vAlign w:val="center"/>
                </w:tcPr>
                <w:p w14:paraId="15BFBC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否</w:t>
                  </w:r>
                </w:p>
              </w:tc>
            </w:tr>
          </w:tbl>
          <w:p w14:paraId="14CC4C4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eastAsia="宋体"/>
                <w:color w:val="auto"/>
                <w:sz w:val="21"/>
                <w:highlight w:val="none"/>
              </w:rPr>
            </w:pPr>
            <w:r>
              <w:rPr>
                <w:rFonts w:hint="default" w:ascii="Times New Roman" w:hAnsi="Times New Roman" w:eastAsia="宋体" w:cs="Segoe UI"/>
                <w:b/>
                <w:bCs/>
                <w:i w:val="0"/>
                <w:iCs w:val="0"/>
                <w:caps w:val="0"/>
                <w:color w:val="auto"/>
                <w:spacing w:val="0"/>
                <w:sz w:val="21"/>
                <w:szCs w:val="24"/>
                <w:shd w:val="clear" w:fill="FFFFFF"/>
              </w:rPr>
              <w:t>注：</w:t>
            </w:r>
            <w:r>
              <w:rPr>
                <w:rFonts w:hint="default" w:ascii="Times New Roman" w:hAnsi="Times New Roman" w:eastAsia="宋体" w:cs="Segoe UI"/>
                <w:i w:val="0"/>
                <w:iCs w:val="0"/>
                <w:caps w:val="0"/>
                <w:color w:val="auto"/>
                <w:spacing w:val="0"/>
                <w:sz w:val="21"/>
                <w:szCs w:val="24"/>
                <w:shd w:val="clear" w:fill="FFFFFF"/>
              </w:rPr>
              <w:t>1.废气中有毒有害污染物指纳入《有毒有害大气污染物名录》的污染物（不包括无排放标准的污染物）。2.环境空气保护目标指自然保护区、风景名胜区、居住区、文化区和农村地区中人群较集中的区域。3.临界量及其计算方法可参考《建设项目环境风险评价技术导则》（</w:t>
            </w:r>
            <w:r>
              <w:rPr>
                <w:rFonts w:hint="eastAsia" w:cs="Segoe UI"/>
                <w:i w:val="0"/>
                <w:iCs w:val="0"/>
                <w:caps w:val="0"/>
                <w:color w:val="auto"/>
                <w:spacing w:val="0"/>
                <w:sz w:val="21"/>
                <w:szCs w:val="24"/>
                <w:shd w:val="clear" w:fill="FFFFFF"/>
                <w:lang w:eastAsia="zh-CN"/>
              </w:rPr>
              <w:t>HJ 169-2018</w:t>
            </w:r>
            <w:r>
              <w:rPr>
                <w:rFonts w:hint="default" w:ascii="Times New Roman" w:hAnsi="Times New Roman" w:eastAsia="宋体" w:cs="Segoe UI"/>
                <w:i w:val="0"/>
                <w:iCs w:val="0"/>
                <w:caps w:val="0"/>
                <w:color w:val="auto"/>
                <w:spacing w:val="0"/>
                <w:sz w:val="21"/>
                <w:szCs w:val="24"/>
                <w:shd w:val="clear" w:fill="FFFFFF"/>
              </w:rPr>
              <w:t>）附录B、附录C。</w:t>
            </w:r>
          </w:p>
        </w:tc>
      </w:tr>
      <w:tr w14:paraId="2C7A12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48" w:type="dxa"/>
            <w:gridSpan w:val="2"/>
            <w:vAlign w:val="center"/>
          </w:tcPr>
          <w:p w14:paraId="3D0C76D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规划情况</w:t>
            </w:r>
          </w:p>
        </w:tc>
        <w:tc>
          <w:tcPr>
            <w:tcW w:w="8291" w:type="dxa"/>
            <w:gridSpan w:val="4"/>
            <w:vAlign w:val="center"/>
          </w:tcPr>
          <w:p w14:paraId="2236D44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无</w:t>
            </w:r>
          </w:p>
        </w:tc>
      </w:tr>
      <w:tr w14:paraId="6F7D54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2048" w:type="dxa"/>
            <w:gridSpan w:val="2"/>
            <w:vAlign w:val="center"/>
          </w:tcPr>
          <w:p w14:paraId="621995D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规划环境影响</w:t>
            </w:r>
          </w:p>
          <w:p w14:paraId="0A95DBA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评价情况</w:t>
            </w:r>
          </w:p>
        </w:tc>
        <w:tc>
          <w:tcPr>
            <w:tcW w:w="8291" w:type="dxa"/>
            <w:gridSpan w:val="4"/>
            <w:vAlign w:val="center"/>
          </w:tcPr>
          <w:p w14:paraId="3218764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无</w:t>
            </w:r>
          </w:p>
        </w:tc>
      </w:tr>
      <w:tr w14:paraId="10F33C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2048" w:type="dxa"/>
            <w:gridSpan w:val="2"/>
            <w:vAlign w:val="center"/>
          </w:tcPr>
          <w:p w14:paraId="36164E1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规划及规划环境影响评价符合性分析</w:t>
            </w:r>
          </w:p>
        </w:tc>
        <w:tc>
          <w:tcPr>
            <w:tcW w:w="8291" w:type="dxa"/>
            <w:gridSpan w:val="4"/>
            <w:vAlign w:val="center"/>
          </w:tcPr>
          <w:p w14:paraId="10BF2B7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无</w:t>
            </w:r>
          </w:p>
        </w:tc>
      </w:tr>
      <w:tr w14:paraId="0EEB3A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33" w:hRule="atLeast"/>
          <w:jc w:val="center"/>
        </w:trPr>
        <w:tc>
          <w:tcPr>
            <w:tcW w:w="450" w:type="dxa"/>
            <w:tcBorders>
              <w:bottom w:val="single" w:color="auto" w:sz="4" w:space="0"/>
            </w:tcBorders>
            <w:vAlign w:val="center"/>
          </w:tcPr>
          <w:p w14:paraId="5E7497D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kern w:val="0"/>
                <w:sz w:val="21"/>
                <w:highlight w:val="none"/>
              </w:rPr>
            </w:pPr>
            <w:r>
              <w:rPr>
                <w:rFonts w:hint="default" w:ascii="Times New Roman" w:hAnsi="Times New Roman" w:eastAsia="宋体"/>
                <w:color w:val="auto"/>
                <w:sz w:val="21"/>
                <w:highlight w:val="none"/>
              </w:rPr>
              <w:t>其他符合性分析</w:t>
            </w:r>
          </w:p>
        </w:tc>
        <w:tc>
          <w:tcPr>
            <w:tcW w:w="9889" w:type="dxa"/>
            <w:gridSpan w:val="5"/>
            <w:tcBorders>
              <w:bottom w:val="single" w:color="auto" w:sz="4" w:space="0"/>
            </w:tcBorders>
            <w:vAlign w:val="center"/>
          </w:tcPr>
          <w:p w14:paraId="2D080EA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1、产业政策相符性分析</w:t>
            </w:r>
          </w:p>
          <w:p w14:paraId="4E3795CD">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本项目从事儿童运动鞋的生产、销售，属于《国民经济行业分类（按第1号修订单修订）（GB/T4754</w:t>
            </w:r>
            <w:r>
              <w:rPr>
                <w:rFonts w:hint="eastAsia" w:ascii="Times New Roman" w:hAnsi="Times New Roman" w:cs="Segoe UI"/>
                <w:i w:val="0"/>
                <w:iCs w:val="0"/>
                <w:caps w:val="0"/>
                <w:color w:val="auto"/>
                <w:spacing w:val="0"/>
                <w:sz w:val="21"/>
                <w:szCs w:val="24"/>
                <w:shd w:val="clear" w:fill="FFFFFF"/>
                <w:lang w:val="en-US" w:eastAsia="zh-CN"/>
              </w:rPr>
              <w:t>-</w:t>
            </w:r>
            <w:r>
              <w:rPr>
                <w:rFonts w:hint="default" w:ascii="Times New Roman" w:hAnsi="Times New Roman" w:eastAsia="宋体" w:cs="Segoe UI"/>
                <w:i w:val="0"/>
                <w:iCs w:val="0"/>
                <w:caps w:val="0"/>
                <w:color w:val="auto"/>
                <w:spacing w:val="0"/>
                <w:sz w:val="21"/>
                <w:szCs w:val="24"/>
                <w:shd w:val="clear" w:fill="FFFFFF"/>
              </w:rPr>
              <w:t>2017）中C1953塑料鞋制造、</w:t>
            </w:r>
            <w:r>
              <w:rPr>
                <w:rFonts w:hint="default" w:ascii="Times New Roman" w:hAnsi="Times New Roman" w:eastAsia="宋体" w:cs="var(--dsw-font-markdown-table)"/>
                <w:color w:val="auto"/>
                <w:kern w:val="0"/>
                <w:sz w:val="21"/>
                <w:szCs w:val="24"/>
                <w:lang w:val="en-US" w:eastAsia="zh-CN" w:bidi="ar"/>
              </w:rPr>
              <w:t>C1959其他制鞋业</w:t>
            </w:r>
            <w:r>
              <w:rPr>
                <w:rFonts w:hint="default" w:ascii="Times New Roman" w:hAnsi="Times New Roman" w:eastAsia="宋体" w:cs="Segoe UI"/>
                <w:i w:val="0"/>
                <w:iCs w:val="0"/>
                <w:caps w:val="0"/>
                <w:color w:val="auto"/>
                <w:spacing w:val="0"/>
                <w:sz w:val="21"/>
                <w:szCs w:val="24"/>
                <w:shd w:val="clear" w:fill="FFFFFF"/>
              </w:rPr>
              <w:t>、C1951纺织面料鞋制造，不属于《产业结构调整指导目录（2024年本）》的鼓励类、限制类和淘汰类，属于允许类。</w:t>
            </w:r>
          </w:p>
          <w:p w14:paraId="3748759A">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根据《产业发展与转移指导目录（2018年本）》，本项目不属于引导逐步调整退出的产业和引导不再承接的产业，符合相关规定要求。</w:t>
            </w:r>
          </w:p>
          <w:p w14:paraId="60166C66">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根据《市场准入负面清单（2025年版）》（发改体改规〔2025〕466号），本项目不属于禁止类和许可类范畴，属于市场准入负面清单以外的行业，可依法平等进入。</w:t>
            </w:r>
          </w:p>
          <w:p w14:paraId="066C0EB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2、选址可行性分析</w:t>
            </w:r>
          </w:p>
          <w:p w14:paraId="7BE4A112">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项目位于中山市南区圣都南路55号。根据“中山市自然资源一图通”，项目用地规划为工业用地，符合中山市土地利用总体规划。项目不占用基本农田保护区、水源保护区、自然风景保护区等其他用途的用地，选址合理。</w:t>
            </w:r>
          </w:p>
          <w:p w14:paraId="648A0BA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3、与《中山市涉挥发性有机物项目环保管理规定(2026年修订版)》（中环规字(2026)2号）的相符性分析</w:t>
            </w:r>
          </w:p>
          <w:tbl>
            <w:tblPr>
              <w:tblStyle w:val="49"/>
              <w:tblW w:w="96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3"/>
              <w:gridCol w:w="4503"/>
              <w:gridCol w:w="682"/>
            </w:tblGrid>
            <w:tr w14:paraId="6BF60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13" w:type="dxa"/>
                  <w:vAlign w:val="center"/>
                </w:tcPr>
                <w:p w14:paraId="1C9281E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color w:val="auto"/>
                      <w:sz w:val="21"/>
                      <w:highlight w:val="none"/>
                      <w:vertAlign w:val="baseline"/>
                    </w:rPr>
                  </w:pPr>
                  <w:r>
                    <w:rPr>
                      <w:rFonts w:hint="default" w:ascii="Times New Roman" w:hAnsi="Times New Roman" w:eastAsia="宋体" w:cs="var(--dsw-font-markdown-table-h"/>
                      <w:b/>
                      <w:bCs/>
                      <w:color w:val="auto"/>
                      <w:kern w:val="0"/>
                      <w:sz w:val="21"/>
                      <w:szCs w:val="24"/>
                      <w:lang w:val="en-US" w:eastAsia="zh-CN" w:bidi="ar"/>
                    </w:rPr>
                    <w:t>标准要求</w:t>
                  </w:r>
                </w:p>
              </w:tc>
              <w:tc>
                <w:tcPr>
                  <w:tcW w:w="4503" w:type="dxa"/>
                  <w:vAlign w:val="center"/>
                </w:tcPr>
                <w:p w14:paraId="045D6E3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color w:val="auto"/>
                      <w:sz w:val="21"/>
                      <w:highlight w:val="none"/>
                      <w:vertAlign w:val="baseline"/>
                    </w:rPr>
                  </w:pPr>
                  <w:r>
                    <w:rPr>
                      <w:rFonts w:hint="default" w:ascii="Times New Roman" w:hAnsi="Times New Roman" w:eastAsia="宋体" w:cs="var(--dsw-font-markdown-table-h"/>
                      <w:b/>
                      <w:bCs/>
                      <w:color w:val="auto"/>
                      <w:kern w:val="0"/>
                      <w:sz w:val="21"/>
                      <w:szCs w:val="24"/>
                      <w:lang w:val="en-US" w:eastAsia="zh-CN" w:bidi="ar"/>
                    </w:rPr>
                    <w:t>本项目情况</w:t>
                  </w:r>
                </w:p>
              </w:tc>
              <w:tc>
                <w:tcPr>
                  <w:tcW w:w="682" w:type="dxa"/>
                  <w:vAlign w:val="center"/>
                </w:tcPr>
                <w:p w14:paraId="3374BE7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color w:val="auto"/>
                      <w:sz w:val="21"/>
                      <w:highlight w:val="none"/>
                      <w:vertAlign w:val="baseline"/>
                    </w:rPr>
                  </w:pPr>
                  <w:r>
                    <w:rPr>
                      <w:rFonts w:hint="default" w:ascii="Times New Roman" w:hAnsi="Times New Roman" w:eastAsia="宋体" w:cs="var(--dsw-font-markdown-table-h"/>
                      <w:b/>
                      <w:bCs/>
                      <w:color w:val="auto"/>
                      <w:kern w:val="0"/>
                      <w:sz w:val="21"/>
                      <w:szCs w:val="24"/>
                      <w:lang w:val="en-US" w:eastAsia="zh-CN" w:bidi="ar"/>
                    </w:rPr>
                    <w:t>是否相符</w:t>
                  </w:r>
                </w:p>
              </w:tc>
            </w:tr>
            <w:tr w14:paraId="17F4C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13" w:type="dxa"/>
                  <w:vAlign w:val="center"/>
                </w:tcPr>
                <w:p w14:paraId="4A9E7D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第四条 东区街道、西区街道、南区街道、石岐街道不得新建、改建、扩建生产和使用高VOCs原辅材料的项目。</w:t>
                  </w:r>
                </w:p>
              </w:tc>
              <w:tc>
                <w:tcPr>
                  <w:tcW w:w="4503" w:type="dxa"/>
                  <w:vAlign w:val="center"/>
                </w:tcPr>
                <w:p w14:paraId="505F42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本项目位于中山市南区圣都南路55号，为新建项目。项目使用的水性PU胶、水性橡胶处理剂、清洁剂、水性丝印油墨、转印油墨、UV油墨等原辅材料均符合国家低（无）VOCs含量产品规定的限值要求。其中：水性PU胶VOCs含量＜2g/L，满足《胶粘剂挥发性有机化合物限量》（GB 33372-2020）表2水基型胶粘剂中“鞋和箱包聚氨酯类”VOC含量≤50g/L的限值要求；水性橡胶处理剂为水基型处理剂，总VOCs约1%～10%，不属于高VOCs原辅材料；清洁剂为水基型清洗剂，主要成分为水99.5%～99.8%、助剂0.2%～0.5%，总VOCs含量约0.2%～0.5%，符合《清洗剂挥发性有机化合物含量限值》（GB 38508-2020）中水基型清洗剂的要求；水性丝印油墨总VOCs未检出（ND，检出限0.2%），转印油墨按最不利原则估算VOCs约3%～5%，均远低于《油墨中可挥发性有机化合物（VOCs）含量的限值》（GB 38507-2020）水性油墨凹印油墨—非吸收性承印物VOCs含量≤30%的限值要求；UV油墨VOCs含量＜5%，满足能量固化油墨VOCs含量≤10%的限值要求。。</w:t>
                  </w:r>
                </w:p>
              </w:tc>
              <w:tc>
                <w:tcPr>
                  <w:tcW w:w="682" w:type="dxa"/>
                  <w:vAlign w:val="center"/>
                </w:tcPr>
                <w:p w14:paraId="1DB108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是</w:t>
                  </w:r>
                </w:p>
              </w:tc>
            </w:tr>
            <w:tr w14:paraId="4634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13" w:type="dxa"/>
                  <w:vAlign w:val="center"/>
                </w:tcPr>
                <w:p w14:paraId="1AC9A0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第五条 全市范围内（石岐街道、东区街道、西区街道、南区街道除外）严格限制新建、改建、扩建生产和使用高VOCs原辅材料的项目，鼓励建设涉VOCs共性产业园（共性工厂）。</w:t>
                  </w:r>
                </w:p>
              </w:tc>
              <w:tc>
                <w:tcPr>
                  <w:tcW w:w="4503" w:type="dxa"/>
                  <w:vAlign w:val="center"/>
                </w:tcPr>
                <w:p w14:paraId="17CC88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本项目位于南区街道，不适用本条规定。</w:t>
                  </w:r>
                </w:p>
              </w:tc>
              <w:tc>
                <w:tcPr>
                  <w:tcW w:w="682" w:type="dxa"/>
                  <w:vAlign w:val="center"/>
                </w:tcPr>
                <w:p w14:paraId="4A8813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是</w:t>
                  </w:r>
                </w:p>
              </w:tc>
            </w:tr>
            <w:tr w14:paraId="6537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13" w:type="dxa"/>
                  <w:vAlign w:val="center"/>
                </w:tcPr>
                <w:p w14:paraId="157164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第八条 对涉VOCs产排的企业要遵循“以新带老”原则。企业涉及同址改建、扩建的，其原项目中涉及VOCs产排的生产工艺、原辅材料使用、治理设施等须按照现行标准要求，同步进行技术升级。</w:t>
                  </w:r>
                </w:p>
              </w:tc>
              <w:tc>
                <w:tcPr>
                  <w:tcW w:w="4503" w:type="dxa"/>
                  <w:vAlign w:val="center"/>
                </w:tcPr>
                <w:p w14:paraId="37C45E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本项目为新建项目，不涉及同址改建、扩建，无需执行“以新带老”原则。</w:t>
                  </w:r>
                </w:p>
              </w:tc>
              <w:tc>
                <w:tcPr>
                  <w:tcW w:w="682" w:type="dxa"/>
                  <w:vAlign w:val="center"/>
                </w:tcPr>
                <w:p w14:paraId="6B1C2F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是</w:t>
                  </w:r>
                </w:p>
              </w:tc>
            </w:tr>
            <w:tr w14:paraId="0E388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13" w:type="dxa"/>
                  <w:vAlign w:val="center"/>
                </w:tcPr>
                <w:p w14:paraId="0C798C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第九条 高VOCs原辅材料的生产和使用过程，应当采用密闭设备或者在密闭空间内操作；无法密闭的，应当采取高效局部气体收集措施。废气应当排至VOCs收集处理设施。</w:t>
                  </w:r>
                </w:p>
              </w:tc>
              <w:tc>
                <w:tcPr>
                  <w:tcW w:w="4503" w:type="dxa"/>
                  <w:vAlign w:val="center"/>
                </w:tcPr>
                <w:p w14:paraId="567A85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本项目不使用高VOCs原辅材料。</w:t>
                  </w:r>
                </w:p>
              </w:tc>
              <w:tc>
                <w:tcPr>
                  <w:tcW w:w="682" w:type="dxa"/>
                  <w:vAlign w:val="center"/>
                </w:tcPr>
                <w:p w14:paraId="35B7E6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是</w:t>
                  </w:r>
                </w:p>
              </w:tc>
            </w:tr>
            <w:tr w14:paraId="5ACB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13" w:type="dxa"/>
                  <w:vAlign w:val="center"/>
                </w:tcPr>
                <w:p w14:paraId="313404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第十条 涉VOCs废气遵循“应收尽收、分质收集”的原则。收集的废气中NMHC初始排放速率≥2kg/h时，应当配置VOCs处理设施，处理效率应当不低于80%。……车间密闭负压，收集效率不应低于90%；……采用半密闭型集气设备等高效局部气体收集措施的，敞开面控制风速应不小于0.3m/s。</w:t>
                  </w:r>
                </w:p>
              </w:tc>
              <w:tc>
                <w:tcPr>
                  <w:tcW w:w="4503" w:type="dxa"/>
                  <w:vAlign w:val="center"/>
                </w:tcPr>
                <w:p w14:paraId="015E01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本项目鞋面制造工序（UV打印、打转印纸）采用密闭负压车间收集，收集效率≥90%；鞋底制造工序（拌料、发泡、打粗、刷处理剂、清洁、刷胶及烘干）及成品组装工序（刷处理剂、清洁、刷胶及烘干）采用外部集气罩收集，控制风速≥0.3m/s。经核算，各排气筒对应NMHC有组织初始排放速率最大约为0.079kg/h（G1排气筒），远小于2kg/h，不属于必须配置高效处理设施的情形。本项目G1排气筒采用“滤筒除尘器+二级活性炭吸附”工艺，G2~G7、G9排气筒采用“二级活性炭吸附”工艺处理有机废气，属《排污许可证申请与核发技术规范 橡胶和塑料制品工业》（HJ1122-2020）附录A推荐的可行技术。</w:t>
                  </w:r>
                </w:p>
              </w:tc>
              <w:tc>
                <w:tcPr>
                  <w:tcW w:w="682" w:type="dxa"/>
                  <w:vAlign w:val="center"/>
                </w:tcPr>
                <w:p w14:paraId="6C6B4A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是</w:t>
                  </w:r>
                </w:p>
              </w:tc>
            </w:tr>
            <w:tr w14:paraId="635A4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13" w:type="dxa"/>
                  <w:vAlign w:val="center"/>
                </w:tcPr>
                <w:p w14:paraId="4BD72A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第十一条 企业VOCs原辅材料应采用密闭管道或密闭容器等输送和转移。VOCs物料应储存于密闭的容器或包装袋中。容器或包装袋应存放于室内……盛装VOCs物料的容器或包装袋在非取用状态时应加盖、封口，保持密闭。含VOCs废料、沾染有VOCs物料的废抹布，以及盛装过VOCs原辅料的废包装容器、包装袋等应密闭储存于危废储存间。</w:t>
                  </w:r>
                </w:p>
              </w:tc>
              <w:tc>
                <w:tcPr>
                  <w:tcW w:w="4503" w:type="dxa"/>
                  <w:vAlign w:val="center"/>
                </w:tcPr>
                <w:p w14:paraId="61ACFD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本项目含VOCs原辅材料（水性PU胶、水性橡胶处理剂、清洁剂、丝印油墨、UV油墨、转印油墨等）均储存于密封的包装桶/容器中；液态VOCs物料采用密闭包装桶转移和输送，不涉及挥发性有机液体装载。所有含VOCs物料包装容器均存放于室内化学品仓，满足防风、防雨、防晒、防渗漏要求；非取用状态时容器加盖、封口，保持密闭；VOCs物料储库满足密闭空间要求。含VOCs废料（废活性炭）、废油墨桶、废胶桶/处理剂桶、含油废抹布及手套等均密闭储存于危废储存间。</w:t>
                  </w:r>
                </w:p>
              </w:tc>
              <w:tc>
                <w:tcPr>
                  <w:tcW w:w="682" w:type="dxa"/>
                  <w:vAlign w:val="center"/>
                </w:tcPr>
                <w:p w14:paraId="5DF86B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是</w:t>
                  </w:r>
                </w:p>
              </w:tc>
            </w:tr>
            <w:tr w14:paraId="327AC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13" w:type="dxa"/>
                  <w:vAlign w:val="center"/>
                </w:tcPr>
                <w:p w14:paraId="464222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第十四条 鼓励企业采取多种技术组合工艺提高VOCs处理效率，处理效率应当不低于80%。低浓度、大风量废气宜采用浓缩技术……非水溶性的VOCs废气禁止仅采用水或水溶液喷淋吸收处理。</w:t>
                  </w:r>
                </w:p>
              </w:tc>
              <w:tc>
                <w:tcPr>
                  <w:tcW w:w="4503" w:type="dxa"/>
                  <w:vAlign w:val="center"/>
                </w:tcPr>
                <w:p w14:paraId="674988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本项目NMHC有组织初始排放速率最大约为0.079kg/h（G1排气筒），远小于2kg/h，不属于必须配置高效处理设施的情形。本项目有机废气采用“二级活性炭吸附”组合工艺处理，其中G1排气筒配套“滤筒除尘器+二级活性炭吸附”，G2~G7、G9排气筒采用“二级活性炭吸附”；不使用水或水溶液喷淋吸收处理方式，符合规定要求。</w:t>
                  </w:r>
                </w:p>
              </w:tc>
              <w:tc>
                <w:tcPr>
                  <w:tcW w:w="682" w:type="dxa"/>
                  <w:vAlign w:val="center"/>
                </w:tcPr>
                <w:p w14:paraId="55B2F1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是</w:t>
                  </w:r>
                </w:p>
              </w:tc>
            </w:tr>
            <w:tr w14:paraId="286E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13" w:type="dxa"/>
                  <w:vAlign w:val="center"/>
                </w:tcPr>
                <w:p w14:paraId="7D8FD3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第十五条 环境影响评价文件中应明确废气处理工艺、规格、活性炭填充量、治理设备维护周期等关键参数，并分析其处理效率的可达性。</w:t>
                  </w:r>
                </w:p>
              </w:tc>
              <w:tc>
                <w:tcPr>
                  <w:tcW w:w="4503" w:type="dxa"/>
                  <w:vAlign w:val="center"/>
                </w:tcPr>
                <w:p w14:paraId="4405A3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本报告第四章已明确各废气处理设施的工艺、风量、活性炭填装量（详见活性炭吸附装置参数一览表）、更换频次等关键参数，并分析了处理效率的可达性。</w:t>
                  </w:r>
                </w:p>
              </w:tc>
              <w:tc>
                <w:tcPr>
                  <w:tcW w:w="682" w:type="dxa"/>
                  <w:vAlign w:val="center"/>
                </w:tcPr>
                <w:p w14:paraId="6BB41A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是</w:t>
                  </w:r>
                </w:p>
              </w:tc>
            </w:tr>
            <w:tr w14:paraId="3686C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13" w:type="dxa"/>
                  <w:vAlign w:val="center"/>
                </w:tcPr>
                <w:p w14:paraId="41F9B5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第十六条 涉及活性炭吸附工艺的，原则上采用碘值不低于800mg/g的颗粒活性炭……活性炭更换周期不应超过1000小时（按6个月算）；无脱附功能或脱附功能不正常运行的，活性炭更换周期不应超过500小时（按3个月算）。</w:t>
                  </w:r>
                </w:p>
              </w:tc>
              <w:tc>
                <w:tcPr>
                  <w:tcW w:w="4503" w:type="dxa"/>
                  <w:vAlign w:val="center"/>
                </w:tcPr>
                <w:p w14:paraId="46B456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本项目拟采用碘值不低于800mg/g的颗粒活性炭；活性炭吸附装置无脱附功能，更换周期按3个月/次（约600小时）执行，本报告第四章已明确活性炭填充量及更换频次。</w:t>
                  </w:r>
                </w:p>
              </w:tc>
              <w:tc>
                <w:tcPr>
                  <w:tcW w:w="682" w:type="dxa"/>
                  <w:vAlign w:val="center"/>
                </w:tcPr>
                <w:p w14:paraId="785F08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是</w:t>
                  </w:r>
                </w:p>
              </w:tc>
            </w:tr>
            <w:tr w14:paraId="488AA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13" w:type="dxa"/>
                  <w:vAlign w:val="center"/>
                </w:tcPr>
                <w:p w14:paraId="72F9B1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第十七条 为鼓励挥发性有机物源头替代，对使用符合国家有关低（无）VOCs含量产品规定的原辅材料，同时满足废气全部收集、NMHC初始排放速率小于2kg/h，且确保企业厂区内VOCs无组织排放监控点NMHC浓度符合相关排放限制要求的项目，在符合相关法律法规、政策标准和环境可行性要求的前提下，可不强制要求配套污染防治设施。</w:t>
                  </w:r>
                </w:p>
              </w:tc>
              <w:tc>
                <w:tcPr>
                  <w:tcW w:w="4503" w:type="dxa"/>
                  <w:vAlign w:val="center"/>
                </w:tcPr>
                <w:p w14:paraId="6016DB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本项目使用符合国家低（无）VOCs含量规定的原辅材料。但本项目部分工序采用外部集气罩收集，无法实现废气全部收集，同时考虑到发泡等工序废气特征，为确保废气达标排放，本项目主动配套建设“滤筒除尘器+二级活性炭吸附”及“二级活性炭吸附”处理设施，从环境保护角度更为稳妥可行。</w:t>
                  </w:r>
                </w:p>
              </w:tc>
              <w:tc>
                <w:tcPr>
                  <w:tcW w:w="682" w:type="dxa"/>
                  <w:vAlign w:val="center"/>
                </w:tcPr>
                <w:p w14:paraId="1CDE3D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是</w:t>
                  </w:r>
                </w:p>
              </w:tc>
            </w:tr>
            <w:tr w14:paraId="3E705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13" w:type="dxa"/>
                  <w:vAlign w:val="center"/>
                </w:tcPr>
                <w:p w14:paraId="38EC30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第十八条 企业应当建立台账，记录含VOCs原辅材料和含VOCs产品的名称、使用量、回收量、废弃量、去向以及VOCs含量等信息。台账保存期限不少于3年。</w:t>
                  </w:r>
                </w:p>
              </w:tc>
              <w:tc>
                <w:tcPr>
                  <w:tcW w:w="4503" w:type="dxa"/>
                  <w:vAlign w:val="center"/>
                </w:tcPr>
                <w:p w14:paraId="3B8D3A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企业拟建立VOCs原辅材料台账，详细记录含VOCs原辅材料的名称、使用量、废弃量、去向及VOCs含量等信息，台账保存期限不少于3年。</w:t>
                  </w:r>
                </w:p>
              </w:tc>
              <w:tc>
                <w:tcPr>
                  <w:tcW w:w="682" w:type="dxa"/>
                  <w:vAlign w:val="center"/>
                </w:tcPr>
                <w:p w14:paraId="0B7AF8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是</w:t>
                  </w:r>
                </w:p>
              </w:tc>
            </w:tr>
            <w:tr w14:paraId="652E8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13" w:type="dxa"/>
                  <w:vAlign w:val="center"/>
                </w:tcPr>
                <w:p w14:paraId="3A3BF6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第二十四条 全市范围内（石岐街道、东区街道、西区街道、南区街道除外）涉VOCs共性产业园（共性工厂）、符合高VOCs原辅材料不可替代情况项目免于执行本规定第五条要求。</w:t>
                  </w:r>
                </w:p>
              </w:tc>
              <w:tc>
                <w:tcPr>
                  <w:tcW w:w="4503" w:type="dxa"/>
                  <w:vAlign w:val="center"/>
                </w:tcPr>
                <w:p w14:paraId="56C048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本项目位于南区街道，不适用本条规定。</w:t>
                  </w:r>
                </w:p>
              </w:tc>
              <w:tc>
                <w:tcPr>
                  <w:tcW w:w="682" w:type="dxa"/>
                  <w:vAlign w:val="center"/>
                </w:tcPr>
                <w:p w14:paraId="0ED25A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是</w:t>
                  </w:r>
                </w:p>
              </w:tc>
            </w:tr>
            <w:tr w14:paraId="0E9AE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13" w:type="dxa"/>
                  <w:vAlign w:val="center"/>
                </w:tcPr>
                <w:p w14:paraId="3BBD48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第二十五条 符合高VOCs原辅材料不可替代情况的，环境影响评价文件应当开展充分论证，企业须提交《高VOCs原辅材料不可替代性专家论证意见》及相关原辅材料不可替代佐证材料。</w:t>
                  </w:r>
                </w:p>
              </w:tc>
              <w:tc>
                <w:tcPr>
                  <w:tcW w:w="4503" w:type="dxa"/>
                  <w:vAlign w:val="center"/>
                </w:tcPr>
                <w:p w14:paraId="6D3509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本项目使用的水性PU胶、水性橡胶处理剂、清洁剂、水性丝印油墨、UV油墨、转印油墨等原辅材料均属于低（无）VOCs原辅材料，不属于高VOCs原辅材料，无需提交《高VOCs原辅材料不可替代性专家论证意见》。</w:t>
                  </w:r>
                </w:p>
              </w:tc>
              <w:tc>
                <w:tcPr>
                  <w:tcW w:w="682" w:type="dxa"/>
                  <w:vAlign w:val="center"/>
                </w:tcPr>
                <w:p w14:paraId="0F28BE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h"/>
                      <w:b/>
                      <w:bCs/>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是</w:t>
                  </w:r>
                </w:p>
              </w:tc>
            </w:tr>
          </w:tbl>
          <w:p w14:paraId="6A1914B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157" w:beforeLines="5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4、与广东省《固定污染源挥发性有机物综合排放标准》（DB44/2367—2022）的相符性分析</w:t>
            </w:r>
          </w:p>
          <w:tbl>
            <w:tblPr>
              <w:tblStyle w:val="49"/>
              <w:tblW w:w="96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2"/>
              <w:gridCol w:w="4513"/>
              <w:gridCol w:w="683"/>
            </w:tblGrid>
            <w:tr w14:paraId="18C35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4502" w:type="dxa"/>
                  <w:vAlign w:val="center"/>
                </w:tcPr>
                <w:p w14:paraId="2D4D4FF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h"/>
                      <w:b/>
                      <w:bCs/>
                      <w:color w:val="auto"/>
                      <w:kern w:val="0"/>
                      <w:sz w:val="21"/>
                      <w:szCs w:val="24"/>
                      <w:lang w:val="en-US" w:eastAsia="zh-CN" w:bidi="ar"/>
                    </w:rPr>
                    <w:t>标准要求</w:t>
                  </w:r>
                </w:p>
              </w:tc>
              <w:tc>
                <w:tcPr>
                  <w:tcW w:w="4513" w:type="dxa"/>
                  <w:vAlign w:val="center"/>
                </w:tcPr>
                <w:p w14:paraId="74568D7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h"/>
                      <w:b/>
                      <w:bCs/>
                      <w:color w:val="auto"/>
                      <w:kern w:val="0"/>
                      <w:sz w:val="21"/>
                      <w:szCs w:val="24"/>
                      <w:lang w:val="en-US" w:eastAsia="zh-CN" w:bidi="ar"/>
                    </w:rPr>
                    <w:t>本项目情况</w:t>
                  </w:r>
                </w:p>
              </w:tc>
              <w:tc>
                <w:tcPr>
                  <w:tcW w:w="683" w:type="dxa"/>
                  <w:vAlign w:val="center"/>
                </w:tcPr>
                <w:p w14:paraId="2C7457D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h"/>
                      <w:b/>
                      <w:bCs/>
                      <w:color w:val="auto"/>
                      <w:kern w:val="0"/>
                      <w:sz w:val="21"/>
                      <w:szCs w:val="24"/>
                      <w:lang w:val="en-US" w:eastAsia="zh-CN" w:bidi="ar"/>
                    </w:rPr>
                    <w:t>是否相符</w:t>
                  </w:r>
                </w:p>
              </w:tc>
            </w:tr>
            <w:tr w14:paraId="1F34A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6" w:hRule="atLeast"/>
              </w:trPr>
              <w:tc>
                <w:tcPr>
                  <w:tcW w:w="4502" w:type="dxa"/>
                  <w:vAlign w:val="center"/>
                </w:tcPr>
                <w:p w14:paraId="32463E52">
                  <w:pPr>
                    <w:keepNext w:val="0"/>
                    <w:keepLines w:val="0"/>
                    <w:suppressLineNumbers w:val="0"/>
                    <w:autoSpaceDE w:val="0"/>
                    <w:autoSpaceDN w:val="0"/>
                    <w:adjustRightInd w:val="0"/>
                    <w:snapToGrid w:val="0"/>
                    <w:spacing w:before="0" w:beforeAutospacing="0" w:after="0" w:afterAutospacing="0"/>
                    <w:ind w:left="0" w:leftChars="0" w:right="0" w:rightChars="0"/>
                    <w:rPr>
                      <w:rFonts w:hint="default" w:ascii="Times New Roman" w:hAnsi="Times New Roman" w:eastAsia="宋体"/>
                      <w:color w:val="auto"/>
                      <w:sz w:val="21"/>
                      <w:highlight w:val="none"/>
                      <w:vertAlign w:val="baseline"/>
                    </w:rPr>
                  </w:pPr>
                  <w:r>
                    <w:rPr>
                      <w:rFonts w:hint="default" w:ascii="Times New Roman" w:hAnsi="Times New Roman" w:eastAsia="宋体"/>
                      <w:color w:val="auto"/>
                      <w:position w:val="1"/>
                      <w:sz w:val="21"/>
                      <w:szCs w:val="21"/>
                      <w:highlight w:val="none"/>
                    </w:rPr>
                    <w:t>5.2.1</w:t>
                  </w:r>
                  <w:r>
                    <w:rPr>
                      <w:rFonts w:hint="default" w:ascii="Times New Roman" w:hAnsi="Times New Roman" w:eastAsia="宋体"/>
                      <w:color w:val="auto"/>
                      <w:sz w:val="21"/>
                      <w:szCs w:val="21"/>
                      <w:highlight w:val="none"/>
                    </w:rPr>
                    <w:t>【VOCs物料存储无组织排放控制要求】</w:t>
                  </w:r>
                  <w:r>
                    <w:rPr>
                      <w:rFonts w:hint="eastAsia" w:ascii="Times New Roman" w:hAnsi="Times New Roman" w:eastAsia="宋体"/>
                      <w:color w:val="auto"/>
                      <w:position w:val="1"/>
                      <w:sz w:val="21"/>
                      <w:szCs w:val="21"/>
                      <w:highlight w:val="none"/>
                    </w:rPr>
                    <w:t>①</w:t>
                  </w:r>
                  <w:r>
                    <w:rPr>
                      <w:rFonts w:hint="default" w:ascii="Times New Roman" w:hAnsi="Times New Roman" w:eastAsia="宋体"/>
                      <w:color w:val="auto"/>
                      <w:position w:val="1"/>
                      <w:sz w:val="21"/>
                      <w:szCs w:val="21"/>
                      <w:highlight w:val="none"/>
                    </w:rPr>
                    <w:t>VOCs物料应当存储于密闭的容器、储罐、储库、料仓中。</w:t>
                  </w:r>
                  <w:r>
                    <w:rPr>
                      <w:rFonts w:hint="eastAsia" w:ascii="Times New Roman" w:hAnsi="Times New Roman" w:eastAsia="宋体"/>
                      <w:color w:val="auto"/>
                      <w:position w:val="1"/>
                      <w:sz w:val="21"/>
                      <w:szCs w:val="21"/>
                      <w:highlight w:val="none"/>
                    </w:rPr>
                    <w:t>②</w:t>
                  </w:r>
                  <w:r>
                    <w:rPr>
                      <w:rFonts w:hint="default" w:ascii="Times New Roman" w:hAnsi="Times New Roman" w:eastAsia="宋体"/>
                      <w:color w:val="auto"/>
                      <w:position w:val="1"/>
                      <w:sz w:val="21"/>
                      <w:szCs w:val="21"/>
                      <w:highlight w:val="none"/>
                    </w:rPr>
                    <w:t>盛装VOCs物料的容器应当存放于室内，或者存放于设置有雨棚、遮阳和防渗设施的专用场地。盛装VOCs物料的容器或者包装袋在非取用状态时应当加盖、封口，保持密闭。</w:t>
                  </w:r>
                  <w:r>
                    <w:rPr>
                      <w:rFonts w:hint="eastAsia" w:ascii="Times New Roman" w:hAnsi="Times New Roman" w:eastAsia="宋体"/>
                      <w:color w:val="auto"/>
                      <w:position w:val="1"/>
                      <w:sz w:val="21"/>
                      <w:szCs w:val="21"/>
                      <w:highlight w:val="none"/>
                    </w:rPr>
                    <w:t>③</w:t>
                  </w:r>
                  <w:r>
                    <w:rPr>
                      <w:rFonts w:hint="default" w:ascii="Times New Roman" w:hAnsi="Times New Roman" w:eastAsia="宋体"/>
                      <w:color w:val="auto"/>
                      <w:position w:val="1"/>
                      <w:sz w:val="21"/>
                      <w:szCs w:val="21"/>
                      <w:highlight w:val="none"/>
                    </w:rPr>
                    <w:t>VOCs物料储罐应当密封良好，其中挥发性有机液体</w:t>
                  </w:r>
                  <w:r>
                    <w:rPr>
                      <w:rFonts w:hint="default" w:ascii="Times New Roman" w:hAnsi="Times New Roman" w:eastAsia="宋体"/>
                      <w:color w:val="auto"/>
                      <w:sz w:val="21"/>
                      <w:highlight w:val="none"/>
                    </w:rPr>
                    <w:t>储罐</w:t>
                  </w:r>
                  <w:r>
                    <w:rPr>
                      <w:rFonts w:hint="default" w:ascii="Times New Roman" w:hAnsi="Times New Roman" w:eastAsia="宋体"/>
                      <w:color w:val="auto"/>
                      <w:position w:val="1"/>
                      <w:sz w:val="21"/>
                      <w:szCs w:val="21"/>
                      <w:highlight w:val="none"/>
                    </w:rPr>
                    <w:t>应当符合5.2.2、5.2.3和5.2.4规定。</w:t>
                  </w:r>
                  <w:r>
                    <w:rPr>
                      <w:rFonts w:hint="eastAsia" w:ascii="Times New Roman" w:hAnsi="Times New Roman" w:eastAsia="宋体"/>
                      <w:color w:val="auto"/>
                      <w:position w:val="1"/>
                      <w:sz w:val="21"/>
                      <w:szCs w:val="21"/>
                      <w:highlight w:val="none"/>
                    </w:rPr>
                    <w:t>④</w:t>
                  </w:r>
                  <w:r>
                    <w:rPr>
                      <w:rFonts w:hint="default" w:ascii="Times New Roman" w:hAnsi="Times New Roman" w:eastAsia="宋体"/>
                      <w:color w:val="auto"/>
                      <w:position w:val="1"/>
                      <w:sz w:val="21"/>
                      <w:szCs w:val="21"/>
                      <w:highlight w:val="none"/>
                    </w:rPr>
                    <w:t>VOCs物料储库、料仓应当满足3.7对密闭空间的要求。</w:t>
                  </w:r>
                </w:p>
              </w:tc>
              <w:tc>
                <w:tcPr>
                  <w:tcW w:w="4513" w:type="dxa"/>
                  <w:vAlign w:val="center"/>
                </w:tcPr>
                <w:p w14:paraId="3E95F094">
                  <w:pPr>
                    <w:keepNext w:val="0"/>
                    <w:keepLines w:val="0"/>
                    <w:suppressLineNumbers w:val="0"/>
                    <w:autoSpaceDE w:val="0"/>
                    <w:autoSpaceDN w:val="0"/>
                    <w:adjustRightInd w:val="0"/>
                    <w:snapToGrid w:val="0"/>
                    <w:spacing w:before="0" w:beforeAutospacing="0" w:after="0" w:afterAutospacing="0"/>
                    <w:ind w:left="0" w:right="0"/>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本项目含VOCs原辅材料（水性PU胶、水性橡胶处理剂、清洁剂、丝印油墨、UV油墨、转印油墨等）均储存于密封的包装桶/容器中；所有含VOCs物料包装容器均存放于室内化学品仓，化学品仓满足防风、防雨、防晒、防渗漏要求；非取用状态时容器加盖密闭；VOCs物料储库满足密闭空间要求。</w:t>
                  </w:r>
                </w:p>
              </w:tc>
              <w:tc>
                <w:tcPr>
                  <w:tcW w:w="683" w:type="dxa"/>
                  <w:vAlign w:val="center"/>
                </w:tcPr>
                <w:p w14:paraId="3DCAAAF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是</w:t>
                  </w:r>
                </w:p>
              </w:tc>
            </w:tr>
            <w:tr w14:paraId="6C634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trPr>
              <w:tc>
                <w:tcPr>
                  <w:tcW w:w="4502" w:type="dxa"/>
                  <w:vAlign w:val="center"/>
                </w:tcPr>
                <w:p w14:paraId="59457538">
                  <w:pPr>
                    <w:keepNext w:val="0"/>
                    <w:keepLines w:val="0"/>
                    <w:suppressLineNumbers w:val="0"/>
                    <w:autoSpaceDE w:val="0"/>
                    <w:autoSpaceDN w:val="0"/>
                    <w:adjustRightInd w:val="0"/>
                    <w:snapToGrid w:val="0"/>
                    <w:spacing w:before="0" w:beforeAutospacing="0" w:after="0" w:afterAutospacing="0"/>
                    <w:ind w:left="0" w:leftChars="0" w:right="0" w:rightChars="0"/>
                    <w:rPr>
                      <w:rFonts w:hint="default" w:ascii="Times New Roman" w:hAnsi="Times New Roman" w:eastAsia="宋体"/>
                      <w:color w:val="auto"/>
                      <w:sz w:val="21"/>
                      <w:highlight w:val="none"/>
                      <w:vertAlign w:val="baseline"/>
                    </w:rPr>
                  </w:pPr>
                  <w:r>
                    <w:rPr>
                      <w:rFonts w:hint="default" w:ascii="Times New Roman" w:hAnsi="Times New Roman" w:eastAsia="宋体"/>
                      <w:color w:val="auto"/>
                      <w:sz w:val="21"/>
                      <w:highlight w:val="none"/>
                    </w:rPr>
                    <w:t>5.3【VOCs物料转移和输送无组织排放控制要求】</w:t>
                  </w:r>
                  <w:r>
                    <w:rPr>
                      <w:rFonts w:hint="eastAsia" w:ascii="Times New Roman" w:hAnsi="Times New Roman" w:eastAsia="宋体"/>
                      <w:color w:val="auto"/>
                      <w:sz w:val="21"/>
                      <w:highlight w:val="none"/>
                    </w:rPr>
                    <w:t>①</w:t>
                  </w:r>
                  <w:r>
                    <w:rPr>
                      <w:rFonts w:hint="default" w:ascii="Times New Roman" w:hAnsi="Times New Roman" w:eastAsia="宋体"/>
                      <w:color w:val="auto"/>
                      <w:sz w:val="21"/>
                      <w:highlight w:val="none"/>
                    </w:rPr>
                    <w:t>液态VOCs物料应当采用密闭管道运输。采用非管道输送方式转移液态VOCs物料时，应当采用密闭容器、罐车。</w:t>
                  </w:r>
                  <w:r>
                    <w:rPr>
                      <w:rFonts w:hint="eastAsia" w:ascii="Times New Roman" w:hAnsi="Times New Roman" w:eastAsia="宋体"/>
                      <w:color w:val="auto"/>
                      <w:sz w:val="21"/>
                      <w:highlight w:val="none"/>
                    </w:rPr>
                    <w:t>②</w:t>
                  </w:r>
                  <w:r>
                    <w:rPr>
                      <w:rFonts w:hint="default" w:ascii="Times New Roman" w:hAnsi="Times New Roman" w:eastAsia="宋体"/>
                      <w:color w:val="auto"/>
                      <w:sz w:val="21"/>
                      <w:highlight w:val="none"/>
                    </w:rPr>
                    <w:t>对挥发性有机液体进行装载时，应当符合5.3.2规定。</w:t>
                  </w:r>
                </w:p>
              </w:tc>
              <w:tc>
                <w:tcPr>
                  <w:tcW w:w="4513" w:type="dxa"/>
                  <w:vAlign w:val="center"/>
                </w:tcPr>
                <w:p w14:paraId="0C68E0B4">
                  <w:pPr>
                    <w:keepNext w:val="0"/>
                    <w:keepLines w:val="0"/>
                    <w:suppressLineNumbers w:val="0"/>
                    <w:autoSpaceDE w:val="0"/>
                    <w:autoSpaceDN w:val="0"/>
                    <w:adjustRightInd w:val="0"/>
                    <w:snapToGrid w:val="0"/>
                    <w:spacing w:before="0" w:beforeAutospacing="0" w:after="0" w:afterAutospacing="0"/>
                    <w:ind w:left="0" w:right="0"/>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本项目液态含VOCs物料（水性PU胶、水性橡胶处理剂、清洁剂、各类油墨等）采用密闭包装桶方式进行转移和输送，不涉及挥发性有机液体的装载，符合标准要求。</w:t>
                  </w:r>
                </w:p>
              </w:tc>
              <w:tc>
                <w:tcPr>
                  <w:tcW w:w="683" w:type="dxa"/>
                  <w:vAlign w:val="center"/>
                </w:tcPr>
                <w:p w14:paraId="3F5DE4D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是</w:t>
                  </w:r>
                </w:p>
              </w:tc>
            </w:tr>
            <w:tr w14:paraId="48F60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4502" w:type="dxa"/>
                  <w:vAlign w:val="center"/>
                </w:tcPr>
                <w:p w14:paraId="2443ACFF">
                  <w:pPr>
                    <w:keepNext w:val="0"/>
                    <w:keepLines w:val="0"/>
                    <w:suppressLineNumbers w:val="0"/>
                    <w:autoSpaceDE w:val="0"/>
                    <w:autoSpaceDN w:val="0"/>
                    <w:adjustRightInd w:val="0"/>
                    <w:snapToGrid w:val="0"/>
                    <w:spacing w:before="0" w:beforeAutospacing="0" w:after="0" w:afterAutospacing="0"/>
                    <w:ind w:left="0" w:right="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5.4【工艺过程VOCs无组织排放控制要求】</w:t>
                  </w:r>
                </w:p>
                <w:p w14:paraId="1DC4C8FA">
                  <w:pPr>
                    <w:keepNext w:val="0"/>
                    <w:keepLines w:val="0"/>
                    <w:suppressLineNumbers w:val="0"/>
                    <w:autoSpaceDE w:val="0"/>
                    <w:autoSpaceDN w:val="0"/>
                    <w:adjustRightInd w:val="0"/>
                    <w:snapToGrid w:val="0"/>
                    <w:spacing w:before="0" w:beforeAutospacing="0" w:after="0" w:afterAutospacing="0"/>
                    <w:ind w:left="0" w:right="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5.4.2.1 VOCs质量占比≥10%的含VOCs产品，使用过程应当采用密闭设备或者在密闭空间内操作，废气应当排至VOCs废气收集处理系统；无法密闭的，应当采取局部气体收集措施，废气应当排至VOCs废气收集处理系统。</w:t>
                  </w:r>
                </w:p>
                <w:p w14:paraId="206789F0">
                  <w:pPr>
                    <w:keepNext w:val="0"/>
                    <w:keepLines w:val="0"/>
                    <w:suppressLineNumbers w:val="0"/>
                    <w:autoSpaceDE w:val="0"/>
                    <w:autoSpaceDN w:val="0"/>
                    <w:adjustRightInd w:val="0"/>
                    <w:snapToGrid w:val="0"/>
                    <w:spacing w:before="0" w:beforeAutospacing="0" w:after="0" w:afterAutospacing="0"/>
                    <w:ind w:left="0" w:right="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5.4.3.1企业应当建立台账，记录含VOCs原辅材料和含VOCs产品的名称、使用量、回收量、</w:t>
                  </w:r>
                  <w:r>
                    <w:rPr>
                      <w:rFonts w:hint="eastAsia" w:ascii="Times New Roman" w:hAnsi="Times New Roman" w:eastAsia="宋体"/>
                      <w:color w:val="auto"/>
                      <w:sz w:val="21"/>
                      <w:highlight w:val="none"/>
                    </w:rPr>
                    <w:t>废弃</w:t>
                  </w:r>
                  <w:r>
                    <w:rPr>
                      <w:rFonts w:hint="default" w:ascii="Times New Roman" w:hAnsi="Times New Roman" w:eastAsia="宋体"/>
                      <w:color w:val="auto"/>
                      <w:sz w:val="21"/>
                      <w:highlight w:val="none"/>
                    </w:rPr>
                    <w:t>量、去向以及VOCs含量等信息。台账保存期限不少于3年。</w:t>
                  </w:r>
                </w:p>
                <w:p w14:paraId="2C939EDD">
                  <w:pPr>
                    <w:keepNext w:val="0"/>
                    <w:keepLines w:val="0"/>
                    <w:suppressLineNumbers w:val="0"/>
                    <w:autoSpaceDE w:val="0"/>
                    <w:autoSpaceDN w:val="0"/>
                    <w:adjustRightInd w:val="0"/>
                    <w:snapToGrid w:val="0"/>
                    <w:spacing w:before="0" w:beforeAutospacing="0" w:after="0" w:afterAutospacing="0"/>
                    <w:ind w:left="0" w:right="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5.4.3.2通风生产设备、操作工位</w:t>
                  </w:r>
                  <w:r>
                    <w:rPr>
                      <w:rFonts w:hint="eastAsia"/>
                      <w:color w:val="auto"/>
                      <w:sz w:val="21"/>
                      <w:highlight w:val="none"/>
                      <w:lang w:eastAsia="zh-CN"/>
                    </w:rPr>
                    <w:t>、</w:t>
                  </w:r>
                  <w:r>
                    <w:rPr>
                      <w:rFonts w:hint="default" w:ascii="Times New Roman" w:hAnsi="Times New Roman" w:eastAsia="宋体"/>
                      <w:color w:val="auto"/>
                      <w:sz w:val="21"/>
                      <w:highlight w:val="none"/>
                    </w:rPr>
                    <w:t>车间厂房等应当在符合安全生产、职业卫生相关规定的前提下，根据行业作业规程与标准、工业建筑及洁净厂房通风设计规范</w:t>
                  </w:r>
                  <w:r>
                    <w:rPr>
                      <w:rFonts w:hint="eastAsia"/>
                      <w:color w:val="auto"/>
                      <w:sz w:val="21"/>
                      <w:highlight w:val="none"/>
                      <w:lang w:eastAsia="zh-CN"/>
                    </w:rPr>
                    <w:t>等</w:t>
                  </w:r>
                  <w:r>
                    <w:rPr>
                      <w:rFonts w:hint="default" w:ascii="Times New Roman" w:hAnsi="Times New Roman" w:eastAsia="宋体"/>
                      <w:color w:val="auto"/>
                      <w:sz w:val="21"/>
                      <w:highlight w:val="none"/>
                    </w:rPr>
                    <w:t>要求，采用合理的通风量。</w:t>
                  </w:r>
                </w:p>
                <w:p w14:paraId="16F73395">
                  <w:pPr>
                    <w:keepNext w:val="0"/>
                    <w:keepLines w:val="0"/>
                    <w:suppressLineNumbers w:val="0"/>
                    <w:autoSpaceDE w:val="0"/>
                    <w:autoSpaceDN w:val="0"/>
                    <w:adjustRightInd w:val="0"/>
                    <w:snapToGrid w:val="0"/>
                    <w:spacing w:before="0" w:beforeAutospacing="0" w:after="0" w:afterAutospacing="0"/>
                    <w:ind w:left="0" w:leftChars="0" w:right="0" w:rightChars="0"/>
                    <w:rPr>
                      <w:rFonts w:hint="default" w:ascii="Times New Roman" w:hAnsi="Times New Roman" w:eastAsia="宋体"/>
                      <w:color w:val="auto"/>
                      <w:sz w:val="21"/>
                      <w:highlight w:val="none"/>
                      <w:vertAlign w:val="baseline"/>
                    </w:rPr>
                  </w:pPr>
                  <w:r>
                    <w:rPr>
                      <w:rFonts w:hint="default" w:ascii="Times New Roman" w:hAnsi="Times New Roman" w:eastAsia="宋体"/>
                      <w:color w:val="auto"/>
                      <w:sz w:val="21"/>
                      <w:highlight w:val="none"/>
                    </w:rPr>
                    <w:t>5.4.3.4工艺过程产生的VOCs废料（渣、液）应当按5.2、5.3的要求进行储存、转移和输送。盛装过VOCs物料的废包装容器应当加盖密闭。</w:t>
                  </w:r>
                </w:p>
              </w:tc>
              <w:tc>
                <w:tcPr>
                  <w:tcW w:w="4513" w:type="dxa"/>
                  <w:vAlign w:val="center"/>
                </w:tcPr>
                <w:p w14:paraId="2BEB62E5">
                  <w:pPr>
                    <w:keepNext w:val="0"/>
                    <w:keepLines w:val="0"/>
                    <w:suppressLineNumbers w:val="0"/>
                    <w:autoSpaceDE w:val="0"/>
                    <w:autoSpaceDN w:val="0"/>
                    <w:adjustRightInd w:val="0"/>
                    <w:snapToGrid w:val="0"/>
                    <w:spacing w:before="0" w:beforeAutospacing="0" w:after="0" w:afterAutospacing="0"/>
                    <w:ind w:left="0" w:right="0"/>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本项目UV油墨、转印油墨等VOCs质量占比＜10%，其使用过程（UV打印、打转印纸）在密闭负压车间内操作，废气经密闭负压收集后排至“二级活性炭吸附装置”处理；刷处理剂、清洁、刷胶等工序采用外部集气罩收集，废气排至相应废气处理设施。企业拟建立VOCs原辅材料台账，详细记录含VOCs原辅材料的名称、使用量、废弃量、去向及VOCs含量等信息，台账保存期限不少于3年。车间通风量依据相关设计规范合理设置，符合安全生产和职业卫生要求。工艺过程产生的VOCs废料（废活性炭、废胶桶、废油墨桶等）拟按规范储存、转移，废包装容器加盖密闭存放于危废暂存间。</w:t>
                  </w:r>
                </w:p>
              </w:tc>
              <w:tc>
                <w:tcPr>
                  <w:tcW w:w="683" w:type="dxa"/>
                  <w:vAlign w:val="center"/>
                </w:tcPr>
                <w:p w14:paraId="32F3EB2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是</w:t>
                  </w:r>
                </w:p>
              </w:tc>
            </w:tr>
            <w:tr w14:paraId="3A564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3" w:hRule="atLeast"/>
              </w:trPr>
              <w:tc>
                <w:tcPr>
                  <w:tcW w:w="4502" w:type="dxa"/>
                  <w:vAlign w:val="center"/>
                </w:tcPr>
                <w:p w14:paraId="3BD313D1">
                  <w:pPr>
                    <w:keepNext w:val="0"/>
                    <w:keepLines w:val="0"/>
                    <w:suppressLineNumbers w:val="0"/>
                    <w:autoSpaceDE w:val="0"/>
                    <w:autoSpaceDN w:val="0"/>
                    <w:adjustRightInd w:val="0"/>
                    <w:snapToGrid w:val="0"/>
                    <w:spacing w:before="0" w:beforeAutospacing="0" w:after="0" w:afterAutospacing="0"/>
                    <w:ind w:left="0" w:right="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5.7【VOCs无组织排放</w:t>
                  </w:r>
                  <w:r>
                    <w:rPr>
                      <w:rFonts w:hint="eastAsia" w:ascii="Times New Roman" w:hAnsi="Times New Roman" w:eastAsia="宋体"/>
                      <w:color w:val="auto"/>
                      <w:sz w:val="21"/>
                      <w:highlight w:val="none"/>
                    </w:rPr>
                    <w:t>废气收集处理系统要求</w:t>
                  </w:r>
                  <w:r>
                    <w:rPr>
                      <w:rFonts w:hint="default" w:ascii="Times New Roman" w:hAnsi="Times New Roman" w:eastAsia="宋体"/>
                      <w:color w:val="auto"/>
                      <w:sz w:val="21"/>
                      <w:highlight w:val="none"/>
                    </w:rPr>
                    <w:t>】</w:t>
                  </w:r>
                </w:p>
                <w:p w14:paraId="2E0C5688">
                  <w:pPr>
                    <w:keepNext w:val="0"/>
                    <w:keepLines w:val="0"/>
                    <w:suppressLineNumbers w:val="0"/>
                    <w:autoSpaceDE w:val="0"/>
                    <w:autoSpaceDN w:val="0"/>
                    <w:adjustRightInd w:val="0"/>
                    <w:snapToGrid w:val="0"/>
                    <w:spacing w:before="0" w:beforeAutospacing="0" w:after="0" w:afterAutospacing="0"/>
                    <w:ind w:left="0" w:leftChars="0" w:right="0" w:rightChars="0"/>
                    <w:rPr>
                      <w:rFonts w:hint="default" w:ascii="Times New Roman" w:hAnsi="Times New Roman" w:eastAsia="宋体"/>
                      <w:color w:val="auto"/>
                      <w:sz w:val="21"/>
                      <w:highlight w:val="none"/>
                      <w:vertAlign w:val="baseline"/>
                    </w:rPr>
                  </w:pPr>
                  <w:r>
                    <w:rPr>
                      <w:rFonts w:hint="eastAsia" w:ascii="Times New Roman" w:hAnsi="Times New Roman" w:eastAsia="宋体"/>
                      <w:color w:val="auto"/>
                      <w:sz w:val="21"/>
                      <w:highlight w:val="none"/>
                    </w:rPr>
                    <w:t>5.7.2.2</w:t>
                  </w:r>
                  <w:r>
                    <w:rPr>
                      <w:rFonts w:hint="eastAsia"/>
                      <w:color w:val="auto"/>
                      <w:sz w:val="21"/>
                      <w:highlight w:val="none"/>
                      <w:lang w:eastAsia="zh-CN"/>
                    </w:rPr>
                    <w:t xml:space="preserve"> 废气</w:t>
                  </w:r>
                  <w:r>
                    <w:rPr>
                      <w:rFonts w:hint="eastAsia" w:ascii="Times New Roman" w:hAnsi="Times New Roman" w:eastAsia="宋体"/>
                      <w:color w:val="auto"/>
                      <w:sz w:val="21"/>
                      <w:highlight w:val="none"/>
                    </w:rPr>
                    <w:t>收集系统排风罩（集气罩）的设置应当符合</w:t>
                  </w:r>
                  <w:r>
                    <w:rPr>
                      <w:rFonts w:hint="eastAsia"/>
                      <w:color w:val="auto"/>
                      <w:sz w:val="21"/>
                      <w:highlight w:val="none"/>
                      <w:lang w:eastAsia="zh-CN"/>
                    </w:rPr>
                    <w:t>GB/T 16758-2008</w:t>
                  </w:r>
                  <w:r>
                    <w:rPr>
                      <w:rFonts w:hint="eastAsia" w:ascii="Times New Roman" w:hAnsi="Times New Roman" w:eastAsia="宋体"/>
                      <w:color w:val="auto"/>
                      <w:sz w:val="21"/>
                      <w:highlight w:val="none"/>
                    </w:rPr>
                    <w:t>的规定。采用外部排风罩的，应当按</w:t>
                  </w:r>
                  <w:r>
                    <w:rPr>
                      <w:rFonts w:hint="eastAsia"/>
                      <w:color w:val="auto"/>
                      <w:sz w:val="21"/>
                      <w:highlight w:val="none"/>
                      <w:lang w:eastAsia="zh-CN"/>
                    </w:rPr>
                    <w:t>GB/T 16758-2008</w:t>
                  </w:r>
                  <w:r>
                    <w:rPr>
                      <w:rFonts w:hint="eastAsia" w:ascii="Times New Roman" w:hAnsi="Times New Roman" w:eastAsia="宋体"/>
                      <w:color w:val="auto"/>
                      <w:sz w:val="21"/>
                      <w:highlight w:val="none"/>
                    </w:rPr>
                    <w:t>、WS/T</w:t>
                  </w:r>
                  <w:r>
                    <w:rPr>
                      <w:rFonts w:hint="eastAsia"/>
                      <w:color w:val="auto"/>
                      <w:sz w:val="21"/>
                      <w:highlight w:val="none"/>
                      <w:lang w:val="en-US" w:eastAsia="zh-CN"/>
                    </w:rPr>
                    <w:t>-</w:t>
                  </w:r>
                  <w:r>
                    <w:rPr>
                      <w:rFonts w:hint="eastAsia" w:ascii="Times New Roman" w:hAnsi="Times New Roman" w:eastAsia="宋体"/>
                      <w:color w:val="auto"/>
                      <w:sz w:val="21"/>
                      <w:highlight w:val="none"/>
                    </w:rPr>
                    <w:t xml:space="preserve"> 757—2016规定的方法测量控制风速，测量点应当选取在距排风罩开口面最远处的VOCs无组织排放位置，控制风速不应当低于0.3 m/s（行业相关规范有具体规定的，按相关规定执行）。</w:t>
                  </w:r>
                </w:p>
              </w:tc>
              <w:tc>
                <w:tcPr>
                  <w:tcW w:w="4513" w:type="dxa"/>
                  <w:vAlign w:val="center"/>
                </w:tcPr>
                <w:p w14:paraId="08B65104">
                  <w:pPr>
                    <w:keepNext w:val="0"/>
                    <w:keepLines w:val="0"/>
                    <w:suppressLineNumbers w:val="0"/>
                    <w:autoSpaceDE w:val="0"/>
                    <w:autoSpaceDN w:val="0"/>
                    <w:adjustRightInd w:val="0"/>
                    <w:snapToGrid w:val="0"/>
                    <w:spacing w:before="0" w:beforeAutospacing="0" w:after="0" w:afterAutospacing="0"/>
                    <w:ind w:left="0" w:right="0"/>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本项目刷处理剂、清洁、刷胶、发泡、打粗等工序采用外部集气罩收集废气，集气罩设置符合GB/T 16758-2008的规定，设计控制风速≥0.3m/s；UV打印、打转印纸工序采用密闭负压车间收集，收集效率≥90%。废气收集后排至废气处理设施处理。</w:t>
                  </w:r>
                </w:p>
              </w:tc>
              <w:tc>
                <w:tcPr>
                  <w:tcW w:w="683" w:type="dxa"/>
                  <w:vAlign w:val="center"/>
                </w:tcPr>
                <w:p w14:paraId="3C25658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是</w:t>
                  </w:r>
                </w:p>
              </w:tc>
            </w:tr>
          </w:tbl>
          <w:p w14:paraId="1DCCAED3">
            <w:pPr>
              <w:pStyle w:val="5"/>
              <w:keepNext w:val="0"/>
              <w:keepLines w:val="0"/>
              <w:pageBreakBefore w:val="0"/>
              <w:widowControl/>
              <w:suppressLineNumbers w:val="0"/>
              <w:shd w:val="clear" w:fill="FFFFFF"/>
              <w:kinsoku/>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5、与中山市</w:t>
            </w:r>
            <w:r>
              <w:rPr>
                <w:rFonts w:hint="eastAsia" w:ascii="Times New Roman" w:hAnsi="Times New Roman" w:eastAsia="宋体" w:cs="Segoe UI"/>
                <w:i w:val="0"/>
                <w:iCs w:val="0"/>
                <w:caps w:val="0"/>
                <w:color w:val="auto"/>
                <w:spacing w:val="0"/>
                <w:sz w:val="21"/>
                <w:szCs w:val="24"/>
                <w:shd w:val="clear" w:fill="FFFFFF"/>
                <w:lang w:eastAsia="zh-CN"/>
              </w:rPr>
              <w:t>“三线一单”</w:t>
            </w:r>
            <w:r>
              <w:rPr>
                <w:rFonts w:hint="default" w:ascii="Times New Roman" w:hAnsi="Times New Roman" w:eastAsia="宋体" w:cs="Segoe UI"/>
                <w:i w:val="0"/>
                <w:iCs w:val="0"/>
                <w:caps w:val="0"/>
                <w:color w:val="auto"/>
                <w:spacing w:val="0"/>
                <w:sz w:val="21"/>
                <w:szCs w:val="24"/>
                <w:shd w:val="clear" w:fill="FFFFFF"/>
              </w:rPr>
              <w:t>分区管控方案相符性分析</w:t>
            </w:r>
          </w:p>
          <w:p w14:paraId="39CE2FEC">
            <w:pPr>
              <w:pStyle w:val="72"/>
              <w:keepNext w:val="0"/>
              <w:keepLines w:val="0"/>
              <w:pageBreakBefore w:val="0"/>
              <w:suppressLineNumbers w:val="0"/>
              <w:kinsoku/>
              <w:bidi w:val="0"/>
              <w:snapToGrid/>
              <w:spacing w:before="0" w:beforeAutospacing="0" w:after="0" w:afterAutospacing="0" w:line="360" w:lineRule="auto"/>
              <w:ind w:left="0" w:right="0" w:firstLine="420" w:firstLineChars="200"/>
              <w:jc w:val="left"/>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根据</w:t>
            </w:r>
            <w:r>
              <w:rPr>
                <w:rFonts w:hint="default" w:ascii="Times New Roman" w:hAnsi="Times New Roman" w:eastAsia="宋体" w:cs="Times New Roman"/>
                <w:color w:val="auto"/>
                <w:kern w:val="0"/>
                <w:sz w:val="21"/>
                <w:szCs w:val="21"/>
                <w:highlight w:val="none"/>
              </w:rPr>
              <w:t>中山市人民政府关于</w:t>
            </w:r>
            <w:r>
              <w:rPr>
                <w:rFonts w:hint="eastAsia"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印发中山市“三线一单”生态环境分区管控方案</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2024年版</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sz w:val="21"/>
                <w:szCs w:val="21"/>
                <w:highlight w:val="none"/>
              </w:rPr>
              <w:t>中府〔2024〕52号</w:t>
            </w:r>
            <w:r>
              <w:rPr>
                <w:rFonts w:hint="default" w:ascii="Times New Roman" w:hAnsi="Times New Roman" w:eastAsia="宋体" w:cs="Times New Roman"/>
                <w:color w:val="auto"/>
                <w:sz w:val="21"/>
                <w:szCs w:val="21"/>
                <w:highlight w:val="none"/>
                <w:lang w:val="en-US" w:eastAsia="zh-CN"/>
              </w:rPr>
              <w:t>与</w:t>
            </w:r>
            <w:r>
              <w:rPr>
                <w:rFonts w:hint="eastAsia" w:ascii="Times New Roman" w:hAnsi="Times New Roman" w:eastAsia="宋体" w:cs="Times New Roman"/>
                <w:color w:val="auto"/>
                <w:kern w:val="0"/>
                <w:sz w:val="21"/>
                <w:szCs w:val="21"/>
                <w:highlight w:val="none"/>
              </w:rPr>
              <w:t>更新调整内容清单》的通知中府函〔2026〕126号</w:t>
            </w:r>
            <w:r>
              <w:rPr>
                <w:rFonts w:hint="default" w:ascii="Times New Roman" w:hAnsi="Times New Roman" w:eastAsia="宋体" w:cs="Segoe UI"/>
                <w:i w:val="0"/>
                <w:iCs w:val="0"/>
                <w:caps w:val="0"/>
                <w:color w:val="auto"/>
                <w:spacing w:val="0"/>
                <w:sz w:val="21"/>
                <w:szCs w:val="24"/>
                <w:shd w:val="clear" w:fill="FFFFFF"/>
              </w:rPr>
              <w:t>，本项目位于中山市南区，属于</w:t>
            </w:r>
            <w:r>
              <w:rPr>
                <w:rFonts w:hint="default" w:ascii="Times New Roman" w:hAnsi="Times New Roman" w:eastAsia="宋体" w:cs="Segoe UI"/>
                <w:b/>
                <w:bCs/>
                <w:i w:val="0"/>
                <w:iCs w:val="0"/>
                <w:caps w:val="0"/>
                <w:color w:val="auto"/>
                <w:spacing w:val="0"/>
                <w:sz w:val="21"/>
                <w:szCs w:val="24"/>
                <w:shd w:val="clear" w:fill="FFFFFF"/>
              </w:rPr>
              <w:t>南区重点管控单元</w:t>
            </w:r>
            <w:r>
              <w:rPr>
                <w:rFonts w:hint="default" w:ascii="Times New Roman" w:hAnsi="Times New Roman" w:eastAsia="宋体" w:cs="Segoe UI"/>
                <w:i w:val="0"/>
                <w:iCs w:val="0"/>
                <w:caps w:val="0"/>
                <w:color w:val="auto"/>
                <w:spacing w:val="0"/>
                <w:sz w:val="21"/>
                <w:szCs w:val="24"/>
                <w:shd w:val="clear" w:fill="FFFFFF"/>
              </w:rPr>
              <w:t>（环境管控单元编码：ZH4420002000</w:t>
            </w:r>
            <w:r>
              <w:rPr>
                <w:rFonts w:hint="eastAsia" w:ascii="Times New Roman" w:hAnsi="Times New Roman" w:eastAsia="宋体" w:cs="Segoe UI"/>
                <w:i w:val="0"/>
                <w:iCs w:val="0"/>
                <w:caps w:val="0"/>
                <w:color w:val="auto"/>
                <w:spacing w:val="0"/>
                <w:sz w:val="21"/>
                <w:szCs w:val="24"/>
                <w:shd w:val="clear" w:fill="FFFFFF"/>
                <w:lang w:val="en-US" w:eastAsia="zh-CN"/>
              </w:rPr>
              <w:t>4</w:t>
            </w:r>
            <w:r>
              <w:rPr>
                <w:rFonts w:hint="default" w:ascii="Times New Roman" w:hAnsi="Times New Roman" w:eastAsia="宋体" w:cs="Segoe UI"/>
                <w:i w:val="0"/>
                <w:iCs w:val="0"/>
                <w:caps w:val="0"/>
                <w:color w:val="auto"/>
                <w:spacing w:val="0"/>
                <w:sz w:val="21"/>
                <w:szCs w:val="24"/>
                <w:shd w:val="clear" w:fill="FFFFFF"/>
              </w:rPr>
              <w:t>）。</w:t>
            </w:r>
          </w:p>
          <w:tbl>
            <w:tblPr>
              <w:tblStyle w:val="49"/>
              <w:tblW w:w="97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4298"/>
              <w:gridCol w:w="3933"/>
              <w:gridCol w:w="726"/>
            </w:tblGrid>
            <w:tr w14:paraId="5119F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760" w:type="dxa"/>
                  <w:vAlign w:val="center"/>
                </w:tcPr>
                <w:p w14:paraId="2900F6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h"/>
                      <w:b/>
                      <w:bCs/>
                      <w:color w:val="auto"/>
                      <w:kern w:val="0"/>
                      <w:sz w:val="21"/>
                      <w:szCs w:val="24"/>
                      <w:lang w:val="en-US" w:eastAsia="zh-CN" w:bidi="ar"/>
                    </w:rPr>
                    <w:t>内容</w:t>
                  </w:r>
                </w:p>
              </w:tc>
              <w:tc>
                <w:tcPr>
                  <w:tcW w:w="4298" w:type="dxa"/>
                  <w:vAlign w:val="center"/>
                </w:tcPr>
                <w:p w14:paraId="6F03CB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h"/>
                      <w:b/>
                      <w:bCs/>
                      <w:color w:val="auto"/>
                      <w:kern w:val="0"/>
                      <w:sz w:val="21"/>
                      <w:szCs w:val="24"/>
                      <w:lang w:val="en-US" w:eastAsia="zh-CN" w:bidi="ar"/>
                    </w:rPr>
                    <w:t>文件要求</w:t>
                  </w:r>
                </w:p>
              </w:tc>
              <w:tc>
                <w:tcPr>
                  <w:tcW w:w="3933" w:type="dxa"/>
                  <w:vAlign w:val="center"/>
                </w:tcPr>
                <w:p w14:paraId="0ADBA5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h"/>
                      <w:b/>
                      <w:bCs/>
                      <w:color w:val="auto"/>
                      <w:kern w:val="0"/>
                      <w:sz w:val="21"/>
                      <w:szCs w:val="24"/>
                      <w:lang w:val="en-US" w:eastAsia="zh-CN" w:bidi="ar"/>
                    </w:rPr>
                    <w:t>相符性分析</w:t>
                  </w:r>
                </w:p>
              </w:tc>
              <w:tc>
                <w:tcPr>
                  <w:tcW w:w="726" w:type="dxa"/>
                  <w:vAlign w:val="center"/>
                </w:tcPr>
                <w:p w14:paraId="3CD10C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h"/>
                      <w:b/>
                      <w:bCs/>
                      <w:color w:val="auto"/>
                      <w:kern w:val="0"/>
                      <w:sz w:val="21"/>
                      <w:szCs w:val="24"/>
                      <w:lang w:val="en-US" w:eastAsia="zh-CN" w:bidi="ar"/>
                    </w:rPr>
                    <w:t>是否相符</w:t>
                  </w:r>
                </w:p>
              </w:tc>
            </w:tr>
            <w:tr w14:paraId="5A843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760" w:type="dxa"/>
                  <w:vMerge w:val="restart"/>
                  <w:vAlign w:val="center"/>
                </w:tcPr>
                <w:p w14:paraId="05F816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区域布局管控</w:t>
                  </w:r>
                </w:p>
              </w:tc>
              <w:tc>
                <w:tcPr>
                  <w:tcW w:w="4298" w:type="dxa"/>
                  <w:vAlign w:val="center"/>
                </w:tcPr>
                <w:p w14:paraId="07A635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1</w:t>
                  </w:r>
                  <w:r>
                    <w:rPr>
                      <w:rFonts w:hint="eastAsia" w:cs="var(--dsw-font-markdown-table)"/>
                      <w:b/>
                      <w:bCs/>
                      <w:color w:val="auto"/>
                      <w:kern w:val="0"/>
                      <w:sz w:val="21"/>
                      <w:szCs w:val="24"/>
                      <w:lang w:val="en-US" w:eastAsia="zh-CN" w:bidi="ar"/>
                    </w:rPr>
                    <w:t>.</w:t>
                  </w:r>
                  <w:r>
                    <w:rPr>
                      <w:rFonts w:hint="default" w:ascii="Times New Roman" w:hAnsi="Times New Roman" w:eastAsia="宋体" w:cs="var(--dsw-font-markdown-table)"/>
                      <w:b/>
                      <w:bCs/>
                      <w:color w:val="auto"/>
                      <w:kern w:val="0"/>
                      <w:sz w:val="21"/>
                      <w:szCs w:val="24"/>
                      <w:lang w:val="en-US" w:eastAsia="zh-CN" w:bidi="ar"/>
                    </w:rPr>
                    <w:t>1.【产业/鼓励引导类】</w:t>
                  </w:r>
                  <w:r>
                    <w:rPr>
                      <w:rFonts w:hint="default" w:ascii="Times New Roman" w:hAnsi="Times New Roman" w:eastAsia="宋体" w:cs="var(--dsw-font-markdown-table)"/>
                      <w:color w:val="auto"/>
                      <w:kern w:val="0"/>
                      <w:sz w:val="21"/>
                      <w:szCs w:val="24"/>
                      <w:lang w:val="en-US" w:eastAsia="zh-CN" w:bidi="ar"/>
                    </w:rPr>
                    <w:t>鼓励发展新能源、光电、智能装备、新材料、医疗器械等产业。</w:t>
                  </w:r>
                </w:p>
              </w:tc>
              <w:tc>
                <w:tcPr>
                  <w:tcW w:w="3933" w:type="dxa"/>
                  <w:vAlign w:val="center"/>
                </w:tcPr>
                <w:p w14:paraId="6ECB95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本项目从事儿童运动鞋的研发、生产和销售，属于C1959其他制鞋业，不属于鼓励类产业，但亦不属于禁止类和限制类产业，可依法建设运营。</w:t>
                  </w:r>
                </w:p>
              </w:tc>
              <w:tc>
                <w:tcPr>
                  <w:tcW w:w="726" w:type="dxa"/>
                  <w:vAlign w:val="center"/>
                </w:tcPr>
                <w:p w14:paraId="1C1F90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符合</w:t>
                  </w:r>
                </w:p>
              </w:tc>
            </w:tr>
            <w:tr w14:paraId="45B90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760" w:type="dxa"/>
                  <w:vMerge w:val="continue"/>
                  <w:vAlign w:val="center"/>
                </w:tcPr>
                <w:p w14:paraId="54097E7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color w:val="auto"/>
                      <w:vertAlign w:val="baseline"/>
                    </w:rPr>
                  </w:pPr>
                </w:p>
              </w:tc>
              <w:tc>
                <w:tcPr>
                  <w:tcW w:w="4298" w:type="dxa"/>
                  <w:vAlign w:val="center"/>
                </w:tcPr>
                <w:p w14:paraId="438EB1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1</w:t>
                  </w:r>
                  <w:r>
                    <w:rPr>
                      <w:rFonts w:hint="eastAsia" w:cs="var(--dsw-font-markdown-table)"/>
                      <w:b/>
                      <w:bCs/>
                      <w:color w:val="auto"/>
                      <w:kern w:val="0"/>
                      <w:sz w:val="21"/>
                      <w:szCs w:val="24"/>
                      <w:lang w:val="en-US" w:eastAsia="zh-CN" w:bidi="ar"/>
                    </w:rPr>
                    <w:t>.</w:t>
                  </w:r>
                  <w:r>
                    <w:rPr>
                      <w:rFonts w:hint="default" w:ascii="Times New Roman" w:hAnsi="Times New Roman" w:eastAsia="宋体" w:cs="var(--dsw-font-markdown-table)"/>
                      <w:b/>
                      <w:bCs/>
                      <w:color w:val="auto"/>
                      <w:kern w:val="0"/>
                      <w:sz w:val="21"/>
                      <w:szCs w:val="24"/>
                      <w:lang w:val="en-US" w:eastAsia="zh-CN" w:bidi="ar"/>
                    </w:rPr>
                    <w:t>2.【产业/禁止类】</w:t>
                  </w:r>
                  <w:r>
                    <w:rPr>
                      <w:rFonts w:hint="default" w:ascii="Times New Roman" w:hAnsi="Times New Roman" w:eastAsia="宋体" w:cs="var(--dsw-font-markdown-table)"/>
                      <w:color w:val="auto"/>
                      <w:kern w:val="0"/>
                      <w:sz w:val="21"/>
                      <w:szCs w:val="24"/>
                      <w:lang w:val="en-US" w:eastAsia="zh-CN" w:bidi="ar"/>
                    </w:rPr>
                    <w:t>禁止新建、扩建水泥、平板玻璃、化学制浆、生皮制革以及国家规划外的钢铁、原油加工等项目。</w:t>
                  </w:r>
                </w:p>
              </w:tc>
              <w:tc>
                <w:tcPr>
                  <w:tcW w:w="3933" w:type="dxa"/>
                  <w:vAlign w:val="center"/>
                </w:tcPr>
                <w:p w14:paraId="6783AB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本项目从事儿童运动鞋制造，不涉及上述禁止类项目。</w:t>
                  </w:r>
                </w:p>
              </w:tc>
              <w:tc>
                <w:tcPr>
                  <w:tcW w:w="726" w:type="dxa"/>
                  <w:vAlign w:val="center"/>
                </w:tcPr>
                <w:p w14:paraId="40A510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符合</w:t>
                  </w:r>
                </w:p>
              </w:tc>
            </w:tr>
            <w:tr w14:paraId="026B4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760" w:type="dxa"/>
                  <w:vMerge w:val="continue"/>
                  <w:vAlign w:val="center"/>
                </w:tcPr>
                <w:p w14:paraId="7AF03CA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color w:val="auto"/>
                      <w:vertAlign w:val="baseline"/>
                    </w:rPr>
                  </w:pPr>
                </w:p>
              </w:tc>
              <w:tc>
                <w:tcPr>
                  <w:tcW w:w="4298" w:type="dxa"/>
                  <w:vAlign w:val="center"/>
                </w:tcPr>
                <w:p w14:paraId="7E9993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1</w:t>
                  </w:r>
                  <w:r>
                    <w:rPr>
                      <w:rFonts w:hint="eastAsia" w:cs="var(--dsw-font-markdown-table)"/>
                      <w:b/>
                      <w:bCs/>
                      <w:color w:val="auto"/>
                      <w:kern w:val="0"/>
                      <w:sz w:val="21"/>
                      <w:szCs w:val="24"/>
                      <w:lang w:val="en-US" w:eastAsia="zh-CN" w:bidi="ar"/>
                    </w:rPr>
                    <w:t>.</w:t>
                  </w:r>
                  <w:r>
                    <w:rPr>
                      <w:rFonts w:hint="default" w:ascii="Times New Roman" w:hAnsi="Times New Roman" w:eastAsia="宋体" w:cs="var(--dsw-font-markdown-table)"/>
                      <w:b/>
                      <w:bCs/>
                      <w:color w:val="auto"/>
                      <w:kern w:val="0"/>
                      <w:sz w:val="21"/>
                      <w:szCs w:val="24"/>
                      <w:lang w:val="en-US" w:eastAsia="zh-CN" w:bidi="ar"/>
                    </w:rPr>
                    <w:t>3.【产业/限制类】</w:t>
                  </w:r>
                  <w:r>
                    <w:rPr>
                      <w:rFonts w:hint="default" w:ascii="Times New Roman" w:hAnsi="Times New Roman" w:eastAsia="宋体" w:cs="var(--dsw-font-markdown-table)"/>
                      <w:color w:val="auto"/>
                      <w:kern w:val="0"/>
                      <w:sz w:val="21"/>
                      <w:szCs w:val="24"/>
                      <w:lang w:val="en-US" w:eastAsia="zh-CN" w:bidi="ar"/>
                    </w:rPr>
                    <w:t>新建印染、牛仔洗水、电镀、鞣革等污染行业的建设项目入园分片集中管理且应符合园区产业发展方向，新建、扩建“两高”石化、化工、焦化项目应在依法合规设立并经规划环评的产业园区内布设，禁止在化工园区外新建、扩建危险化学品生产、仓储经营、有储存经营</w:t>
                  </w:r>
                  <w:r>
                    <w:rPr>
                      <w:rFonts w:hint="eastAsia" w:cs="var(--dsw-font-markdown-table)"/>
                      <w:color w:val="auto"/>
                      <w:kern w:val="0"/>
                      <w:sz w:val="21"/>
                      <w:szCs w:val="24"/>
                      <w:lang w:val="en-US" w:eastAsia="zh-CN" w:bidi="ar"/>
                    </w:rPr>
                    <w:t>（</w:t>
                  </w:r>
                  <w:r>
                    <w:rPr>
                      <w:rFonts w:hint="default" w:ascii="Times New Roman" w:hAnsi="Times New Roman" w:eastAsia="宋体" w:cs="var(--dsw-font-markdown-table)"/>
                      <w:color w:val="auto"/>
                      <w:kern w:val="0"/>
                      <w:sz w:val="21"/>
                      <w:szCs w:val="24"/>
                      <w:lang w:val="en-US" w:eastAsia="zh-CN" w:bidi="ar"/>
                    </w:rPr>
                    <w:t>构成重大危险源</w:t>
                  </w:r>
                  <w:r>
                    <w:rPr>
                      <w:rFonts w:hint="eastAsia" w:cs="var(--dsw-font-markdown-table)"/>
                      <w:color w:val="auto"/>
                      <w:kern w:val="0"/>
                      <w:sz w:val="21"/>
                      <w:szCs w:val="24"/>
                      <w:lang w:val="en-US" w:eastAsia="zh-CN" w:bidi="ar"/>
                    </w:rPr>
                    <w:t>）</w:t>
                  </w:r>
                  <w:r>
                    <w:rPr>
                      <w:rFonts w:hint="default" w:ascii="Times New Roman" w:hAnsi="Times New Roman" w:eastAsia="宋体" w:cs="var(--dsw-font-markdown-table)"/>
                      <w:color w:val="auto"/>
                      <w:kern w:val="0"/>
                      <w:sz w:val="21"/>
                      <w:szCs w:val="24"/>
                      <w:lang w:val="en-US" w:eastAsia="zh-CN" w:bidi="ar"/>
                    </w:rPr>
                    <w:t>的建设项目，禁止在市政府规划的用于危险化学品储存的专门区域外新建、扩建有储存经营</w:t>
                  </w:r>
                  <w:r>
                    <w:rPr>
                      <w:rFonts w:hint="eastAsia" w:cs="var(--dsw-font-markdown-table)"/>
                      <w:color w:val="auto"/>
                      <w:kern w:val="0"/>
                      <w:sz w:val="21"/>
                      <w:szCs w:val="24"/>
                      <w:lang w:val="en-US" w:eastAsia="zh-CN" w:bidi="ar"/>
                    </w:rPr>
                    <w:t>（</w:t>
                  </w:r>
                  <w:r>
                    <w:rPr>
                      <w:rFonts w:hint="default" w:ascii="Times New Roman" w:hAnsi="Times New Roman" w:eastAsia="宋体" w:cs="var(--dsw-font-markdown-table)"/>
                      <w:color w:val="auto"/>
                      <w:kern w:val="0"/>
                      <w:sz w:val="21"/>
                      <w:szCs w:val="24"/>
                      <w:lang w:val="en-US" w:eastAsia="zh-CN" w:bidi="ar"/>
                    </w:rPr>
                    <w:t>不构成重大危险源</w:t>
                  </w:r>
                  <w:r>
                    <w:rPr>
                      <w:rFonts w:hint="eastAsia" w:cs="var(--dsw-font-markdown-table)"/>
                      <w:color w:val="auto"/>
                      <w:kern w:val="0"/>
                      <w:sz w:val="21"/>
                      <w:szCs w:val="24"/>
                      <w:lang w:val="en-US" w:eastAsia="zh-CN" w:bidi="ar"/>
                    </w:rPr>
                    <w:t>）</w:t>
                  </w:r>
                  <w:r>
                    <w:rPr>
                      <w:rFonts w:hint="default" w:ascii="Times New Roman" w:hAnsi="Times New Roman" w:eastAsia="宋体" w:cs="var(--dsw-font-markdown-table)"/>
                      <w:color w:val="auto"/>
                      <w:kern w:val="0"/>
                      <w:sz w:val="21"/>
                      <w:szCs w:val="24"/>
                      <w:lang w:val="en-US" w:eastAsia="zh-CN" w:bidi="ar"/>
                    </w:rPr>
                    <w:t>的建设项目</w:t>
                  </w:r>
                  <w:r>
                    <w:rPr>
                      <w:rFonts w:hint="eastAsia" w:cs="var(--dsw-font-markdown-table)"/>
                      <w:color w:val="auto"/>
                      <w:kern w:val="0"/>
                      <w:sz w:val="21"/>
                      <w:szCs w:val="24"/>
                      <w:lang w:val="en-US" w:eastAsia="zh-CN" w:bidi="ar"/>
                    </w:rPr>
                    <w:t>（</w:t>
                  </w:r>
                  <w:r>
                    <w:rPr>
                      <w:rFonts w:hint="default" w:ascii="Times New Roman" w:hAnsi="Times New Roman" w:eastAsia="宋体" w:cs="var(--dsw-font-markdown-table)"/>
                      <w:color w:val="auto"/>
                      <w:kern w:val="0"/>
                      <w:sz w:val="21"/>
                      <w:szCs w:val="24"/>
                      <w:lang w:val="en-US" w:eastAsia="zh-CN" w:bidi="ar"/>
                    </w:rPr>
                    <w:t>运输工具加油站、加气站、加氢站及其合建站[包括制氢加氢一体站]、港口[铁路、航空]危险化学品建设项目，危险化学品输送管道以及危险化学品使用单位的配套项目，国家、省、市重点项目及其配套项目除外</w:t>
                  </w:r>
                  <w:r>
                    <w:rPr>
                      <w:rFonts w:hint="eastAsia" w:cs="var(--dsw-font-markdown-table)"/>
                      <w:color w:val="auto"/>
                      <w:kern w:val="0"/>
                      <w:sz w:val="21"/>
                      <w:szCs w:val="24"/>
                      <w:lang w:val="en-US" w:eastAsia="zh-CN" w:bidi="ar"/>
                    </w:rPr>
                    <w:t>）</w:t>
                  </w:r>
                  <w:r>
                    <w:rPr>
                      <w:rFonts w:hint="default" w:ascii="Times New Roman" w:hAnsi="Times New Roman" w:eastAsia="宋体" w:cs="var(--dsw-font-markdown-table)"/>
                      <w:color w:val="auto"/>
                      <w:kern w:val="0"/>
                      <w:sz w:val="21"/>
                      <w:szCs w:val="24"/>
                      <w:lang w:val="en-US" w:eastAsia="zh-CN" w:bidi="ar"/>
                    </w:rPr>
                    <w:t>。</w:t>
                  </w:r>
                </w:p>
              </w:tc>
              <w:tc>
                <w:tcPr>
                  <w:tcW w:w="3933" w:type="dxa"/>
                  <w:vAlign w:val="center"/>
                </w:tcPr>
                <w:p w14:paraId="5333D4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本项目不属于印染、牛仔洗水、电镀、鞣革等污染行业，亦不属于危险化学品建设项目。</w:t>
                  </w:r>
                </w:p>
              </w:tc>
              <w:tc>
                <w:tcPr>
                  <w:tcW w:w="726" w:type="dxa"/>
                  <w:vAlign w:val="center"/>
                </w:tcPr>
                <w:p w14:paraId="5E57B4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符合</w:t>
                  </w:r>
                </w:p>
              </w:tc>
            </w:tr>
            <w:tr w14:paraId="2717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760" w:type="dxa"/>
                  <w:vMerge w:val="continue"/>
                  <w:vAlign w:val="center"/>
                </w:tcPr>
                <w:p w14:paraId="53DB487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color w:val="auto"/>
                      <w:vertAlign w:val="baseline"/>
                    </w:rPr>
                  </w:pPr>
                </w:p>
              </w:tc>
              <w:tc>
                <w:tcPr>
                  <w:tcW w:w="4298" w:type="dxa"/>
                  <w:vAlign w:val="center"/>
                </w:tcPr>
                <w:p w14:paraId="6873EC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1</w:t>
                  </w:r>
                  <w:r>
                    <w:rPr>
                      <w:rFonts w:hint="eastAsia" w:cs="var(--dsw-font-markdown-table)"/>
                      <w:b/>
                      <w:bCs/>
                      <w:color w:val="auto"/>
                      <w:kern w:val="0"/>
                      <w:sz w:val="21"/>
                      <w:szCs w:val="24"/>
                      <w:lang w:val="en-US" w:eastAsia="zh-CN" w:bidi="ar"/>
                    </w:rPr>
                    <w:t>.</w:t>
                  </w:r>
                  <w:r>
                    <w:rPr>
                      <w:rFonts w:hint="default" w:ascii="Times New Roman" w:hAnsi="Times New Roman" w:eastAsia="宋体" w:cs="var(--dsw-font-markdown-table)"/>
                      <w:b/>
                      <w:bCs/>
                      <w:color w:val="auto"/>
                      <w:kern w:val="0"/>
                      <w:sz w:val="21"/>
                      <w:szCs w:val="24"/>
                      <w:lang w:val="en-US" w:eastAsia="zh-CN" w:bidi="ar"/>
                    </w:rPr>
                    <w:t>4.【生态/限制类】</w:t>
                  </w:r>
                  <w:r>
                    <w:rPr>
                      <w:rFonts w:hint="default" w:ascii="Times New Roman" w:hAnsi="Times New Roman" w:eastAsia="宋体" w:cs="var(--dsw-font-markdown-table)"/>
                      <w:color w:val="auto"/>
                      <w:kern w:val="0"/>
                      <w:sz w:val="21"/>
                      <w:szCs w:val="24"/>
                      <w:lang w:val="en-US" w:eastAsia="zh-CN" w:bidi="ar"/>
                    </w:rPr>
                    <w:t>广东中山国家森林公园、中山北台地方级森林公园范围实施严格管控，按照《国家级自然公园管理办法</w:t>
                  </w:r>
                  <w:r>
                    <w:rPr>
                      <w:rFonts w:hint="eastAsia" w:cs="var(--dsw-font-markdown-table)"/>
                      <w:color w:val="auto"/>
                      <w:kern w:val="0"/>
                      <w:sz w:val="21"/>
                      <w:szCs w:val="24"/>
                      <w:lang w:val="en-US" w:eastAsia="zh-CN" w:bidi="ar"/>
                    </w:rPr>
                    <w:t>（</w:t>
                  </w:r>
                  <w:r>
                    <w:rPr>
                      <w:rFonts w:hint="default" w:ascii="Times New Roman" w:hAnsi="Times New Roman" w:eastAsia="宋体" w:cs="var(--dsw-font-markdown-table)"/>
                      <w:color w:val="auto"/>
                      <w:kern w:val="0"/>
                      <w:sz w:val="21"/>
                      <w:szCs w:val="24"/>
                      <w:lang w:val="en-US" w:eastAsia="zh-CN" w:bidi="ar"/>
                    </w:rPr>
                    <w:t>试行</w:t>
                  </w:r>
                  <w:r>
                    <w:rPr>
                      <w:rFonts w:hint="eastAsia" w:cs="var(--dsw-font-markdown-table)"/>
                      <w:color w:val="auto"/>
                      <w:kern w:val="0"/>
                      <w:sz w:val="21"/>
                      <w:szCs w:val="24"/>
                      <w:lang w:val="en-US" w:eastAsia="zh-CN" w:bidi="ar"/>
                    </w:rPr>
                    <w:t>）</w:t>
                  </w:r>
                  <w:r>
                    <w:rPr>
                      <w:rFonts w:hint="default" w:ascii="Times New Roman" w:hAnsi="Times New Roman" w:eastAsia="宋体" w:cs="var(--dsw-font-markdown-table)"/>
                      <w:color w:val="auto"/>
                      <w:kern w:val="0"/>
                      <w:sz w:val="21"/>
                      <w:szCs w:val="24"/>
                      <w:lang w:val="en-US" w:eastAsia="zh-CN" w:bidi="ar"/>
                    </w:rPr>
                    <w:t>》 《广东省森林公园管理条例》及其他有关法律法规进行管理。</w:t>
                  </w:r>
                </w:p>
              </w:tc>
              <w:tc>
                <w:tcPr>
                  <w:tcW w:w="3933" w:type="dxa"/>
                  <w:vAlign w:val="center"/>
                </w:tcPr>
                <w:p w14:paraId="626648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本项目选址于中山市南区圣都南路55号，不涉及广东中山国家森林公园、中山北台地方级森林公园范围。</w:t>
                  </w:r>
                </w:p>
              </w:tc>
              <w:tc>
                <w:tcPr>
                  <w:tcW w:w="726" w:type="dxa"/>
                  <w:vAlign w:val="center"/>
                </w:tcPr>
                <w:p w14:paraId="770472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符合</w:t>
                  </w:r>
                </w:p>
              </w:tc>
            </w:tr>
            <w:tr w14:paraId="4C183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760" w:type="dxa"/>
                  <w:vMerge w:val="continue"/>
                  <w:vAlign w:val="center"/>
                </w:tcPr>
                <w:p w14:paraId="7D8C5B4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color w:val="auto"/>
                      <w:vertAlign w:val="baseline"/>
                    </w:rPr>
                  </w:pPr>
                </w:p>
              </w:tc>
              <w:tc>
                <w:tcPr>
                  <w:tcW w:w="4298" w:type="dxa"/>
                  <w:vAlign w:val="center"/>
                </w:tcPr>
                <w:p w14:paraId="569376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1</w:t>
                  </w:r>
                  <w:r>
                    <w:rPr>
                      <w:rFonts w:hint="eastAsia" w:cs="var(--dsw-font-markdown-table)"/>
                      <w:b/>
                      <w:bCs/>
                      <w:color w:val="auto"/>
                      <w:kern w:val="0"/>
                      <w:sz w:val="21"/>
                      <w:szCs w:val="24"/>
                      <w:lang w:val="en-US" w:eastAsia="zh-CN" w:bidi="ar"/>
                    </w:rPr>
                    <w:t>.</w:t>
                  </w:r>
                  <w:r>
                    <w:rPr>
                      <w:rFonts w:hint="default" w:ascii="Times New Roman" w:hAnsi="Times New Roman" w:eastAsia="宋体" w:cs="var(--dsw-font-markdown-table)"/>
                      <w:b/>
                      <w:bCs/>
                      <w:color w:val="auto"/>
                      <w:kern w:val="0"/>
                      <w:sz w:val="21"/>
                      <w:szCs w:val="24"/>
                      <w:lang w:val="en-US" w:eastAsia="zh-CN" w:bidi="ar"/>
                    </w:rPr>
                    <w:t>5.【生态/综合类】</w:t>
                  </w:r>
                  <w:r>
                    <w:rPr>
                      <w:rFonts w:hint="default" w:ascii="Times New Roman" w:hAnsi="Times New Roman" w:eastAsia="宋体" w:cs="var(--dsw-font-markdown-table)"/>
                      <w:color w:val="auto"/>
                      <w:kern w:val="0"/>
                      <w:sz w:val="21"/>
                      <w:szCs w:val="24"/>
                      <w:lang w:val="en-US" w:eastAsia="zh-CN" w:bidi="ar"/>
                    </w:rPr>
                    <w:t>加强对生态空间的保护，生态保护红线、一般生态空间严格按照国家、省有关要求进行管控。</w:t>
                  </w:r>
                </w:p>
              </w:tc>
              <w:tc>
                <w:tcPr>
                  <w:tcW w:w="3933" w:type="dxa"/>
                  <w:vAlign w:val="center"/>
                </w:tcPr>
                <w:p w14:paraId="0155A3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本项目选址于工业用地范围内，不涉及生态保护红线和一般生态空间。</w:t>
                  </w:r>
                </w:p>
              </w:tc>
              <w:tc>
                <w:tcPr>
                  <w:tcW w:w="726" w:type="dxa"/>
                  <w:vAlign w:val="center"/>
                </w:tcPr>
                <w:p w14:paraId="7FA834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符合</w:t>
                  </w:r>
                </w:p>
              </w:tc>
            </w:tr>
            <w:tr w14:paraId="72BA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760" w:type="dxa"/>
                  <w:vMerge w:val="continue"/>
                  <w:vAlign w:val="center"/>
                </w:tcPr>
                <w:p w14:paraId="38FF878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color w:val="auto"/>
                      <w:vertAlign w:val="baseline"/>
                    </w:rPr>
                  </w:pPr>
                </w:p>
              </w:tc>
              <w:tc>
                <w:tcPr>
                  <w:tcW w:w="4298" w:type="dxa"/>
                  <w:vAlign w:val="center"/>
                </w:tcPr>
                <w:p w14:paraId="1BA8EA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1</w:t>
                  </w:r>
                  <w:r>
                    <w:rPr>
                      <w:rFonts w:hint="eastAsia" w:cs="var(--dsw-font-markdown-table)"/>
                      <w:b/>
                      <w:bCs/>
                      <w:color w:val="auto"/>
                      <w:kern w:val="0"/>
                      <w:sz w:val="21"/>
                      <w:szCs w:val="24"/>
                      <w:lang w:val="en-US" w:eastAsia="zh-CN" w:bidi="ar"/>
                    </w:rPr>
                    <w:t>.</w:t>
                  </w:r>
                  <w:r>
                    <w:rPr>
                      <w:rFonts w:hint="default" w:ascii="Times New Roman" w:hAnsi="Times New Roman" w:eastAsia="宋体" w:cs="var(--dsw-font-markdown-table)"/>
                      <w:b/>
                      <w:bCs/>
                      <w:color w:val="auto"/>
                      <w:kern w:val="0"/>
                      <w:sz w:val="21"/>
                      <w:szCs w:val="24"/>
                      <w:lang w:val="en-US" w:eastAsia="zh-CN" w:bidi="ar"/>
                    </w:rPr>
                    <w:t>6.【水/鼓励引导类】</w:t>
                  </w:r>
                  <w:r>
                    <w:rPr>
                      <w:rFonts w:hint="default" w:ascii="Times New Roman" w:hAnsi="Times New Roman" w:eastAsia="宋体" w:cs="var(--dsw-font-markdown-table)"/>
                      <w:color w:val="auto"/>
                      <w:kern w:val="0"/>
                      <w:sz w:val="21"/>
                      <w:szCs w:val="24"/>
                      <w:lang w:val="en-US" w:eastAsia="zh-CN" w:bidi="ar"/>
                    </w:rPr>
                    <w:t>未达到水质目标的饮用水水源保护区、重要水库汇水区等敏感区域要建设生态沟渠、污水净化塘等设施。</w:t>
                  </w:r>
                </w:p>
              </w:tc>
              <w:tc>
                <w:tcPr>
                  <w:tcW w:w="3933" w:type="dxa"/>
                  <w:vAlign w:val="center"/>
                </w:tcPr>
                <w:p w14:paraId="13F562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本项目选址不涉及饮用水水源保护区及重要水库汇水区等敏感区域。</w:t>
                  </w:r>
                </w:p>
              </w:tc>
              <w:tc>
                <w:tcPr>
                  <w:tcW w:w="726" w:type="dxa"/>
                  <w:vAlign w:val="center"/>
                </w:tcPr>
                <w:p w14:paraId="4AEF4F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符合</w:t>
                  </w:r>
                </w:p>
              </w:tc>
            </w:tr>
            <w:tr w14:paraId="6D29C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760" w:type="dxa"/>
                  <w:vMerge w:val="continue"/>
                  <w:vAlign w:val="center"/>
                </w:tcPr>
                <w:p w14:paraId="07CBBD5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color w:val="auto"/>
                      <w:vertAlign w:val="baseline"/>
                    </w:rPr>
                  </w:pPr>
                </w:p>
              </w:tc>
              <w:tc>
                <w:tcPr>
                  <w:tcW w:w="4298" w:type="dxa"/>
                  <w:vAlign w:val="center"/>
                </w:tcPr>
                <w:p w14:paraId="48A4A6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1</w:t>
                  </w:r>
                  <w:r>
                    <w:rPr>
                      <w:rFonts w:hint="eastAsia" w:cs="var(--dsw-font-markdown-table)"/>
                      <w:b/>
                      <w:bCs/>
                      <w:color w:val="auto"/>
                      <w:kern w:val="0"/>
                      <w:sz w:val="21"/>
                      <w:szCs w:val="24"/>
                      <w:lang w:val="en-US" w:eastAsia="zh-CN" w:bidi="ar"/>
                    </w:rPr>
                    <w:t>.</w:t>
                  </w:r>
                  <w:r>
                    <w:rPr>
                      <w:rFonts w:hint="default" w:ascii="Times New Roman" w:hAnsi="Times New Roman" w:eastAsia="宋体" w:cs="var(--dsw-font-markdown-table)"/>
                      <w:b/>
                      <w:bCs/>
                      <w:color w:val="auto"/>
                      <w:kern w:val="0"/>
                      <w:sz w:val="21"/>
                      <w:szCs w:val="24"/>
                      <w:lang w:val="en-US" w:eastAsia="zh-CN" w:bidi="ar"/>
                    </w:rPr>
                    <w:t>7.【水/禁止类】</w:t>
                  </w:r>
                  <w:r>
                    <w:rPr>
                      <w:rFonts w:hint="default" w:ascii="Times New Roman" w:hAnsi="Times New Roman" w:eastAsia="宋体" w:cs="var(--dsw-font-markdown-table)"/>
                      <w:color w:val="auto"/>
                      <w:kern w:val="0"/>
                      <w:sz w:val="21"/>
                      <w:szCs w:val="24"/>
                      <w:lang w:val="en-US" w:eastAsia="zh-CN" w:bidi="ar"/>
                    </w:rPr>
                    <w:t>①马岭水库饮用水水源保护区内禁止新建、改建、扩建与供水设施和保护水源无关的建设项目；②岐江河流域依法关停重污染企业。</w:t>
                  </w:r>
                </w:p>
              </w:tc>
              <w:tc>
                <w:tcPr>
                  <w:tcW w:w="3933" w:type="dxa"/>
                  <w:vAlign w:val="center"/>
                </w:tcPr>
                <w:p w14:paraId="48E15B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本项目选址不涉及马岭水库饮用水水源保护区；项目废水不直接排入岐江河流域，不属于岐江河流域重污染企业。</w:t>
                  </w:r>
                </w:p>
              </w:tc>
              <w:tc>
                <w:tcPr>
                  <w:tcW w:w="726" w:type="dxa"/>
                  <w:vAlign w:val="center"/>
                </w:tcPr>
                <w:p w14:paraId="26D35D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符合</w:t>
                  </w:r>
                </w:p>
              </w:tc>
            </w:tr>
            <w:tr w14:paraId="7D06E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760" w:type="dxa"/>
                  <w:vMerge w:val="continue"/>
                  <w:vAlign w:val="center"/>
                </w:tcPr>
                <w:p w14:paraId="442BD5D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color w:val="auto"/>
                      <w:vertAlign w:val="baseline"/>
                    </w:rPr>
                  </w:pPr>
                </w:p>
              </w:tc>
              <w:tc>
                <w:tcPr>
                  <w:tcW w:w="4298" w:type="dxa"/>
                  <w:vAlign w:val="center"/>
                </w:tcPr>
                <w:p w14:paraId="39AC9E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1</w:t>
                  </w:r>
                  <w:r>
                    <w:rPr>
                      <w:rFonts w:hint="eastAsia" w:cs="var(--dsw-font-markdown-table)"/>
                      <w:b/>
                      <w:bCs/>
                      <w:color w:val="auto"/>
                      <w:kern w:val="0"/>
                      <w:sz w:val="21"/>
                      <w:szCs w:val="24"/>
                      <w:lang w:val="en-US" w:eastAsia="zh-CN" w:bidi="ar"/>
                    </w:rPr>
                    <w:t>.</w:t>
                  </w:r>
                  <w:r>
                    <w:rPr>
                      <w:rFonts w:hint="default" w:ascii="Times New Roman" w:hAnsi="Times New Roman" w:eastAsia="宋体" w:cs="var(--dsw-font-markdown-table)"/>
                      <w:b/>
                      <w:bCs/>
                      <w:color w:val="auto"/>
                      <w:kern w:val="0"/>
                      <w:sz w:val="21"/>
                      <w:szCs w:val="24"/>
                      <w:lang w:val="en-US" w:eastAsia="zh-CN" w:bidi="ar"/>
                    </w:rPr>
                    <w:t>8.【水/限制类】</w:t>
                  </w:r>
                  <w:r>
                    <w:rPr>
                      <w:rFonts w:hint="default" w:ascii="Times New Roman" w:hAnsi="Times New Roman" w:eastAsia="宋体" w:cs="var(--dsw-font-markdown-table)"/>
                      <w:color w:val="auto"/>
                      <w:kern w:val="0"/>
                      <w:sz w:val="21"/>
                      <w:szCs w:val="24"/>
                      <w:lang w:val="en-US" w:eastAsia="zh-CN" w:bidi="ar"/>
                    </w:rPr>
                    <w:t>严格限制重要水库集雨区与水源涵养区域变更土地利用方式。</w:t>
                  </w:r>
                </w:p>
              </w:tc>
              <w:tc>
                <w:tcPr>
                  <w:tcW w:w="3933" w:type="dxa"/>
                  <w:vAlign w:val="center"/>
                </w:tcPr>
                <w:p w14:paraId="735998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本项目选址不涉及重要水库集雨区与水源涵养区域，不涉及土地利用方式变更。</w:t>
                  </w:r>
                </w:p>
              </w:tc>
              <w:tc>
                <w:tcPr>
                  <w:tcW w:w="726" w:type="dxa"/>
                  <w:vAlign w:val="center"/>
                </w:tcPr>
                <w:p w14:paraId="62FAA6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符合</w:t>
                  </w:r>
                </w:p>
              </w:tc>
            </w:tr>
            <w:tr w14:paraId="37486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760" w:type="dxa"/>
                  <w:vMerge w:val="continue"/>
                  <w:vAlign w:val="center"/>
                </w:tcPr>
                <w:p w14:paraId="67C4DD7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color w:val="auto"/>
                      <w:vertAlign w:val="baseline"/>
                    </w:rPr>
                  </w:pPr>
                </w:p>
              </w:tc>
              <w:tc>
                <w:tcPr>
                  <w:tcW w:w="4298" w:type="dxa"/>
                  <w:vAlign w:val="center"/>
                </w:tcPr>
                <w:p w14:paraId="34B711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1</w:t>
                  </w:r>
                  <w:r>
                    <w:rPr>
                      <w:rFonts w:hint="eastAsia" w:cs="var(--dsw-font-markdown-table)"/>
                      <w:b/>
                      <w:bCs/>
                      <w:color w:val="auto"/>
                      <w:kern w:val="0"/>
                      <w:sz w:val="21"/>
                      <w:szCs w:val="24"/>
                      <w:lang w:val="en-US" w:eastAsia="zh-CN" w:bidi="ar"/>
                    </w:rPr>
                    <w:t>.</w:t>
                  </w:r>
                  <w:r>
                    <w:rPr>
                      <w:rFonts w:hint="default" w:ascii="Times New Roman" w:hAnsi="Times New Roman" w:eastAsia="宋体" w:cs="var(--dsw-font-markdown-table)"/>
                      <w:b/>
                      <w:bCs/>
                      <w:color w:val="auto"/>
                      <w:kern w:val="0"/>
                      <w:sz w:val="21"/>
                      <w:szCs w:val="24"/>
                      <w:lang w:val="en-US" w:eastAsia="zh-CN" w:bidi="ar"/>
                    </w:rPr>
                    <w:t>9.【大气/禁止类】</w:t>
                  </w:r>
                  <w:r>
                    <w:rPr>
                      <w:rFonts w:hint="default" w:ascii="Times New Roman" w:hAnsi="Times New Roman" w:eastAsia="宋体" w:cs="var(--dsw-font-markdown-table)"/>
                      <w:color w:val="auto"/>
                      <w:kern w:val="0"/>
                      <w:sz w:val="21"/>
                      <w:szCs w:val="24"/>
                      <w:lang w:val="en-US" w:eastAsia="zh-CN" w:bidi="ar"/>
                    </w:rPr>
                    <w:t>环境空气质量一类功能区实施严格保护，禁止新建、扩建大气污染物排放工业项目。</w:t>
                  </w:r>
                </w:p>
              </w:tc>
              <w:tc>
                <w:tcPr>
                  <w:tcW w:w="3933" w:type="dxa"/>
                  <w:vAlign w:val="center"/>
                </w:tcPr>
                <w:p w14:paraId="2F1AA5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根据《中山市环境空气质量功能区划（2020修订版）》，本项目选址区域属于二类环境空气质量功能区，不在一类功能区内。</w:t>
                  </w:r>
                </w:p>
              </w:tc>
              <w:tc>
                <w:tcPr>
                  <w:tcW w:w="726" w:type="dxa"/>
                  <w:vAlign w:val="center"/>
                </w:tcPr>
                <w:p w14:paraId="5862FC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符合</w:t>
                  </w:r>
                </w:p>
              </w:tc>
            </w:tr>
            <w:tr w14:paraId="6C949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760" w:type="dxa"/>
                  <w:vMerge w:val="continue"/>
                  <w:vAlign w:val="center"/>
                </w:tcPr>
                <w:p w14:paraId="4F1F581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color w:val="auto"/>
                      <w:vertAlign w:val="baseline"/>
                    </w:rPr>
                  </w:pPr>
                </w:p>
              </w:tc>
              <w:tc>
                <w:tcPr>
                  <w:tcW w:w="4298" w:type="dxa"/>
                  <w:vAlign w:val="center"/>
                </w:tcPr>
                <w:p w14:paraId="2A7417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1</w:t>
                  </w:r>
                  <w:r>
                    <w:rPr>
                      <w:rFonts w:hint="eastAsia" w:cs="var(--dsw-font-markdown-table)"/>
                      <w:b/>
                      <w:bCs/>
                      <w:color w:val="auto"/>
                      <w:kern w:val="0"/>
                      <w:sz w:val="21"/>
                      <w:szCs w:val="24"/>
                      <w:lang w:val="en-US" w:eastAsia="zh-CN" w:bidi="ar"/>
                    </w:rPr>
                    <w:t>.</w:t>
                  </w:r>
                  <w:r>
                    <w:rPr>
                      <w:rFonts w:hint="default" w:ascii="Times New Roman" w:hAnsi="Times New Roman" w:eastAsia="宋体" w:cs="var(--dsw-font-markdown-table)"/>
                      <w:b/>
                      <w:bCs/>
                      <w:color w:val="auto"/>
                      <w:kern w:val="0"/>
                      <w:sz w:val="21"/>
                      <w:szCs w:val="24"/>
                      <w:lang w:val="en-US" w:eastAsia="zh-CN" w:bidi="ar"/>
                    </w:rPr>
                    <w:t>10.【大气/限制类】</w:t>
                  </w:r>
                  <w:r>
                    <w:rPr>
                      <w:rFonts w:hint="default" w:ascii="Times New Roman" w:hAnsi="Times New Roman" w:eastAsia="宋体" w:cs="var(--dsw-font-markdown-table)"/>
                      <w:color w:val="auto"/>
                      <w:kern w:val="0"/>
                      <w:sz w:val="21"/>
                      <w:szCs w:val="24"/>
                      <w:lang w:val="en-US" w:eastAsia="zh-CN" w:bidi="ar"/>
                    </w:rPr>
                    <w:t>原则上不再审批或备案新建、扩建涉VOCs产排的工业类项目，相关豁免情形除外。</w:t>
                  </w:r>
                </w:p>
              </w:tc>
              <w:tc>
                <w:tcPr>
                  <w:tcW w:w="3933" w:type="dxa"/>
                  <w:vAlign w:val="center"/>
                </w:tcPr>
                <w:p w14:paraId="05CF2E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本项目位于中山市南区，为新建项目。项目VOCs排放量约0.69</w:t>
                  </w:r>
                  <w:r>
                    <w:rPr>
                      <w:rFonts w:hint="eastAsia" w:ascii="Times New Roman" w:hAnsi="Times New Roman" w:eastAsia="宋体" w:cs="var(--dsw-font-markdown-table)"/>
                      <w:b w:val="0"/>
                      <w:bCs w:val="0"/>
                      <w:color w:val="auto"/>
                      <w:kern w:val="0"/>
                      <w:sz w:val="21"/>
                      <w:szCs w:val="24"/>
                      <w:lang w:val="en-US" w:eastAsia="zh-CN" w:bidi="ar"/>
                    </w:rPr>
                    <w:t>6</w:t>
                  </w:r>
                  <w:r>
                    <w:rPr>
                      <w:rFonts w:hint="default" w:ascii="Times New Roman" w:hAnsi="Times New Roman" w:eastAsia="宋体" w:cs="var(--dsw-font-markdown-table)"/>
                      <w:b w:val="0"/>
                      <w:bCs w:val="0"/>
                      <w:color w:val="auto"/>
                      <w:kern w:val="0"/>
                      <w:sz w:val="21"/>
                      <w:szCs w:val="24"/>
                      <w:lang w:val="en-US" w:eastAsia="zh-CN" w:bidi="ar"/>
                    </w:rPr>
                    <w:t>t/a，</w:t>
                  </w:r>
                  <w:r>
                    <w:rPr>
                      <w:rFonts w:hint="eastAsia" w:ascii="Times New Roman" w:hAnsi="Times New Roman" w:eastAsia="宋体" w:cs="var(--dsw-font-markdown-table)"/>
                      <w:b w:val="0"/>
                      <w:bCs w:val="0"/>
                      <w:color w:val="auto"/>
                      <w:kern w:val="0"/>
                      <w:sz w:val="21"/>
                      <w:szCs w:val="24"/>
                      <w:lang w:val="en-US" w:eastAsia="zh-CN" w:bidi="ar"/>
                    </w:rPr>
                    <w:t>属于市重点建设项目(重点项目证明见附件），属于豁免情形。</w:t>
                  </w:r>
                </w:p>
              </w:tc>
              <w:tc>
                <w:tcPr>
                  <w:tcW w:w="726" w:type="dxa"/>
                  <w:vAlign w:val="center"/>
                </w:tcPr>
                <w:p w14:paraId="275E1D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符合</w:t>
                  </w:r>
                </w:p>
              </w:tc>
            </w:tr>
            <w:tr w14:paraId="2AD6D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760" w:type="dxa"/>
                  <w:vMerge w:val="continue"/>
                  <w:vAlign w:val="center"/>
                </w:tcPr>
                <w:p w14:paraId="6CF8BBF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color w:val="auto"/>
                      <w:vertAlign w:val="baseline"/>
                    </w:rPr>
                  </w:pPr>
                </w:p>
              </w:tc>
              <w:tc>
                <w:tcPr>
                  <w:tcW w:w="4298" w:type="dxa"/>
                  <w:vAlign w:val="center"/>
                </w:tcPr>
                <w:p w14:paraId="5B4A85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1</w:t>
                  </w:r>
                  <w:r>
                    <w:rPr>
                      <w:rFonts w:hint="eastAsia" w:cs="var(--dsw-font-markdown-table)"/>
                      <w:b/>
                      <w:bCs/>
                      <w:color w:val="auto"/>
                      <w:kern w:val="0"/>
                      <w:sz w:val="21"/>
                      <w:szCs w:val="24"/>
                      <w:lang w:val="en-US" w:eastAsia="zh-CN" w:bidi="ar"/>
                    </w:rPr>
                    <w:t>.</w:t>
                  </w:r>
                  <w:r>
                    <w:rPr>
                      <w:rFonts w:hint="default" w:ascii="Times New Roman" w:hAnsi="Times New Roman" w:eastAsia="宋体" w:cs="var(--dsw-font-markdown-table)"/>
                      <w:b/>
                      <w:bCs/>
                      <w:color w:val="auto"/>
                      <w:kern w:val="0"/>
                      <w:sz w:val="21"/>
                      <w:szCs w:val="24"/>
                      <w:lang w:val="en-US" w:eastAsia="zh-CN" w:bidi="ar"/>
                    </w:rPr>
                    <w:t>11.【土壤/限制类】</w:t>
                  </w:r>
                  <w:r>
                    <w:rPr>
                      <w:rFonts w:hint="default" w:ascii="Times New Roman" w:hAnsi="Times New Roman" w:eastAsia="宋体" w:cs="var(--dsw-font-markdown-table)"/>
                      <w:color w:val="auto"/>
                      <w:kern w:val="0"/>
                      <w:sz w:val="21"/>
                      <w:szCs w:val="24"/>
                      <w:lang w:val="en-US" w:eastAsia="zh-CN" w:bidi="ar"/>
                    </w:rPr>
                    <w:t>建设用地地块用途变更为住宅、公共管理与公共服务用地时，应按规定进行土壤污染状况调查。</w:t>
                  </w:r>
                </w:p>
              </w:tc>
              <w:tc>
                <w:tcPr>
                  <w:tcW w:w="3933" w:type="dxa"/>
                  <w:vAlign w:val="center"/>
                </w:tcPr>
                <w:p w14:paraId="7F5616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根据“中山市自然资源一图通”，本项目用地性质为工业用地，不涉及用途变更为住宅、公共管理与公共服务用地的情况。</w:t>
                  </w:r>
                </w:p>
              </w:tc>
              <w:tc>
                <w:tcPr>
                  <w:tcW w:w="726" w:type="dxa"/>
                  <w:vAlign w:val="center"/>
                </w:tcPr>
                <w:p w14:paraId="349323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符合</w:t>
                  </w:r>
                </w:p>
              </w:tc>
            </w:tr>
            <w:tr w14:paraId="0556B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760" w:type="dxa"/>
                  <w:vMerge w:val="restart"/>
                  <w:vAlign w:val="center"/>
                </w:tcPr>
                <w:p w14:paraId="5BB4C1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能源资源利用要求</w:t>
                  </w:r>
                </w:p>
              </w:tc>
              <w:tc>
                <w:tcPr>
                  <w:tcW w:w="4298" w:type="dxa"/>
                  <w:vAlign w:val="center"/>
                </w:tcPr>
                <w:p w14:paraId="2F9641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2</w:t>
                  </w:r>
                  <w:r>
                    <w:rPr>
                      <w:rFonts w:hint="eastAsia" w:cs="var(--dsw-font-markdown-table)"/>
                      <w:b/>
                      <w:bCs/>
                      <w:color w:val="auto"/>
                      <w:kern w:val="0"/>
                      <w:sz w:val="21"/>
                      <w:szCs w:val="24"/>
                      <w:lang w:val="en-US" w:eastAsia="zh-CN" w:bidi="ar"/>
                    </w:rPr>
                    <w:t>.</w:t>
                  </w:r>
                  <w:r>
                    <w:rPr>
                      <w:rFonts w:hint="default" w:ascii="Times New Roman" w:hAnsi="Times New Roman" w:eastAsia="宋体" w:cs="var(--dsw-font-markdown-table)"/>
                      <w:b/>
                      <w:bCs/>
                      <w:color w:val="auto"/>
                      <w:kern w:val="0"/>
                      <w:sz w:val="21"/>
                      <w:szCs w:val="24"/>
                      <w:lang w:val="en-US" w:eastAsia="zh-CN" w:bidi="ar"/>
                    </w:rPr>
                    <w:t>1.【能源/鼓励引导类】</w:t>
                  </w:r>
                  <w:r>
                    <w:rPr>
                      <w:rFonts w:hint="default" w:ascii="Times New Roman" w:hAnsi="Times New Roman" w:eastAsia="宋体" w:cs="var(--dsw-font-markdown-table)"/>
                      <w:color w:val="auto"/>
                      <w:kern w:val="0"/>
                      <w:sz w:val="21"/>
                      <w:szCs w:val="24"/>
                      <w:lang w:val="en-US" w:eastAsia="zh-CN" w:bidi="ar"/>
                    </w:rPr>
                    <w:t>加快新能源汽车及其配套设施建设。</w:t>
                  </w:r>
                </w:p>
              </w:tc>
              <w:tc>
                <w:tcPr>
                  <w:tcW w:w="3933" w:type="dxa"/>
                  <w:vAlign w:val="center"/>
                </w:tcPr>
                <w:p w14:paraId="592697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本项目不涉及。</w:t>
                  </w:r>
                </w:p>
              </w:tc>
              <w:tc>
                <w:tcPr>
                  <w:tcW w:w="726" w:type="dxa"/>
                  <w:vAlign w:val="center"/>
                </w:tcPr>
                <w:p w14:paraId="508313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符合</w:t>
                  </w:r>
                </w:p>
              </w:tc>
            </w:tr>
            <w:tr w14:paraId="2A0F1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760" w:type="dxa"/>
                  <w:vMerge w:val="continue"/>
                  <w:vAlign w:val="center"/>
                </w:tcPr>
                <w:p w14:paraId="42E2033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color w:val="auto"/>
                      <w:vertAlign w:val="baseline"/>
                    </w:rPr>
                  </w:pPr>
                </w:p>
              </w:tc>
              <w:tc>
                <w:tcPr>
                  <w:tcW w:w="4298" w:type="dxa"/>
                  <w:vAlign w:val="center"/>
                </w:tcPr>
                <w:p w14:paraId="47060F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2</w:t>
                  </w:r>
                  <w:r>
                    <w:rPr>
                      <w:rFonts w:hint="eastAsia" w:cs="var(--dsw-font-markdown-table)"/>
                      <w:b/>
                      <w:bCs/>
                      <w:color w:val="auto"/>
                      <w:kern w:val="0"/>
                      <w:sz w:val="21"/>
                      <w:szCs w:val="24"/>
                      <w:lang w:val="en-US" w:eastAsia="zh-CN" w:bidi="ar"/>
                    </w:rPr>
                    <w:t>.</w:t>
                  </w:r>
                  <w:r>
                    <w:rPr>
                      <w:rFonts w:hint="default" w:ascii="Times New Roman" w:hAnsi="Times New Roman" w:eastAsia="宋体" w:cs="var(--dsw-font-markdown-table)"/>
                      <w:b/>
                      <w:bCs/>
                      <w:color w:val="auto"/>
                      <w:kern w:val="0"/>
                      <w:sz w:val="21"/>
                      <w:szCs w:val="24"/>
                      <w:lang w:val="en-US" w:eastAsia="zh-CN" w:bidi="ar"/>
                    </w:rPr>
                    <w:t>2.【能源/限制类】</w:t>
                  </w:r>
                  <w:r>
                    <w:rPr>
                      <w:rFonts w:hint="default" w:ascii="Times New Roman" w:hAnsi="Times New Roman" w:eastAsia="宋体" w:cs="var(--dsw-font-markdown-table)"/>
                      <w:color w:val="auto"/>
                      <w:kern w:val="0"/>
                      <w:sz w:val="21"/>
                      <w:szCs w:val="24"/>
                      <w:lang w:val="en-US" w:eastAsia="zh-CN" w:bidi="ar"/>
                    </w:rPr>
                    <w:t>新、改、扩建锅炉、炉窑应采用清洁能源，原则上不使用生物质燃料。</w:t>
                  </w:r>
                </w:p>
              </w:tc>
              <w:tc>
                <w:tcPr>
                  <w:tcW w:w="3933" w:type="dxa"/>
                  <w:vAlign w:val="center"/>
                </w:tcPr>
                <w:p w14:paraId="66A495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本项目所用设备均使用电能，不涉及锅炉、炉窑；项目建成后将积极推行清洁生产。</w:t>
                  </w:r>
                </w:p>
              </w:tc>
              <w:tc>
                <w:tcPr>
                  <w:tcW w:w="726" w:type="dxa"/>
                  <w:vAlign w:val="center"/>
                </w:tcPr>
                <w:p w14:paraId="1F0B01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符合</w:t>
                  </w:r>
                </w:p>
              </w:tc>
            </w:tr>
            <w:tr w14:paraId="1E749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760" w:type="dxa"/>
                  <w:vMerge w:val="continue"/>
                  <w:vAlign w:val="center"/>
                </w:tcPr>
                <w:p w14:paraId="7FE4E0E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color w:val="auto"/>
                      <w:vertAlign w:val="baseline"/>
                    </w:rPr>
                  </w:pPr>
                </w:p>
              </w:tc>
              <w:tc>
                <w:tcPr>
                  <w:tcW w:w="4298" w:type="dxa"/>
                  <w:vAlign w:val="center"/>
                </w:tcPr>
                <w:p w14:paraId="795409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2</w:t>
                  </w:r>
                  <w:r>
                    <w:rPr>
                      <w:rFonts w:hint="eastAsia" w:cs="var(--dsw-font-markdown-table)"/>
                      <w:b/>
                      <w:bCs/>
                      <w:color w:val="auto"/>
                      <w:kern w:val="0"/>
                      <w:sz w:val="21"/>
                      <w:szCs w:val="24"/>
                      <w:lang w:val="en-US" w:eastAsia="zh-CN" w:bidi="ar"/>
                    </w:rPr>
                    <w:t>.</w:t>
                  </w:r>
                  <w:r>
                    <w:rPr>
                      <w:rFonts w:hint="default" w:ascii="Times New Roman" w:hAnsi="Times New Roman" w:eastAsia="宋体" w:cs="var(--dsw-font-markdown-table)"/>
                      <w:b/>
                      <w:bCs/>
                      <w:color w:val="auto"/>
                      <w:kern w:val="0"/>
                      <w:sz w:val="21"/>
                      <w:szCs w:val="24"/>
                      <w:lang w:val="en-US" w:eastAsia="zh-CN" w:bidi="ar"/>
                    </w:rPr>
                    <w:t>3.【水/鼓励引导类】</w:t>
                  </w:r>
                  <w:r>
                    <w:rPr>
                      <w:rFonts w:hint="default" w:ascii="Times New Roman" w:hAnsi="Times New Roman" w:eastAsia="宋体" w:cs="var(--dsw-font-markdown-table)"/>
                      <w:color w:val="auto"/>
                      <w:kern w:val="0"/>
                      <w:sz w:val="21"/>
                      <w:szCs w:val="24"/>
                      <w:lang w:val="en-US" w:eastAsia="zh-CN" w:bidi="ar"/>
                    </w:rPr>
                    <w:t>鼓励研发、应用节水技术与设施，提高水资源利用效率。</w:t>
                  </w:r>
                </w:p>
              </w:tc>
              <w:tc>
                <w:tcPr>
                  <w:tcW w:w="3933" w:type="dxa"/>
                  <w:vAlign w:val="center"/>
                </w:tcPr>
                <w:p w14:paraId="0067CA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本项目冷却用水循环使用，不外排，符合节水要求。</w:t>
                  </w:r>
                </w:p>
              </w:tc>
              <w:tc>
                <w:tcPr>
                  <w:tcW w:w="726" w:type="dxa"/>
                  <w:vAlign w:val="center"/>
                </w:tcPr>
                <w:p w14:paraId="1CFE93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符合</w:t>
                  </w:r>
                </w:p>
              </w:tc>
            </w:tr>
            <w:tr w14:paraId="4C414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760" w:type="dxa"/>
                  <w:vMerge w:val="continue"/>
                  <w:vAlign w:val="center"/>
                </w:tcPr>
                <w:p w14:paraId="6B44821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color w:val="auto"/>
                      <w:vertAlign w:val="baseline"/>
                    </w:rPr>
                  </w:pPr>
                </w:p>
              </w:tc>
              <w:tc>
                <w:tcPr>
                  <w:tcW w:w="4298" w:type="dxa"/>
                  <w:vAlign w:val="center"/>
                </w:tcPr>
                <w:p w14:paraId="731DC9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2</w:t>
                  </w:r>
                  <w:r>
                    <w:rPr>
                      <w:rFonts w:hint="eastAsia" w:cs="var(--dsw-font-markdown-table)"/>
                      <w:b/>
                      <w:bCs/>
                      <w:color w:val="auto"/>
                      <w:kern w:val="0"/>
                      <w:sz w:val="21"/>
                      <w:szCs w:val="24"/>
                      <w:lang w:val="en-US" w:eastAsia="zh-CN" w:bidi="ar"/>
                    </w:rPr>
                    <w:t>.</w:t>
                  </w:r>
                  <w:r>
                    <w:rPr>
                      <w:rFonts w:hint="default" w:ascii="Times New Roman" w:hAnsi="Times New Roman" w:eastAsia="宋体" w:cs="var(--dsw-font-markdown-table)"/>
                      <w:b/>
                      <w:bCs/>
                      <w:color w:val="auto"/>
                      <w:kern w:val="0"/>
                      <w:sz w:val="21"/>
                      <w:szCs w:val="24"/>
                      <w:lang w:val="en-US" w:eastAsia="zh-CN" w:bidi="ar"/>
                    </w:rPr>
                    <w:t>4.【土地资源/鼓励引导类】</w:t>
                  </w:r>
                  <w:r>
                    <w:rPr>
                      <w:rFonts w:hint="default" w:ascii="Times New Roman" w:hAnsi="Times New Roman" w:eastAsia="宋体" w:cs="var(--dsw-font-markdown-table)"/>
                      <w:color w:val="auto"/>
                      <w:kern w:val="0"/>
                      <w:sz w:val="21"/>
                      <w:szCs w:val="24"/>
                      <w:lang w:val="en-US" w:eastAsia="zh-CN" w:bidi="ar"/>
                    </w:rPr>
                    <w:t>鼓励对连片街区内的旧厂房、旧村庄等实施拆除重建、综合整治等活动。</w:t>
                  </w:r>
                </w:p>
              </w:tc>
              <w:tc>
                <w:tcPr>
                  <w:tcW w:w="3933" w:type="dxa"/>
                  <w:vAlign w:val="center"/>
                </w:tcPr>
                <w:p w14:paraId="4A41BA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本项目不涉及。</w:t>
                  </w:r>
                </w:p>
              </w:tc>
              <w:tc>
                <w:tcPr>
                  <w:tcW w:w="726" w:type="dxa"/>
                  <w:vAlign w:val="center"/>
                </w:tcPr>
                <w:p w14:paraId="0D0D7E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符合</w:t>
                  </w:r>
                </w:p>
              </w:tc>
            </w:tr>
            <w:tr w14:paraId="5B2B3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760" w:type="dxa"/>
                  <w:vMerge w:val="restart"/>
                  <w:vAlign w:val="center"/>
                </w:tcPr>
                <w:p w14:paraId="2DED05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污染物排放管控要求</w:t>
                  </w:r>
                </w:p>
              </w:tc>
              <w:tc>
                <w:tcPr>
                  <w:tcW w:w="4298" w:type="dxa"/>
                  <w:vAlign w:val="center"/>
                </w:tcPr>
                <w:p w14:paraId="67F674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3</w:t>
                  </w:r>
                  <w:r>
                    <w:rPr>
                      <w:rFonts w:hint="eastAsia" w:cs="var(--dsw-font-markdown-table)"/>
                      <w:b/>
                      <w:bCs/>
                      <w:color w:val="auto"/>
                      <w:kern w:val="0"/>
                      <w:sz w:val="21"/>
                      <w:szCs w:val="24"/>
                      <w:lang w:val="en-US" w:eastAsia="zh-CN" w:bidi="ar"/>
                    </w:rPr>
                    <w:t>.</w:t>
                  </w:r>
                  <w:r>
                    <w:rPr>
                      <w:rFonts w:hint="default" w:ascii="Times New Roman" w:hAnsi="Times New Roman" w:eastAsia="宋体" w:cs="var(--dsw-font-markdown-table)"/>
                      <w:b/>
                      <w:bCs/>
                      <w:color w:val="auto"/>
                      <w:kern w:val="0"/>
                      <w:sz w:val="21"/>
                      <w:szCs w:val="24"/>
                      <w:lang w:val="en-US" w:eastAsia="zh-CN" w:bidi="ar"/>
                    </w:rPr>
                    <w:t>1.【水/鼓励引导类】</w:t>
                  </w:r>
                  <w:r>
                    <w:rPr>
                      <w:rFonts w:hint="default" w:ascii="Times New Roman" w:hAnsi="Times New Roman" w:eastAsia="宋体" w:cs="var(--dsw-font-markdown-table)"/>
                      <w:color w:val="auto"/>
                      <w:kern w:val="0"/>
                      <w:sz w:val="21"/>
                      <w:szCs w:val="24"/>
                      <w:lang w:val="en-US" w:eastAsia="zh-CN" w:bidi="ar"/>
                    </w:rPr>
                    <w:t>①全力推进中山市中心组团黑臭水体整治提升工程；②新区建设和旧城区改造应同步规划建设污水、雨水收集管网，实行雨污分流。</w:t>
                  </w:r>
                </w:p>
              </w:tc>
              <w:tc>
                <w:tcPr>
                  <w:tcW w:w="3933" w:type="dxa"/>
                  <w:vAlign w:val="center"/>
                </w:tcPr>
                <w:p w14:paraId="740683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本</w:t>
                  </w:r>
                  <w:r>
                    <w:rPr>
                      <w:rFonts w:hint="default" w:ascii="Times New Roman" w:hAnsi="Times New Roman" w:eastAsia="宋体" w:cs="var(--dsw-font-markdown-table)"/>
                      <w:b w:val="0"/>
                      <w:bCs w:val="0"/>
                      <w:color w:val="auto"/>
                      <w:kern w:val="0"/>
                      <w:sz w:val="21"/>
                      <w:szCs w:val="24"/>
                      <w:lang w:val="en-US" w:eastAsia="zh-CN" w:bidi="ar"/>
                    </w:rPr>
                    <w:t>项目厂区已实行雨污分流，生活污水经三级化粪池预处理后排入市政管网，属于间接排放；生产废水收集后委托有处理能力的废水处理机构处理，</w:t>
                  </w:r>
                  <w:r>
                    <w:rPr>
                      <w:rFonts w:hint="default" w:ascii="Times New Roman" w:hAnsi="Times New Roman" w:eastAsia="宋体" w:cs="var(--dsw-font-markdown-table)"/>
                      <w:color w:val="auto"/>
                      <w:kern w:val="0"/>
                      <w:sz w:val="21"/>
                      <w:szCs w:val="24"/>
                      <w:lang w:val="en-US" w:eastAsia="zh-CN" w:bidi="ar"/>
                    </w:rPr>
                    <w:t>不直接对外排放。</w:t>
                  </w:r>
                </w:p>
              </w:tc>
              <w:tc>
                <w:tcPr>
                  <w:tcW w:w="726" w:type="dxa"/>
                  <w:vAlign w:val="center"/>
                </w:tcPr>
                <w:p w14:paraId="45C531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符合</w:t>
                  </w:r>
                </w:p>
              </w:tc>
            </w:tr>
            <w:tr w14:paraId="638BC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760" w:type="dxa"/>
                  <w:vMerge w:val="continue"/>
                  <w:vAlign w:val="center"/>
                </w:tcPr>
                <w:p w14:paraId="69F867A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color w:val="auto"/>
                      <w:vertAlign w:val="baseline"/>
                    </w:rPr>
                  </w:pPr>
                </w:p>
              </w:tc>
              <w:tc>
                <w:tcPr>
                  <w:tcW w:w="4298" w:type="dxa"/>
                  <w:vAlign w:val="center"/>
                </w:tcPr>
                <w:p w14:paraId="1E93EB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3</w:t>
                  </w:r>
                  <w:r>
                    <w:rPr>
                      <w:rFonts w:hint="eastAsia" w:cs="var(--dsw-font-markdown-table)"/>
                      <w:b/>
                      <w:bCs/>
                      <w:color w:val="auto"/>
                      <w:kern w:val="0"/>
                      <w:sz w:val="21"/>
                      <w:szCs w:val="24"/>
                      <w:lang w:val="en-US" w:eastAsia="zh-CN" w:bidi="ar"/>
                    </w:rPr>
                    <w:t>.</w:t>
                  </w:r>
                  <w:r>
                    <w:rPr>
                      <w:rFonts w:hint="default" w:ascii="Times New Roman" w:hAnsi="Times New Roman" w:eastAsia="宋体" w:cs="var(--dsw-font-markdown-table)"/>
                      <w:b/>
                      <w:bCs/>
                      <w:color w:val="auto"/>
                      <w:kern w:val="0"/>
                      <w:sz w:val="21"/>
                      <w:szCs w:val="24"/>
                      <w:lang w:val="en-US" w:eastAsia="zh-CN" w:bidi="ar"/>
                    </w:rPr>
                    <w:t>2.【水/限制类】</w:t>
                  </w:r>
                  <w:r>
                    <w:rPr>
                      <w:rFonts w:hint="default" w:ascii="Times New Roman" w:hAnsi="Times New Roman" w:eastAsia="宋体" w:cs="var(--dsw-font-markdown-table)"/>
                      <w:color w:val="auto"/>
                      <w:kern w:val="0"/>
                      <w:sz w:val="21"/>
                      <w:szCs w:val="24"/>
                      <w:lang w:val="en-US" w:eastAsia="zh-CN" w:bidi="ar"/>
                    </w:rPr>
                    <w:t>涉新增化学需氧量、氨氮排放的项目，原则上实行等量替代。</w:t>
                  </w:r>
                </w:p>
              </w:tc>
              <w:tc>
                <w:tcPr>
                  <w:tcW w:w="3933" w:type="dxa"/>
                  <w:vAlign w:val="center"/>
                </w:tcPr>
                <w:p w14:paraId="55C7F4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本项目生活污水间接排放，生产废水委托处理，不涉及直接排放新增CODcr、氨氮，无需申请CODcr、氨氮总量指标。</w:t>
                  </w:r>
                </w:p>
              </w:tc>
              <w:tc>
                <w:tcPr>
                  <w:tcW w:w="726" w:type="dxa"/>
                  <w:vAlign w:val="center"/>
                </w:tcPr>
                <w:p w14:paraId="3DDC23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符合</w:t>
                  </w:r>
                </w:p>
              </w:tc>
            </w:tr>
            <w:tr w14:paraId="1BAFB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760" w:type="dxa"/>
                  <w:vMerge w:val="continue"/>
                  <w:vAlign w:val="center"/>
                </w:tcPr>
                <w:p w14:paraId="22CB281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color w:val="auto"/>
                      <w:vertAlign w:val="baseline"/>
                    </w:rPr>
                  </w:pPr>
                </w:p>
              </w:tc>
              <w:tc>
                <w:tcPr>
                  <w:tcW w:w="4298" w:type="dxa"/>
                  <w:vAlign w:val="center"/>
                </w:tcPr>
                <w:p w14:paraId="3C2D6F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3</w:t>
                  </w:r>
                  <w:r>
                    <w:rPr>
                      <w:rFonts w:hint="eastAsia" w:cs="var(--dsw-font-markdown-table)"/>
                      <w:b/>
                      <w:bCs/>
                      <w:color w:val="auto"/>
                      <w:kern w:val="0"/>
                      <w:sz w:val="21"/>
                      <w:szCs w:val="24"/>
                      <w:lang w:val="en-US" w:eastAsia="zh-CN" w:bidi="ar"/>
                    </w:rPr>
                    <w:t>.</w:t>
                  </w:r>
                  <w:r>
                    <w:rPr>
                      <w:rFonts w:hint="default" w:ascii="Times New Roman" w:hAnsi="Times New Roman" w:eastAsia="宋体" w:cs="var(--dsw-font-markdown-table)"/>
                      <w:b/>
                      <w:bCs/>
                      <w:color w:val="auto"/>
                      <w:kern w:val="0"/>
                      <w:sz w:val="21"/>
                      <w:szCs w:val="24"/>
                      <w:lang w:val="en-US" w:eastAsia="zh-CN" w:bidi="ar"/>
                    </w:rPr>
                    <w:t>3.【大气/限制类】</w:t>
                  </w:r>
                  <w:r>
                    <w:rPr>
                      <w:rFonts w:hint="default" w:ascii="Times New Roman" w:hAnsi="Times New Roman" w:eastAsia="宋体" w:cs="var(--dsw-font-markdown-table)"/>
                      <w:color w:val="auto"/>
                      <w:kern w:val="0"/>
                      <w:sz w:val="21"/>
                      <w:szCs w:val="24"/>
                      <w:lang w:val="en-US" w:eastAsia="zh-CN" w:bidi="ar"/>
                    </w:rPr>
                    <w:t>涉新增氮氧化物排放的项目实行等量替代，涉新增挥发性有机物排放的项目实行两倍削减替代。</w:t>
                  </w:r>
                </w:p>
              </w:tc>
              <w:tc>
                <w:tcPr>
                  <w:tcW w:w="3933" w:type="dxa"/>
                  <w:vAlign w:val="center"/>
                </w:tcPr>
                <w:p w14:paraId="3BFF0E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本项目不涉及新增氮氧化物、二氧化硫排放；本项目涉及新增挥发性有机物排放（排放</w:t>
                  </w:r>
                  <w:r>
                    <w:rPr>
                      <w:rFonts w:hint="default" w:ascii="Times New Roman" w:hAnsi="Times New Roman" w:eastAsia="宋体" w:cs="var(--dsw-font-markdown-table)"/>
                      <w:b w:val="0"/>
                      <w:bCs w:val="0"/>
                      <w:color w:val="auto"/>
                      <w:kern w:val="0"/>
                      <w:sz w:val="21"/>
                      <w:szCs w:val="24"/>
                      <w:lang w:val="en-US" w:eastAsia="zh-CN" w:bidi="ar"/>
                    </w:rPr>
                    <w:t>量约</w:t>
                  </w:r>
                  <w:r>
                    <w:rPr>
                      <w:rFonts w:hint="eastAsia" w:cs="var(--dsw-font-markdown-table)"/>
                      <w:b w:val="0"/>
                      <w:bCs w:val="0"/>
                      <w:color w:val="auto"/>
                      <w:kern w:val="0"/>
                      <w:sz w:val="21"/>
                      <w:szCs w:val="24"/>
                      <w:lang w:val="en-US" w:eastAsia="zh-CN" w:bidi="ar"/>
                    </w:rPr>
                    <w:t>0.633</w:t>
                  </w:r>
                  <w:r>
                    <w:rPr>
                      <w:rFonts w:hint="default" w:ascii="Times New Roman" w:hAnsi="Times New Roman" w:eastAsia="宋体" w:cs="var(--dsw-font-markdown-table)"/>
                      <w:b w:val="0"/>
                      <w:bCs w:val="0"/>
                      <w:color w:val="auto"/>
                      <w:kern w:val="0"/>
                      <w:sz w:val="21"/>
                      <w:szCs w:val="24"/>
                      <w:lang w:val="en-US" w:eastAsia="zh-CN" w:bidi="ar"/>
                    </w:rPr>
                    <w:t>t/a）</w:t>
                  </w:r>
                  <w:r>
                    <w:rPr>
                      <w:rFonts w:hint="default" w:ascii="Times New Roman" w:hAnsi="Times New Roman" w:eastAsia="宋体" w:cs="var(--dsw-font-markdown-table)"/>
                      <w:color w:val="auto"/>
                      <w:kern w:val="0"/>
                      <w:sz w:val="21"/>
                      <w:szCs w:val="24"/>
                      <w:lang w:val="en-US" w:eastAsia="zh-CN" w:bidi="ar"/>
                    </w:rPr>
                    <w:t>，将按中山市总量指标审核及管理实施细则要求，向生态环境主管部门申请VOCs总量指标，实行两倍削减替代。</w:t>
                  </w:r>
                </w:p>
              </w:tc>
              <w:tc>
                <w:tcPr>
                  <w:tcW w:w="726" w:type="dxa"/>
                  <w:vAlign w:val="center"/>
                </w:tcPr>
                <w:p w14:paraId="1C0E53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符合</w:t>
                  </w:r>
                </w:p>
              </w:tc>
            </w:tr>
            <w:tr w14:paraId="5B322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760" w:type="dxa"/>
                  <w:vMerge w:val="restart"/>
                  <w:vAlign w:val="center"/>
                </w:tcPr>
                <w:p w14:paraId="587EC4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环境风险防控</w:t>
                  </w:r>
                </w:p>
              </w:tc>
              <w:tc>
                <w:tcPr>
                  <w:tcW w:w="4298" w:type="dxa"/>
                  <w:vAlign w:val="center"/>
                </w:tcPr>
                <w:p w14:paraId="3F5955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4</w:t>
                  </w:r>
                  <w:r>
                    <w:rPr>
                      <w:rFonts w:hint="eastAsia" w:cs="var(--dsw-font-markdown-table)"/>
                      <w:b/>
                      <w:bCs/>
                      <w:color w:val="auto"/>
                      <w:kern w:val="0"/>
                      <w:sz w:val="21"/>
                      <w:szCs w:val="24"/>
                      <w:lang w:val="en-US" w:eastAsia="zh-CN" w:bidi="ar"/>
                    </w:rPr>
                    <w:t>.</w:t>
                  </w:r>
                  <w:r>
                    <w:rPr>
                      <w:rFonts w:hint="default" w:ascii="Times New Roman" w:hAnsi="Times New Roman" w:eastAsia="宋体" w:cs="var(--dsw-font-markdown-table)"/>
                      <w:b/>
                      <w:bCs/>
                      <w:color w:val="auto"/>
                      <w:kern w:val="0"/>
                      <w:sz w:val="21"/>
                      <w:szCs w:val="24"/>
                      <w:lang w:val="en-US" w:eastAsia="zh-CN" w:bidi="ar"/>
                    </w:rPr>
                    <w:t>1.【土壤/综合类】</w:t>
                  </w:r>
                  <w:r>
                    <w:rPr>
                      <w:rFonts w:hint="default" w:ascii="Times New Roman" w:hAnsi="Times New Roman" w:eastAsia="宋体" w:cs="var(--dsw-font-markdown-table)"/>
                      <w:color w:val="auto"/>
                      <w:kern w:val="0"/>
                      <w:sz w:val="21"/>
                      <w:szCs w:val="24"/>
                      <w:lang w:val="en-US" w:eastAsia="zh-CN" w:bidi="ar"/>
                    </w:rPr>
                    <w:t>加强用地土壤和地下水环境保护监督管理，防治用地土壤和地下水污染。</w:t>
                  </w:r>
                </w:p>
              </w:tc>
              <w:tc>
                <w:tcPr>
                  <w:tcW w:w="3933" w:type="dxa"/>
                  <w:vAlign w:val="center"/>
                </w:tcPr>
                <w:p w14:paraId="226658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本项目车间地面已全面硬底化，化学品仓、危险废物暂存间、废水暂存区等区域按规范进行</w:t>
                  </w:r>
                  <w:r>
                    <w:rPr>
                      <w:rFonts w:hint="default" w:ascii="Times New Roman" w:hAnsi="Times New Roman" w:eastAsia="宋体" w:cs="var(--dsw-font-markdown-table)"/>
                      <w:b/>
                      <w:bCs/>
                      <w:color w:val="auto"/>
                      <w:kern w:val="0"/>
                      <w:sz w:val="21"/>
                      <w:szCs w:val="24"/>
                      <w:lang w:val="en-US" w:eastAsia="zh-CN" w:bidi="ar"/>
                    </w:rPr>
                    <w:t>分区防渗</w:t>
                  </w:r>
                  <w:r>
                    <w:rPr>
                      <w:rFonts w:hint="default" w:ascii="Times New Roman" w:hAnsi="Times New Roman" w:eastAsia="宋体" w:cs="var(--dsw-font-markdown-table)"/>
                      <w:color w:val="auto"/>
                      <w:kern w:val="0"/>
                      <w:sz w:val="21"/>
                      <w:szCs w:val="24"/>
                      <w:lang w:val="en-US" w:eastAsia="zh-CN" w:bidi="ar"/>
                    </w:rPr>
                    <w:t>处理，可有效防止土壤和地下水污染。</w:t>
                  </w:r>
                </w:p>
              </w:tc>
              <w:tc>
                <w:tcPr>
                  <w:tcW w:w="726" w:type="dxa"/>
                  <w:vAlign w:val="center"/>
                </w:tcPr>
                <w:p w14:paraId="4B1049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符合</w:t>
                  </w:r>
                </w:p>
              </w:tc>
            </w:tr>
            <w:tr w14:paraId="41235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2" w:hRule="atLeast"/>
              </w:trPr>
              <w:tc>
                <w:tcPr>
                  <w:tcW w:w="760" w:type="dxa"/>
                  <w:vMerge w:val="continue"/>
                  <w:vAlign w:val="center"/>
                </w:tcPr>
                <w:p w14:paraId="3CA9B7D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color w:val="auto"/>
                      <w:vertAlign w:val="baseline"/>
                    </w:rPr>
                  </w:pPr>
                </w:p>
              </w:tc>
              <w:tc>
                <w:tcPr>
                  <w:tcW w:w="4298" w:type="dxa"/>
                  <w:vAlign w:val="center"/>
                </w:tcPr>
                <w:p w14:paraId="5C8F0D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b/>
                      <w:bCs/>
                      <w:color w:val="auto"/>
                      <w:kern w:val="0"/>
                      <w:sz w:val="21"/>
                      <w:szCs w:val="24"/>
                      <w:lang w:val="en-US" w:eastAsia="zh-CN" w:bidi="ar"/>
                    </w:rPr>
                    <w:t>4</w:t>
                  </w:r>
                  <w:r>
                    <w:rPr>
                      <w:rFonts w:hint="eastAsia" w:cs="var(--dsw-font-markdown-table)"/>
                      <w:b/>
                      <w:bCs/>
                      <w:color w:val="auto"/>
                      <w:kern w:val="0"/>
                      <w:sz w:val="21"/>
                      <w:szCs w:val="24"/>
                      <w:lang w:val="en-US" w:eastAsia="zh-CN" w:bidi="ar"/>
                    </w:rPr>
                    <w:t>.</w:t>
                  </w:r>
                  <w:r>
                    <w:rPr>
                      <w:rFonts w:hint="default" w:ascii="Times New Roman" w:hAnsi="Times New Roman" w:eastAsia="宋体" w:cs="var(--dsw-font-markdown-table)"/>
                      <w:b/>
                      <w:bCs/>
                      <w:color w:val="auto"/>
                      <w:kern w:val="0"/>
                      <w:sz w:val="21"/>
                      <w:szCs w:val="24"/>
                      <w:lang w:val="en-US" w:eastAsia="zh-CN" w:bidi="ar"/>
                    </w:rPr>
                    <w:t>2.【其他/综合类】</w:t>
                  </w:r>
                  <w:r>
                    <w:rPr>
                      <w:rFonts w:hint="default" w:ascii="Times New Roman" w:hAnsi="Times New Roman" w:eastAsia="宋体" w:cs="var(--dsw-font-markdown-table)"/>
                      <w:color w:val="auto"/>
                      <w:kern w:val="0"/>
                      <w:sz w:val="21"/>
                      <w:szCs w:val="24"/>
                      <w:lang w:val="en-US" w:eastAsia="zh-CN" w:bidi="ar"/>
                    </w:rPr>
                    <w:t>生产、使用、储存危险物质或涉及危险工艺系统的项目应配套有效的风险防范措施，并按规定编制突发环境事件应急预案。</w:t>
                  </w:r>
                </w:p>
              </w:tc>
              <w:tc>
                <w:tcPr>
                  <w:tcW w:w="3933" w:type="dxa"/>
                  <w:vAlign w:val="center"/>
                </w:tcPr>
                <w:p w14:paraId="12F7B3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本</w:t>
                  </w:r>
                  <w:r>
                    <w:rPr>
                      <w:rFonts w:hint="default" w:ascii="Times New Roman" w:hAnsi="Times New Roman" w:eastAsia="宋体" w:cs="var(--dsw-font-markdown-table)"/>
                      <w:b w:val="0"/>
                      <w:bCs w:val="0"/>
                      <w:color w:val="auto"/>
                      <w:kern w:val="0"/>
                      <w:sz w:val="21"/>
                      <w:szCs w:val="24"/>
                      <w:lang w:val="en-US" w:eastAsia="zh-CN" w:bidi="ar"/>
                    </w:rPr>
                    <w:t>项目建成后将按要求健全环境风险防范体系，化学品仓、危废暂存间设置围堰或缓坡</w:t>
                  </w:r>
                  <w:r>
                    <w:rPr>
                      <w:rFonts w:hint="eastAsia" w:cs="var(--dsw-font-markdown-table)"/>
                      <w:b w:val="0"/>
                      <w:bCs w:val="0"/>
                      <w:color w:val="auto"/>
                      <w:kern w:val="0"/>
                      <w:sz w:val="21"/>
                      <w:szCs w:val="24"/>
                      <w:lang w:val="en-US" w:eastAsia="zh-CN" w:bidi="ar"/>
                    </w:rPr>
                    <w:t>，对</w:t>
                  </w:r>
                  <w:r>
                    <w:rPr>
                      <w:rFonts w:hint="default" w:ascii="Times New Roman" w:hAnsi="Times New Roman" w:eastAsia="宋体" w:cs="var(--dsw-font-markdown-table)"/>
                      <w:b w:val="0"/>
                      <w:bCs w:val="0"/>
                      <w:color w:val="auto"/>
                      <w:kern w:val="0"/>
                      <w:sz w:val="21"/>
                      <w:szCs w:val="24"/>
                      <w:lang w:val="en-US" w:eastAsia="zh-CN" w:bidi="ar"/>
                    </w:rPr>
                    <w:t>地面进行防渗处理；按要求编制突发环境事件应急预案并备案；严格落实各项环境风险防范措施，确保事故状态下污染物不外排。项目</w:t>
                  </w:r>
                  <w:r>
                    <w:rPr>
                      <w:rFonts w:hint="default" w:ascii="Times New Roman" w:hAnsi="Times New Roman" w:eastAsia="宋体" w:cs="var(--dsw-font-markdown-table)"/>
                      <w:color w:val="auto"/>
                      <w:kern w:val="0"/>
                      <w:sz w:val="21"/>
                      <w:szCs w:val="24"/>
                      <w:lang w:val="en-US" w:eastAsia="zh-CN" w:bidi="ar"/>
                    </w:rPr>
                    <w:t>风险潜势为I，环境风险可控。</w:t>
                  </w:r>
                </w:p>
              </w:tc>
              <w:tc>
                <w:tcPr>
                  <w:tcW w:w="726" w:type="dxa"/>
                  <w:vAlign w:val="center"/>
                </w:tcPr>
                <w:p w14:paraId="5951F9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olor w:val="auto"/>
                      <w:vertAlign w:val="baseline"/>
                    </w:rPr>
                  </w:pPr>
                  <w:r>
                    <w:rPr>
                      <w:rFonts w:hint="default" w:ascii="Times New Roman" w:hAnsi="Times New Roman" w:eastAsia="宋体" w:cs="var(--dsw-font-markdown-table)"/>
                      <w:color w:val="auto"/>
                      <w:kern w:val="0"/>
                      <w:sz w:val="21"/>
                      <w:szCs w:val="24"/>
                      <w:lang w:val="en-US" w:eastAsia="zh-CN" w:bidi="ar"/>
                    </w:rPr>
                    <w:t>符合</w:t>
                  </w:r>
                </w:p>
              </w:tc>
            </w:tr>
          </w:tbl>
          <w:p w14:paraId="053188B3">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rightChars="0" w:firstLine="420" w:firstLineChars="200"/>
              <w:jc w:val="center"/>
              <w:textAlignment w:val="baseline"/>
              <w:rPr>
                <w:rFonts w:hint="eastAsia"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1"/>
                <w:highlight w:val="none"/>
                <w:lang w:val="en-US" w:eastAsia="zh-CN" w:bidi="ar-SA"/>
              </w:rPr>
              <w:t>综上所述，本项目符合《中山市“三线一单”生态环境分区管控方案》（</w:t>
            </w:r>
            <w:r>
              <w:rPr>
                <w:rFonts w:hint="eastAsia" w:ascii="Times New Roman" w:hAnsi="Times New Roman" w:eastAsia="宋体" w:cs="Times New Roman"/>
                <w:color w:val="auto"/>
                <w:kern w:val="0"/>
                <w:sz w:val="21"/>
                <w:szCs w:val="21"/>
                <w:highlight w:val="none"/>
                <w:lang w:val="en-US" w:eastAsia="zh-CN" w:bidi="ar-SA"/>
              </w:rPr>
              <w:t>2024年版</w:t>
            </w:r>
            <w:r>
              <w:rPr>
                <w:rFonts w:hint="default" w:ascii="Times New Roman" w:hAnsi="Times New Roman" w:eastAsia="宋体" w:cs="Times New Roman"/>
                <w:color w:val="auto"/>
                <w:kern w:val="0"/>
                <w:sz w:val="21"/>
                <w:szCs w:val="21"/>
                <w:highlight w:val="none"/>
                <w:lang w:val="en-US" w:eastAsia="zh-CN" w:bidi="ar-SA"/>
              </w:rPr>
              <w:t>）的相关要求。</w:t>
            </w:r>
          </w:p>
          <w:p w14:paraId="1974150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6、与《中山市环保共性产业园规划》的相符性分析</w:t>
            </w:r>
          </w:p>
          <w:p w14:paraId="4F8A3CB5">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Segoe UI"/>
                <w:b w:val="0"/>
                <w:bCs w:val="0"/>
                <w:i w:val="0"/>
                <w:iCs w:val="0"/>
                <w:caps w:val="0"/>
                <w:color w:val="auto"/>
                <w:spacing w:val="0"/>
                <w:sz w:val="21"/>
                <w:szCs w:val="24"/>
              </w:rPr>
            </w:pPr>
            <w:r>
              <w:rPr>
                <w:rFonts w:hint="default" w:ascii="Times New Roman" w:hAnsi="Times New Roman" w:eastAsia="宋体" w:cs="Segoe UI"/>
                <w:b w:val="0"/>
                <w:bCs w:val="0"/>
                <w:i w:val="0"/>
                <w:iCs w:val="0"/>
                <w:caps w:val="0"/>
                <w:color w:val="auto"/>
                <w:spacing w:val="0"/>
                <w:sz w:val="21"/>
                <w:szCs w:val="24"/>
                <w:shd w:val="clear" w:fill="FFFFFF"/>
              </w:rPr>
              <w:t>根据《中山市环保共性产业园规划》，南区街道规划建设的共性产业园为汽修产业环保共性产业园，其规划发展产业为汽修行业，主要共性生产工艺为钣金、喷漆等。</w:t>
            </w:r>
          </w:p>
          <w:p w14:paraId="75FDEDD6">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b w:val="0"/>
                <w:bCs w:val="0"/>
                <w:color w:val="auto"/>
                <w:sz w:val="21"/>
              </w:rPr>
            </w:pPr>
            <w:r>
              <w:rPr>
                <w:rFonts w:hint="default" w:ascii="Times New Roman" w:hAnsi="Times New Roman" w:eastAsia="宋体" w:cs="Segoe UI"/>
                <w:b w:val="0"/>
                <w:bCs w:val="0"/>
                <w:i w:val="0"/>
                <w:iCs w:val="0"/>
                <w:caps w:val="0"/>
                <w:color w:val="auto"/>
                <w:spacing w:val="0"/>
                <w:sz w:val="21"/>
                <w:szCs w:val="24"/>
                <w:shd w:val="clear" w:fill="FFFFFF"/>
              </w:rPr>
              <w:t>本项目主要从事儿童运动鞋的研发、生产和销售，属于</w:t>
            </w:r>
            <w:r>
              <w:rPr>
                <w:rFonts w:hint="eastAsia" w:ascii="Times New Roman" w:hAnsi="Times New Roman" w:cs="Segoe UI"/>
                <w:b w:val="0"/>
                <w:bCs w:val="0"/>
                <w:i w:val="0"/>
                <w:iCs w:val="0"/>
                <w:caps w:val="0"/>
                <w:color w:val="auto"/>
                <w:spacing w:val="0"/>
                <w:sz w:val="21"/>
                <w:szCs w:val="24"/>
                <w:shd w:val="clear" w:fill="FFFFFF"/>
                <w:lang w:eastAsia="zh-CN"/>
              </w:rPr>
              <w:t>C1959其他制鞋业、C1951纺织面料鞋制造、C1953塑料鞋制造</w:t>
            </w:r>
            <w:r>
              <w:rPr>
                <w:rFonts w:hint="default" w:ascii="Times New Roman" w:hAnsi="Times New Roman" w:eastAsia="宋体" w:cs="Segoe UI"/>
                <w:b w:val="0"/>
                <w:bCs w:val="0"/>
                <w:i w:val="0"/>
                <w:iCs w:val="0"/>
                <w:caps w:val="0"/>
                <w:color w:val="auto"/>
                <w:spacing w:val="0"/>
                <w:sz w:val="21"/>
                <w:szCs w:val="24"/>
                <w:shd w:val="clear" w:fill="FFFFFF"/>
              </w:rPr>
              <w:t>。对照《中山市环保共性产业园规划》中各镇街共性产业园的产业定位，本项目不属于南区街道规划的汽修产业范畴，亦不涉及该规划所界定的共性工序（钣金、喷漆等）。因此，本项目无需在环保共性产业园内建设，符合《中山市环保共性产业园规划》的相关要求。</w:t>
            </w:r>
          </w:p>
          <w:p w14:paraId="13BC445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7、与《中山市地下水污染防治重点区划定方案》的相符性分析</w:t>
            </w:r>
          </w:p>
          <w:p w14:paraId="5088A21F">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Segoe UI"/>
                <w:b w:val="0"/>
                <w:bCs w:val="0"/>
                <w:i w:val="0"/>
                <w:iCs w:val="0"/>
                <w:caps w:val="0"/>
                <w:color w:val="auto"/>
                <w:spacing w:val="0"/>
                <w:sz w:val="21"/>
                <w:szCs w:val="24"/>
                <w:shd w:val="clear" w:fill="FFFFFF"/>
              </w:rPr>
            </w:pPr>
            <w:r>
              <w:rPr>
                <w:rFonts w:hint="default" w:ascii="Times New Roman" w:hAnsi="Times New Roman" w:eastAsia="宋体" w:cs="Segoe UI"/>
                <w:b w:val="0"/>
                <w:bCs w:val="0"/>
                <w:i w:val="0"/>
                <w:iCs w:val="0"/>
                <w:caps w:val="0"/>
                <w:color w:val="auto"/>
                <w:spacing w:val="0"/>
                <w:sz w:val="21"/>
                <w:szCs w:val="24"/>
                <w:shd w:val="clear" w:fill="FFFFFF"/>
              </w:rPr>
              <w:t>根据《中山市地下水污染防治重点区划定方案》，中山市地下水污染防治重点区分为保护类区域和管控类区域两种类型。其中，保护类区域分布于南区街道、五桂山街道、南朗街道、三乡镇；管控类区域分布于五桂山街道、南区街道、东区街道和三乡镇。一般区为保护类区域和管控类区域以外的区域。</w:t>
            </w:r>
          </w:p>
          <w:p w14:paraId="321D444B">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Segoe UI"/>
                <w:b w:val="0"/>
                <w:bCs w:val="0"/>
                <w:i w:val="0"/>
                <w:iCs w:val="0"/>
                <w:caps w:val="0"/>
                <w:color w:val="auto"/>
                <w:spacing w:val="0"/>
                <w:sz w:val="21"/>
                <w:szCs w:val="24"/>
                <w:shd w:val="clear" w:fill="FFFFFF"/>
              </w:rPr>
            </w:pPr>
            <w:r>
              <w:rPr>
                <w:rFonts w:hint="default" w:ascii="Times New Roman" w:hAnsi="Times New Roman" w:eastAsia="宋体" w:cs="Segoe UI"/>
                <w:b w:val="0"/>
                <w:bCs w:val="0"/>
                <w:i w:val="0"/>
                <w:iCs w:val="0"/>
                <w:caps w:val="0"/>
                <w:color w:val="auto"/>
                <w:spacing w:val="0"/>
                <w:sz w:val="21"/>
                <w:szCs w:val="24"/>
                <w:shd w:val="clear" w:fill="FFFFFF"/>
              </w:rPr>
              <w:t>本项目选址于中山市南区圣都南路55号。根据中山市地下水污染防治重点区划定分区图（详见附图十），项目所在地属于一般区域，不属于保护类区域和管控类区域。按照《中山市地下水污染防治重点区划定方案》的要求，一般区域按照相关法律法规、管理办法等开展常态化管理。</w:t>
            </w:r>
          </w:p>
          <w:p w14:paraId="703DDCDD">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Segoe UI"/>
                <w:b w:val="0"/>
                <w:bCs w:val="0"/>
                <w:i w:val="0"/>
                <w:iCs w:val="0"/>
                <w:caps w:val="0"/>
                <w:color w:val="auto"/>
                <w:spacing w:val="0"/>
                <w:sz w:val="21"/>
                <w:szCs w:val="24"/>
                <w:shd w:val="clear" w:fill="FFFFFF"/>
              </w:rPr>
            </w:pPr>
            <w:r>
              <w:rPr>
                <w:rFonts w:hint="default" w:ascii="Times New Roman" w:hAnsi="Times New Roman" w:eastAsia="宋体" w:cs="Segoe UI"/>
                <w:b w:val="0"/>
                <w:bCs w:val="0"/>
                <w:i w:val="0"/>
                <w:iCs w:val="0"/>
                <w:caps w:val="0"/>
                <w:color w:val="auto"/>
                <w:spacing w:val="0"/>
                <w:sz w:val="21"/>
                <w:szCs w:val="24"/>
                <w:shd w:val="clear" w:fill="FFFFFF"/>
              </w:rPr>
              <w:t>本项目不涉及地下水开采，不进行地下水的回灌，厂区地面已全面硬底化，化学品仓、危险废物暂存间、废水暂存区等重点区域按规范进行防渗处理，可有效防止污染物渗入地下水环境。项目建成后，将严格按照相关法律法规及管理办法落实地下水污染防治的常态化管理要求。</w:t>
            </w:r>
          </w:p>
          <w:p w14:paraId="7D5A5E93">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highlight w:val="none"/>
              </w:rPr>
            </w:pPr>
            <w:r>
              <w:rPr>
                <w:rFonts w:hint="default" w:ascii="Times New Roman" w:hAnsi="Times New Roman" w:eastAsia="宋体" w:cs="Segoe UI"/>
                <w:b w:val="0"/>
                <w:bCs w:val="0"/>
                <w:i w:val="0"/>
                <w:iCs w:val="0"/>
                <w:caps w:val="0"/>
                <w:color w:val="auto"/>
                <w:spacing w:val="0"/>
                <w:sz w:val="21"/>
                <w:szCs w:val="24"/>
                <w:shd w:val="clear" w:fill="FFFFFF"/>
              </w:rPr>
              <w:t>因此，本项目建设符合《中山市地下水污染防治重点区划定方案》的相关要求。</w:t>
            </w:r>
          </w:p>
        </w:tc>
      </w:tr>
    </w:tbl>
    <w:p w14:paraId="712A0F11">
      <w:pPr>
        <w:ind w:firstLine="480"/>
        <w:rPr>
          <w:vanish/>
          <w:color w:val="auto"/>
          <w:highlight w:val="none"/>
        </w:rPr>
      </w:pPr>
    </w:p>
    <w:p w14:paraId="7590FBDA">
      <w:pPr>
        <w:rPr>
          <w:color w:val="auto"/>
          <w:highlight w:val="none"/>
        </w:rPr>
      </w:pPr>
      <w:r>
        <w:rPr>
          <w:color w:val="auto"/>
          <w:highlight w:val="none"/>
        </w:rPr>
        <w:br w:type="page"/>
      </w:r>
    </w:p>
    <w:p w14:paraId="561AE3FD">
      <w:pPr>
        <w:pStyle w:val="2"/>
        <w:ind w:firstLine="562"/>
        <w:jc w:val="center"/>
        <w:rPr>
          <w:color w:val="auto"/>
          <w:sz w:val="36"/>
          <w:szCs w:val="52"/>
          <w:highlight w:val="none"/>
        </w:rPr>
      </w:pPr>
      <w:bookmarkStart w:id="4" w:name="_Toc30414"/>
      <w:bookmarkStart w:id="5" w:name="_Toc3642"/>
      <w:r>
        <w:rPr>
          <w:color w:val="auto"/>
          <w:sz w:val="36"/>
          <w:szCs w:val="52"/>
          <w:highlight w:val="none"/>
        </w:rPr>
        <w:t>二、建设项目工程分析</w:t>
      </w:r>
      <w:bookmarkEnd w:id="4"/>
      <w:bookmarkEnd w:id="5"/>
    </w:p>
    <w:tbl>
      <w:tblPr>
        <w:tblStyle w:val="48"/>
        <w:tblpPr w:leftFromText="180" w:rightFromText="180" w:vertAnchor="text" w:tblpX="-5" w:tblpY="18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
        <w:gridCol w:w="10174"/>
      </w:tblGrid>
      <w:tr w14:paraId="11930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386" w:type="dxa"/>
            <w:vAlign w:val="center"/>
          </w:tcPr>
          <w:p w14:paraId="6D5467D2">
            <w:pPr>
              <w:keepNext w:val="0"/>
              <w:keepLines w:val="0"/>
              <w:suppressLineNumbers w:val="0"/>
              <w:autoSpaceDE w:val="0"/>
              <w:autoSpaceDN w:val="0"/>
              <w:adjustRightInd w:val="0"/>
              <w:snapToGrid w:val="0"/>
              <w:spacing w:before="0" w:beforeAutospacing="0" w:after="0" w:afterAutospacing="0"/>
              <w:ind w:left="0" w:right="0"/>
              <w:jc w:val="center"/>
              <w:rPr>
                <w:rFonts w:hint="default" w:eastAsia="宋体"/>
                <w:color w:val="auto"/>
                <w:sz w:val="24"/>
                <w:szCs w:val="21"/>
                <w:highlight w:val="none"/>
                <w:lang w:val="en-US" w:eastAsia="zh-CN"/>
              </w:rPr>
            </w:pPr>
            <w:r>
              <w:rPr>
                <w:rFonts w:hint="eastAsia" w:eastAsia="宋体"/>
                <w:color w:val="auto"/>
                <w:sz w:val="24"/>
                <w:szCs w:val="21"/>
                <w:highlight w:val="none"/>
                <w:lang w:val="en-US" w:eastAsia="zh-CN"/>
              </w:rPr>
              <w:t>建设内容</w:t>
            </w:r>
          </w:p>
        </w:tc>
        <w:tc>
          <w:tcPr>
            <w:tcW w:w="10174" w:type="dxa"/>
          </w:tcPr>
          <w:p w14:paraId="1510C2F8">
            <w:pPr>
              <w:pStyle w:val="128"/>
              <w:keepNext w:val="0"/>
              <w:keepLines w:val="0"/>
              <w:numPr>
                <w:ilvl w:val="0"/>
                <w:numId w:val="7"/>
              </w:numPr>
              <w:suppressLineNumbers w:val="0"/>
              <w:spacing w:before="0" w:beforeAutospacing="0" w:after="0" w:afterAutospacing="0"/>
              <w:ind w:left="0" w:right="0" w:firstLine="0" w:firstLineChars="0"/>
              <w:rPr>
                <w:rFonts w:hint="default" w:eastAsia="宋体"/>
                <w:color w:val="auto"/>
                <w:sz w:val="21"/>
                <w:highlight w:val="none"/>
                <w:lang w:val="zh-CN"/>
              </w:rPr>
            </w:pPr>
            <w:r>
              <w:rPr>
                <w:rFonts w:hint="default" w:eastAsia="宋体"/>
                <w:color w:val="auto"/>
                <w:sz w:val="21"/>
                <w:highlight w:val="none"/>
                <w:lang w:val="zh-CN"/>
              </w:rPr>
              <w:t>环评类别判定说明</w:t>
            </w:r>
          </w:p>
          <w:p w14:paraId="1FCCF9FA">
            <w:pPr>
              <w:pStyle w:val="9"/>
              <w:numPr>
                <w:ilvl w:val="0"/>
                <w:numId w:val="8"/>
              </w:numPr>
              <w:suppressLineNumbers w:val="0"/>
              <w:spacing w:before="0" w:beforeAutospacing="0" w:after="0" w:afterAutospacing="0" w:line="240" w:lineRule="auto"/>
              <w:ind w:right="0"/>
              <w:jc w:val="center"/>
              <w:rPr>
                <w:rFonts w:hint="default" w:ascii="Times New Roman" w:hAnsi="Times New Roman" w:eastAsia="宋体"/>
                <w:b/>
                <w:color w:val="auto"/>
                <w:sz w:val="21"/>
                <w:szCs w:val="24"/>
                <w:lang w:val="en-US" w:eastAsia="zh-CN"/>
              </w:rPr>
            </w:pPr>
            <w:r>
              <w:rPr>
                <w:rFonts w:hint="eastAsia" w:ascii="Times New Roman" w:hAnsi="Times New Roman" w:eastAsia="宋体"/>
                <w:b/>
                <w:color w:val="auto"/>
                <w:sz w:val="21"/>
                <w:szCs w:val="24"/>
                <w:lang w:val="en-US" w:eastAsia="zh-CN"/>
              </w:rPr>
              <w:t>环评类别判定表</w:t>
            </w:r>
          </w:p>
          <w:tbl>
            <w:tblPr>
              <w:tblStyle w:val="49"/>
              <w:tblW w:w="9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4"/>
              <w:gridCol w:w="964"/>
              <w:gridCol w:w="3391"/>
              <w:gridCol w:w="2852"/>
              <w:gridCol w:w="630"/>
              <w:gridCol w:w="656"/>
            </w:tblGrid>
            <w:tr w14:paraId="46111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424" w:type="dxa"/>
                  <w:vAlign w:val="center"/>
                </w:tcPr>
                <w:p w14:paraId="0A0F010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color w:val="auto"/>
                      <w:sz w:val="21"/>
                      <w:vertAlign w:val="baseline"/>
                      <w:lang w:val="zh-CN"/>
                    </w:rPr>
                  </w:pPr>
                  <w:r>
                    <w:rPr>
                      <w:rFonts w:hint="default" w:ascii="Times New Roman" w:hAnsi="Times New Roman" w:eastAsia="宋体" w:cs="var(--dsw-font-markdown-table-h"/>
                      <w:b/>
                      <w:bCs/>
                      <w:color w:val="auto"/>
                      <w:kern w:val="0"/>
                      <w:sz w:val="21"/>
                      <w:szCs w:val="24"/>
                      <w:lang w:val="en-US" w:eastAsia="zh-CN" w:bidi="ar"/>
                    </w:rPr>
                    <w:t>国民经济行业类别</w:t>
                  </w:r>
                </w:p>
              </w:tc>
              <w:tc>
                <w:tcPr>
                  <w:tcW w:w="964" w:type="dxa"/>
                  <w:vAlign w:val="center"/>
                </w:tcPr>
                <w:p w14:paraId="294618F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color w:val="auto"/>
                      <w:sz w:val="21"/>
                      <w:vertAlign w:val="baseline"/>
                      <w:lang w:val="zh-CN"/>
                    </w:rPr>
                  </w:pPr>
                  <w:r>
                    <w:rPr>
                      <w:rFonts w:hint="default" w:ascii="Times New Roman" w:hAnsi="Times New Roman" w:eastAsia="宋体" w:cs="var(--dsw-font-markdown-table-h"/>
                      <w:b/>
                      <w:bCs/>
                      <w:color w:val="auto"/>
                      <w:kern w:val="0"/>
                      <w:sz w:val="21"/>
                      <w:szCs w:val="24"/>
                      <w:lang w:val="en-US" w:eastAsia="zh-CN" w:bidi="ar"/>
                    </w:rPr>
                    <w:t>产品产能</w:t>
                  </w:r>
                </w:p>
              </w:tc>
              <w:tc>
                <w:tcPr>
                  <w:tcW w:w="3391" w:type="dxa"/>
                  <w:vAlign w:val="center"/>
                </w:tcPr>
                <w:p w14:paraId="4175277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color w:val="auto"/>
                      <w:sz w:val="21"/>
                      <w:vertAlign w:val="baseline"/>
                      <w:lang w:val="zh-CN"/>
                    </w:rPr>
                  </w:pPr>
                  <w:r>
                    <w:rPr>
                      <w:rFonts w:hint="default" w:ascii="Times New Roman" w:hAnsi="Times New Roman" w:eastAsia="宋体" w:cs="var(--dsw-font-markdown-table-h"/>
                      <w:b/>
                      <w:bCs/>
                      <w:color w:val="auto"/>
                      <w:kern w:val="0"/>
                      <w:sz w:val="21"/>
                      <w:szCs w:val="24"/>
                      <w:lang w:val="en-US" w:eastAsia="zh-CN" w:bidi="ar"/>
                    </w:rPr>
                    <w:t>工艺</w:t>
                  </w:r>
                </w:p>
              </w:tc>
              <w:tc>
                <w:tcPr>
                  <w:tcW w:w="2852" w:type="dxa"/>
                  <w:vAlign w:val="center"/>
                </w:tcPr>
                <w:p w14:paraId="184BBD1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color w:val="auto"/>
                      <w:sz w:val="21"/>
                      <w:vertAlign w:val="baseline"/>
                      <w:lang w:val="zh-CN"/>
                    </w:rPr>
                  </w:pPr>
                  <w:r>
                    <w:rPr>
                      <w:rFonts w:hint="default" w:ascii="Times New Roman" w:hAnsi="Times New Roman" w:eastAsia="宋体" w:cs="var(--dsw-font-markdown-table-h"/>
                      <w:b/>
                      <w:bCs/>
                      <w:color w:val="auto"/>
                      <w:kern w:val="0"/>
                      <w:sz w:val="21"/>
                      <w:szCs w:val="24"/>
                      <w:lang w:val="en-US" w:eastAsia="zh-CN" w:bidi="ar"/>
                    </w:rPr>
                    <w:t>对应名录条款</w:t>
                  </w:r>
                </w:p>
              </w:tc>
              <w:tc>
                <w:tcPr>
                  <w:tcW w:w="630" w:type="dxa"/>
                  <w:vAlign w:val="center"/>
                </w:tcPr>
                <w:p w14:paraId="6E99D50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color w:val="auto"/>
                      <w:sz w:val="21"/>
                      <w:vertAlign w:val="baseline"/>
                      <w:lang w:val="zh-CN"/>
                    </w:rPr>
                  </w:pPr>
                  <w:r>
                    <w:rPr>
                      <w:rFonts w:hint="default" w:ascii="Times New Roman" w:hAnsi="Times New Roman" w:eastAsia="宋体" w:cs="var(--dsw-font-markdown-table-h"/>
                      <w:b/>
                      <w:bCs/>
                      <w:color w:val="auto"/>
                      <w:kern w:val="0"/>
                      <w:sz w:val="21"/>
                      <w:szCs w:val="24"/>
                      <w:lang w:val="en-US" w:eastAsia="zh-CN" w:bidi="ar"/>
                    </w:rPr>
                    <w:t>敏感区</w:t>
                  </w:r>
                </w:p>
              </w:tc>
              <w:tc>
                <w:tcPr>
                  <w:tcW w:w="656" w:type="dxa"/>
                  <w:vAlign w:val="center"/>
                </w:tcPr>
                <w:p w14:paraId="06229D6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color w:val="auto"/>
                      <w:sz w:val="21"/>
                      <w:vertAlign w:val="baseline"/>
                      <w:lang w:val="zh-CN"/>
                    </w:rPr>
                  </w:pPr>
                  <w:r>
                    <w:rPr>
                      <w:rFonts w:hint="default" w:ascii="Times New Roman" w:hAnsi="Times New Roman" w:eastAsia="宋体" w:cs="var(--dsw-font-markdown-table-h"/>
                      <w:b/>
                      <w:bCs/>
                      <w:color w:val="auto"/>
                      <w:kern w:val="0"/>
                      <w:sz w:val="21"/>
                      <w:szCs w:val="24"/>
                      <w:lang w:val="en-US" w:eastAsia="zh-CN" w:bidi="ar"/>
                    </w:rPr>
                    <w:t>类别</w:t>
                  </w:r>
                </w:p>
              </w:tc>
            </w:tr>
            <w:tr w14:paraId="77386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jc w:val="center"/>
              </w:trPr>
              <w:tc>
                <w:tcPr>
                  <w:tcW w:w="1424" w:type="dxa"/>
                  <w:vAlign w:val="center"/>
                </w:tcPr>
                <w:p w14:paraId="3CFEE95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val="0"/>
                      <w:bCs w:val="0"/>
                      <w:color w:val="auto"/>
                      <w:sz w:val="21"/>
                      <w:vertAlign w:val="baseline"/>
                      <w:lang w:val="zh-CN"/>
                    </w:rPr>
                  </w:pPr>
                  <w:r>
                    <w:rPr>
                      <w:rFonts w:hint="default" w:ascii="Times New Roman" w:hAnsi="Times New Roman" w:eastAsia="宋体" w:cs="var(--dsw-font-markdown-table)"/>
                      <w:b w:val="0"/>
                      <w:bCs w:val="0"/>
                      <w:color w:val="auto"/>
                      <w:kern w:val="0"/>
                      <w:sz w:val="21"/>
                      <w:szCs w:val="24"/>
                      <w:lang w:val="en-US" w:eastAsia="zh-CN" w:bidi="ar"/>
                    </w:rPr>
                    <w:t>C1959其他制鞋业C1951纺织面料鞋制造、C1953塑料鞋制造</w:t>
                  </w:r>
                </w:p>
              </w:tc>
              <w:tc>
                <w:tcPr>
                  <w:tcW w:w="964" w:type="dxa"/>
                  <w:vAlign w:val="center"/>
                </w:tcPr>
                <w:p w14:paraId="0F15D6E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val="0"/>
                      <w:bCs w:val="0"/>
                      <w:color w:val="auto"/>
                      <w:sz w:val="21"/>
                      <w:vertAlign w:val="baseline"/>
                      <w:lang w:val="zh-CN"/>
                    </w:rPr>
                  </w:pPr>
                  <w:r>
                    <w:rPr>
                      <w:rFonts w:hint="default" w:ascii="Times New Roman" w:hAnsi="Times New Roman" w:eastAsia="宋体" w:cs="var(--dsw-font-markdown-table)"/>
                      <w:b w:val="0"/>
                      <w:bCs w:val="0"/>
                      <w:color w:val="auto"/>
                      <w:kern w:val="0"/>
                      <w:sz w:val="21"/>
                      <w:szCs w:val="24"/>
                      <w:lang w:val="en-US" w:eastAsia="zh-CN" w:bidi="ar"/>
                    </w:rPr>
                    <w:t>儿童运动鞋500万双/年</w:t>
                  </w:r>
                </w:p>
              </w:tc>
              <w:tc>
                <w:tcPr>
                  <w:tcW w:w="3391" w:type="dxa"/>
                  <w:shd w:val="clear" w:color="auto" w:fill="auto"/>
                  <w:vAlign w:val="center"/>
                </w:tcPr>
                <w:p w14:paraId="7470C972">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b w:val="0"/>
                      <w:bCs w:val="0"/>
                      <w:color w:val="auto"/>
                      <w:kern w:val="2"/>
                      <w:sz w:val="21"/>
                      <w:szCs w:val="24"/>
                      <w:lang w:val="zh-CN" w:eastAsia="zh-CN" w:bidi="ar-SA"/>
                    </w:rPr>
                  </w:pPr>
                  <w:r>
                    <w:rPr>
                      <w:rFonts w:hint="default" w:ascii="Times New Roman" w:hAnsi="Times New Roman" w:eastAsia="宋体" w:cs="var(--dsw-font-markdown-table)"/>
                      <w:b w:val="0"/>
                      <w:bCs w:val="0"/>
                      <w:color w:val="auto"/>
                      <w:kern w:val="0"/>
                      <w:sz w:val="21"/>
                      <w:szCs w:val="24"/>
                      <w:lang w:val="en-US" w:eastAsia="zh-CN" w:bidi="ar"/>
                    </w:rPr>
                    <w:t>拌料、发泡成型、修边、打粗、贴合、裁切、UV打印、热转印、丝印、熔断、高周波、针车、拉帮、定型、刷处理剂、</w:t>
                  </w:r>
                  <w:r>
                    <w:rPr>
                      <w:rFonts w:hint="eastAsia" w:cs="var(--dsw-font-markdown-table)"/>
                      <w:b w:val="0"/>
                      <w:bCs w:val="0"/>
                      <w:color w:val="auto"/>
                      <w:kern w:val="0"/>
                      <w:sz w:val="21"/>
                      <w:szCs w:val="24"/>
                      <w:lang w:val="en-US" w:eastAsia="zh-CN" w:bidi="ar"/>
                    </w:rPr>
                    <w:t>清洁、</w:t>
                  </w:r>
                  <w:r>
                    <w:rPr>
                      <w:rFonts w:hint="default" w:ascii="Times New Roman" w:hAnsi="Times New Roman" w:eastAsia="宋体" w:cs="var(--dsw-font-markdown-table)"/>
                      <w:b w:val="0"/>
                      <w:bCs w:val="0"/>
                      <w:color w:val="auto"/>
                      <w:kern w:val="0"/>
                      <w:sz w:val="21"/>
                      <w:szCs w:val="24"/>
                      <w:lang w:val="en-US" w:eastAsia="zh-CN" w:bidi="ar"/>
                    </w:rPr>
                    <w:t>刷胶、烘干、压底、补胶、除皱、冷定型、拔楦、检验、网版制作</w:t>
                  </w:r>
                </w:p>
              </w:tc>
              <w:tc>
                <w:tcPr>
                  <w:tcW w:w="2852" w:type="dxa"/>
                  <w:vAlign w:val="center"/>
                </w:tcPr>
                <w:p w14:paraId="0280A297">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left"/>
                    <w:textAlignment w:val="auto"/>
                    <w:rPr>
                      <w:rFonts w:hint="default" w:ascii="Times New Roman" w:hAnsi="Times New Roman" w:eastAsia="宋体"/>
                      <w:b w:val="0"/>
                      <w:bCs w:val="0"/>
                      <w:color w:val="auto"/>
                      <w:sz w:val="21"/>
                      <w:vertAlign w:val="baseline"/>
                      <w:lang w:val="zh-CN"/>
                    </w:rPr>
                  </w:pPr>
                  <w:r>
                    <w:rPr>
                      <w:rFonts w:hint="default" w:ascii="Times New Roman" w:hAnsi="Times New Roman" w:eastAsia="宋体" w:cs="var(--dsw-font-markdown-table)"/>
                      <w:b w:val="0"/>
                      <w:bCs w:val="0"/>
                      <w:color w:val="auto"/>
                      <w:kern w:val="0"/>
                      <w:sz w:val="21"/>
                      <w:szCs w:val="24"/>
                      <w:lang w:val="en-US" w:eastAsia="zh-CN" w:bidi="ar"/>
                    </w:rPr>
                    <w:t>十六、皮革、毛皮、羽毛及其制品和制鞋业19 — 32、制鞋业195 — 有橡胶硫化工艺、塑料注塑工艺的；年用溶剂型胶粘剂10吨及以上的，或年用溶剂型处理剂3吨及以上的</w:t>
                  </w:r>
                </w:p>
              </w:tc>
              <w:tc>
                <w:tcPr>
                  <w:tcW w:w="630" w:type="dxa"/>
                  <w:vAlign w:val="center"/>
                </w:tcPr>
                <w:p w14:paraId="53F95D3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eastAsia="宋体"/>
                      <w:color w:val="auto"/>
                      <w:sz w:val="21"/>
                      <w:vertAlign w:val="baseline"/>
                      <w:lang w:val="en-US"/>
                    </w:rPr>
                  </w:pPr>
                  <w:r>
                    <w:rPr>
                      <w:rFonts w:hint="eastAsia" w:cs="var(--dsw-font-markdown-table)"/>
                      <w:color w:val="auto"/>
                      <w:kern w:val="0"/>
                      <w:sz w:val="21"/>
                      <w:szCs w:val="24"/>
                      <w:lang w:val="en-US" w:eastAsia="zh-CN" w:bidi="ar"/>
                    </w:rPr>
                    <w:t>无</w:t>
                  </w:r>
                </w:p>
              </w:tc>
              <w:tc>
                <w:tcPr>
                  <w:tcW w:w="656" w:type="dxa"/>
                  <w:vAlign w:val="center"/>
                </w:tcPr>
                <w:p w14:paraId="6E14680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eastAsia="宋体"/>
                      <w:color w:val="auto"/>
                      <w:sz w:val="21"/>
                      <w:vertAlign w:val="baseline"/>
                      <w:lang w:val="zh-CN"/>
                    </w:rPr>
                  </w:pPr>
                  <w:r>
                    <w:rPr>
                      <w:rFonts w:hint="default" w:ascii="Times New Roman" w:hAnsi="Times New Roman" w:eastAsia="宋体" w:cs="var(--dsw-font-markdown-table)"/>
                      <w:color w:val="auto"/>
                      <w:kern w:val="0"/>
                      <w:sz w:val="21"/>
                      <w:szCs w:val="24"/>
                      <w:lang w:val="en-US" w:eastAsia="zh-CN" w:bidi="ar"/>
                    </w:rPr>
                    <w:t>报告表</w:t>
                  </w:r>
                </w:p>
              </w:tc>
            </w:tr>
          </w:tbl>
          <w:p w14:paraId="67EAC868">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rPr>
            </w:pPr>
            <w:bookmarkStart w:id="6" w:name="_Toc18855"/>
            <w:bookmarkStart w:id="7" w:name="_Toc32016"/>
            <w:r>
              <w:rPr>
                <w:rFonts w:hint="default" w:ascii="Times New Roman" w:hAnsi="Times New Roman" w:eastAsia="宋体" w:cs="Segoe UI"/>
                <w:i w:val="0"/>
                <w:iCs w:val="0"/>
                <w:caps w:val="0"/>
                <w:color w:val="auto"/>
                <w:spacing w:val="0"/>
                <w:sz w:val="21"/>
                <w:shd w:val="clear" w:fill="FFFFFF"/>
              </w:rPr>
              <w:t>二、编制依据</w:t>
            </w:r>
            <w:bookmarkEnd w:id="6"/>
            <w:bookmarkEnd w:id="7"/>
          </w:p>
          <w:p w14:paraId="66A21A06">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（1）《中华人民共和国环境保护法》（2015年1月1日起施行）；</w:t>
            </w:r>
          </w:p>
          <w:p w14:paraId="53922899">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（2）《中华人民共和国环境影响评价法》（2018年修正）；</w:t>
            </w:r>
          </w:p>
          <w:p w14:paraId="347E60C6">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（3）《中华人民共和国大气污染防治法》（2018年10月26日起施行）；</w:t>
            </w:r>
          </w:p>
          <w:p w14:paraId="1FC16465">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（4）《中华人民共和国水污染防治法》（2018年1月1日起施行）；</w:t>
            </w:r>
          </w:p>
          <w:p w14:paraId="3681465D">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（5）《中华人民共和国噪声污染防治法》（2021年12月24日修订）；</w:t>
            </w:r>
          </w:p>
          <w:p w14:paraId="76385EFD">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（6）《中华人民共和国固体废物污染环境防治法》（2020年4月29日修订）；</w:t>
            </w:r>
          </w:p>
          <w:p w14:paraId="3D1FC6A6">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（7）《建设项目环境保护管理条例》（2017年7月16日修订）；</w:t>
            </w:r>
          </w:p>
          <w:p w14:paraId="071D33F2">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（8）《建设项目环境影响评价分类管理名录（2021年版）》；</w:t>
            </w:r>
          </w:p>
          <w:p w14:paraId="169F02C2">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（9）《产业结构调整指导目录（2024年本）》；</w:t>
            </w:r>
          </w:p>
          <w:p w14:paraId="6BEF0F57">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（10）《市场准入负面清单（2025年版）》；</w:t>
            </w:r>
          </w:p>
          <w:p w14:paraId="434B0E67">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（11）中山市生态环境局关于印发《中山市涉挥发性有机物项目环保管理规定》的通知（中环规字〔2021〕1号）；</w:t>
            </w:r>
          </w:p>
          <w:p w14:paraId="556E6287">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（12）广东省《固定污染源挥发性有机物综合排放标准》（DB44/2367—2022）；</w:t>
            </w:r>
          </w:p>
          <w:p w14:paraId="31EF617E">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（13）《中山市人民政府关于印发中山市</w:t>
            </w:r>
            <w:r>
              <w:rPr>
                <w:rFonts w:hint="eastAsia" w:ascii="Times New Roman" w:hAnsi="Times New Roman" w:cs="Segoe UI"/>
                <w:i w:val="0"/>
                <w:iCs w:val="0"/>
                <w:caps w:val="0"/>
                <w:color w:val="auto"/>
                <w:spacing w:val="0"/>
                <w:sz w:val="21"/>
                <w:szCs w:val="24"/>
                <w:shd w:val="clear" w:fill="FFFFFF"/>
                <w:lang w:eastAsia="zh-CN"/>
              </w:rPr>
              <w:t>“三线一单”</w:t>
            </w:r>
            <w:r>
              <w:rPr>
                <w:rFonts w:hint="default" w:ascii="Times New Roman" w:hAnsi="Times New Roman" w:eastAsia="宋体" w:cs="Segoe UI"/>
                <w:i w:val="0"/>
                <w:iCs w:val="0"/>
                <w:caps w:val="0"/>
                <w:color w:val="auto"/>
                <w:spacing w:val="0"/>
                <w:sz w:val="21"/>
                <w:szCs w:val="24"/>
                <w:shd w:val="clear" w:fill="FFFFFF"/>
              </w:rPr>
              <w:t>生态环境分区管控方案（2024年版）的通知》（中府〔2024〕52号）；</w:t>
            </w:r>
          </w:p>
          <w:p w14:paraId="175D7180">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（14）《建设项目环境影响报告表编制技术指南（污染影响类）（试行）》；</w:t>
            </w:r>
          </w:p>
          <w:p w14:paraId="4C2AF904">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（1</w:t>
            </w:r>
            <w:r>
              <w:rPr>
                <w:rFonts w:hint="eastAsia" w:ascii="Times New Roman" w:hAnsi="Times New Roman" w:cs="Segoe UI"/>
                <w:i w:val="0"/>
                <w:iCs w:val="0"/>
                <w:caps w:val="0"/>
                <w:color w:val="auto"/>
                <w:spacing w:val="0"/>
                <w:sz w:val="21"/>
                <w:szCs w:val="24"/>
                <w:shd w:val="clear" w:fill="FFFFFF"/>
                <w:lang w:val="en-US" w:eastAsia="zh-CN"/>
              </w:rPr>
              <w:t>5</w:t>
            </w:r>
            <w:r>
              <w:rPr>
                <w:rFonts w:hint="default" w:ascii="Times New Roman" w:hAnsi="Times New Roman" w:eastAsia="宋体" w:cs="Segoe UI"/>
                <w:i w:val="0"/>
                <w:iCs w:val="0"/>
                <w:caps w:val="0"/>
                <w:color w:val="auto"/>
                <w:spacing w:val="0"/>
                <w:sz w:val="21"/>
                <w:szCs w:val="24"/>
                <w:shd w:val="clear" w:fill="FFFFFF"/>
              </w:rPr>
              <w:t>）《合成树脂工业污染物排放标准》（GB31572</w:t>
            </w:r>
            <w:r>
              <w:rPr>
                <w:rFonts w:hint="eastAsia" w:ascii="Times New Roman" w:hAnsi="Times New Roman" w:cs="Segoe UI"/>
                <w:i w:val="0"/>
                <w:iCs w:val="0"/>
                <w:caps w:val="0"/>
                <w:color w:val="auto"/>
                <w:spacing w:val="0"/>
                <w:sz w:val="21"/>
                <w:szCs w:val="24"/>
                <w:shd w:val="clear" w:fill="FFFFFF"/>
                <w:lang w:eastAsia="zh-CN"/>
              </w:rPr>
              <w:t xml:space="preserve"> </w:t>
            </w:r>
            <w:r>
              <w:rPr>
                <w:rFonts w:hint="eastAsia" w:ascii="Times New Roman" w:hAnsi="Times New Roman" w:cs="Segoe UI"/>
                <w:i w:val="0"/>
                <w:iCs w:val="0"/>
                <w:caps w:val="0"/>
                <w:color w:val="auto"/>
                <w:spacing w:val="0"/>
                <w:sz w:val="21"/>
                <w:szCs w:val="24"/>
                <w:shd w:val="clear" w:fill="FFFFFF"/>
                <w:lang w:val="en-US" w:eastAsia="zh-CN"/>
              </w:rPr>
              <w:t>-</w:t>
            </w:r>
            <w:r>
              <w:rPr>
                <w:rFonts w:hint="default" w:ascii="Times New Roman" w:hAnsi="Times New Roman" w:eastAsia="宋体" w:cs="Segoe UI"/>
                <w:i w:val="0"/>
                <w:iCs w:val="0"/>
                <w:caps w:val="0"/>
                <w:color w:val="auto"/>
                <w:spacing w:val="0"/>
                <w:sz w:val="21"/>
                <w:szCs w:val="24"/>
                <w:shd w:val="clear" w:fill="FFFFFF"/>
              </w:rPr>
              <w:t>2015）及其2024年修改单；</w:t>
            </w:r>
          </w:p>
          <w:p w14:paraId="0AFEE1BB">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（1</w:t>
            </w:r>
            <w:r>
              <w:rPr>
                <w:rFonts w:hint="eastAsia" w:ascii="Times New Roman" w:hAnsi="Times New Roman" w:cs="Segoe UI"/>
                <w:i w:val="0"/>
                <w:iCs w:val="0"/>
                <w:caps w:val="0"/>
                <w:color w:val="auto"/>
                <w:spacing w:val="0"/>
                <w:sz w:val="21"/>
                <w:szCs w:val="24"/>
                <w:shd w:val="clear" w:fill="FFFFFF"/>
                <w:lang w:val="en-US" w:eastAsia="zh-CN"/>
              </w:rPr>
              <w:t>6</w:t>
            </w:r>
            <w:r>
              <w:rPr>
                <w:rFonts w:hint="default" w:ascii="Times New Roman" w:hAnsi="Times New Roman" w:eastAsia="宋体" w:cs="Segoe UI"/>
                <w:i w:val="0"/>
                <w:iCs w:val="0"/>
                <w:caps w:val="0"/>
                <w:color w:val="auto"/>
                <w:spacing w:val="0"/>
                <w:sz w:val="21"/>
                <w:szCs w:val="24"/>
                <w:shd w:val="clear" w:fill="FFFFFF"/>
              </w:rPr>
              <w:t>）《制鞋行业挥发性有机化合物排放标准》（DB44/817</w:t>
            </w:r>
            <w:r>
              <w:rPr>
                <w:rFonts w:hint="eastAsia" w:ascii="Times New Roman" w:hAnsi="Times New Roman" w:cs="Segoe UI"/>
                <w:i w:val="0"/>
                <w:iCs w:val="0"/>
                <w:caps w:val="0"/>
                <w:color w:val="auto"/>
                <w:spacing w:val="0"/>
                <w:sz w:val="21"/>
                <w:szCs w:val="24"/>
                <w:shd w:val="clear" w:fill="FFFFFF"/>
                <w:lang w:val="en-US" w:eastAsia="zh-CN"/>
              </w:rPr>
              <w:t>-</w:t>
            </w:r>
            <w:r>
              <w:rPr>
                <w:rFonts w:hint="eastAsia" w:ascii="Times New Roman" w:hAnsi="Times New Roman" w:cs="Segoe UI"/>
                <w:i w:val="0"/>
                <w:iCs w:val="0"/>
                <w:caps w:val="0"/>
                <w:color w:val="auto"/>
                <w:spacing w:val="0"/>
                <w:sz w:val="21"/>
                <w:szCs w:val="24"/>
                <w:shd w:val="clear" w:fill="FFFFFF"/>
                <w:lang w:eastAsia="zh-CN"/>
              </w:rPr>
              <w:t xml:space="preserve"> </w:t>
            </w:r>
            <w:r>
              <w:rPr>
                <w:rFonts w:hint="default" w:ascii="Times New Roman" w:hAnsi="Times New Roman" w:eastAsia="宋体" w:cs="Segoe UI"/>
                <w:i w:val="0"/>
                <w:iCs w:val="0"/>
                <w:caps w:val="0"/>
                <w:color w:val="auto"/>
                <w:spacing w:val="0"/>
                <w:sz w:val="21"/>
                <w:szCs w:val="24"/>
                <w:shd w:val="clear" w:fill="FFFFFF"/>
              </w:rPr>
              <w:t>2010）；</w:t>
            </w:r>
          </w:p>
          <w:p w14:paraId="0695316A">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（1</w:t>
            </w:r>
            <w:r>
              <w:rPr>
                <w:rFonts w:hint="eastAsia" w:ascii="Times New Roman" w:hAnsi="Times New Roman" w:cs="Segoe UI"/>
                <w:i w:val="0"/>
                <w:iCs w:val="0"/>
                <w:caps w:val="0"/>
                <w:color w:val="auto"/>
                <w:spacing w:val="0"/>
                <w:sz w:val="21"/>
                <w:szCs w:val="24"/>
                <w:shd w:val="clear" w:fill="FFFFFF"/>
                <w:lang w:val="en-US" w:eastAsia="zh-CN"/>
              </w:rPr>
              <w:t>7</w:t>
            </w:r>
            <w:r>
              <w:rPr>
                <w:rFonts w:hint="default" w:ascii="Times New Roman" w:hAnsi="Times New Roman" w:eastAsia="宋体" w:cs="Segoe UI"/>
                <w:i w:val="0"/>
                <w:iCs w:val="0"/>
                <w:caps w:val="0"/>
                <w:color w:val="auto"/>
                <w:spacing w:val="0"/>
                <w:sz w:val="21"/>
                <w:szCs w:val="24"/>
                <w:shd w:val="clear" w:fill="FFFFFF"/>
              </w:rPr>
              <w:t>）《印刷行业挥发性有机化合物排放标准》（DB44/815</w:t>
            </w:r>
            <w:r>
              <w:rPr>
                <w:rFonts w:hint="eastAsia" w:ascii="Times New Roman" w:hAnsi="Times New Roman" w:cs="Segoe UI"/>
                <w:i w:val="0"/>
                <w:iCs w:val="0"/>
                <w:caps w:val="0"/>
                <w:color w:val="auto"/>
                <w:spacing w:val="0"/>
                <w:sz w:val="21"/>
                <w:szCs w:val="24"/>
                <w:shd w:val="clear" w:fill="FFFFFF"/>
                <w:lang w:eastAsia="zh-CN"/>
              </w:rPr>
              <w:t xml:space="preserve"> </w:t>
            </w:r>
            <w:r>
              <w:rPr>
                <w:rFonts w:hint="eastAsia" w:ascii="Times New Roman" w:hAnsi="Times New Roman" w:cs="Segoe UI"/>
                <w:i w:val="0"/>
                <w:iCs w:val="0"/>
                <w:caps w:val="0"/>
                <w:color w:val="auto"/>
                <w:spacing w:val="0"/>
                <w:sz w:val="21"/>
                <w:szCs w:val="24"/>
                <w:shd w:val="clear" w:fill="FFFFFF"/>
                <w:lang w:val="en-US" w:eastAsia="zh-CN"/>
              </w:rPr>
              <w:t>-</w:t>
            </w:r>
            <w:r>
              <w:rPr>
                <w:rFonts w:hint="default" w:ascii="Times New Roman" w:hAnsi="Times New Roman" w:eastAsia="宋体" w:cs="Segoe UI"/>
                <w:i w:val="0"/>
                <w:iCs w:val="0"/>
                <w:caps w:val="0"/>
                <w:color w:val="auto"/>
                <w:spacing w:val="0"/>
                <w:sz w:val="21"/>
                <w:szCs w:val="24"/>
                <w:shd w:val="clear" w:fill="FFFFFF"/>
              </w:rPr>
              <w:t>2010）。</w:t>
            </w:r>
          </w:p>
          <w:p w14:paraId="464C5573">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rPr>
            </w:pPr>
            <w:bookmarkStart w:id="8" w:name="_Toc4514"/>
            <w:bookmarkStart w:id="9" w:name="_Toc14975"/>
            <w:r>
              <w:rPr>
                <w:rFonts w:hint="default" w:ascii="Times New Roman" w:hAnsi="Times New Roman" w:eastAsia="宋体" w:cs="Segoe UI"/>
                <w:i w:val="0"/>
                <w:iCs w:val="0"/>
                <w:caps w:val="0"/>
                <w:color w:val="auto"/>
                <w:spacing w:val="0"/>
                <w:sz w:val="21"/>
                <w:shd w:val="clear" w:fill="FFFFFF"/>
              </w:rPr>
              <w:t>三、建设内容</w:t>
            </w:r>
            <w:bookmarkEnd w:id="8"/>
            <w:bookmarkEnd w:id="9"/>
          </w:p>
          <w:p w14:paraId="322C5DD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1、基本情况</w:t>
            </w:r>
          </w:p>
          <w:p w14:paraId="43AE2D2D">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中山市盛邦鞋业有限责任公司拟建于中山市南区圣都南路55号（项目中心位置：</w:t>
            </w:r>
            <w:r>
              <w:rPr>
                <w:rFonts w:hint="default" w:ascii="Times New Roman" w:hAnsi="Times New Roman" w:eastAsia="宋体" w:cs="Segoe UI"/>
                <w:i w:val="0"/>
                <w:iCs w:val="0"/>
                <w:caps w:val="0"/>
                <w:color w:val="auto"/>
                <w:spacing w:val="0"/>
                <w:kern w:val="0"/>
                <w:sz w:val="21"/>
                <w:szCs w:val="24"/>
                <w:shd w:val="clear" w:fill="FFFFFF"/>
                <w:lang w:val="en-US" w:eastAsia="zh-CN" w:bidi="ar-SA"/>
              </w:rPr>
              <w:t>东经</w:t>
            </w:r>
            <w:r>
              <w:rPr>
                <w:rFonts w:hint="eastAsia" w:ascii="Times New Roman" w:hAnsi="Times New Roman" w:eastAsia="宋体" w:cs="Segoe UI"/>
                <w:i w:val="0"/>
                <w:iCs w:val="0"/>
                <w:caps w:val="0"/>
                <w:color w:val="auto"/>
                <w:spacing w:val="0"/>
                <w:kern w:val="0"/>
                <w:sz w:val="21"/>
                <w:szCs w:val="24"/>
                <w:shd w:val="clear" w:fill="FFFFFF"/>
                <w:lang w:val="en-US" w:eastAsia="zh-CN" w:bidi="ar-SA"/>
              </w:rPr>
              <w:t>113°18′3.156″</w:t>
            </w:r>
            <w:r>
              <w:rPr>
                <w:rFonts w:hint="default" w:ascii="Times New Roman" w:hAnsi="Times New Roman" w:eastAsia="宋体" w:cs="Segoe UI"/>
                <w:i w:val="0"/>
                <w:iCs w:val="0"/>
                <w:caps w:val="0"/>
                <w:color w:val="auto"/>
                <w:spacing w:val="0"/>
                <w:kern w:val="0"/>
                <w:sz w:val="21"/>
                <w:szCs w:val="24"/>
                <w:shd w:val="clear" w:fill="FFFFFF"/>
                <w:lang w:val="en-US" w:eastAsia="zh-CN" w:bidi="ar-SA"/>
              </w:rPr>
              <w:t>、北纬</w:t>
            </w:r>
            <w:r>
              <w:rPr>
                <w:rFonts w:hint="eastAsia" w:ascii="Times New Roman" w:hAnsi="Times New Roman" w:eastAsia="宋体" w:cs="Segoe UI"/>
                <w:i w:val="0"/>
                <w:iCs w:val="0"/>
                <w:caps w:val="0"/>
                <w:color w:val="auto"/>
                <w:spacing w:val="0"/>
                <w:kern w:val="0"/>
                <w:sz w:val="21"/>
                <w:szCs w:val="24"/>
                <w:shd w:val="clear" w:fill="FFFFFF"/>
                <w:lang w:val="en-US" w:eastAsia="zh-CN" w:bidi="ar-SA"/>
              </w:rPr>
              <w:t>22°26′13.548″</w:t>
            </w:r>
            <w:r>
              <w:rPr>
                <w:rFonts w:hint="default" w:ascii="Times New Roman" w:hAnsi="Times New Roman" w:eastAsia="宋体" w:cs="Segoe UI"/>
                <w:i w:val="0"/>
                <w:iCs w:val="0"/>
                <w:caps w:val="0"/>
                <w:color w:val="auto"/>
                <w:spacing w:val="0"/>
                <w:sz w:val="21"/>
                <w:szCs w:val="24"/>
                <w:shd w:val="clear" w:fill="FFFFFF"/>
              </w:rPr>
              <w:t>），主要从事儿童运动鞋的研发、生产和销售，年产儿童运动鞋500万双。项目总投资8000万元，其中环保投资80万元，用地面积23955.17平方米，建筑面积</w:t>
            </w:r>
            <w:r>
              <w:rPr>
                <w:rFonts w:hint="eastAsia" w:ascii="Times New Roman" w:hAnsi="Times New Roman" w:eastAsia="宋体" w:cs="Segoe UI"/>
                <w:i w:val="0"/>
                <w:iCs w:val="0"/>
                <w:caps w:val="0"/>
                <w:color w:val="auto"/>
                <w:spacing w:val="0"/>
                <w:kern w:val="0"/>
                <w:sz w:val="21"/>
                <w:szCs w:val="24"/>
                <w:shd w:val="clear" w:fill="FFFFFF"/>
                <w:lang w:val="en-US" w:eastAsia="zh-CN" w:bidi="ar-SA"/>
              </w:rPr>
              <w:t>76490.92</w:t>
            </w:r>
            <w:r>
              <w:rPr>
                <w:rFonts w:hint="default" w:ascii="Times New Roman" w:hAnsi="Times New Roman" w:eastAsia="宋体" w:cs="Segoe UI"/>
                <w:i w:val="0"/>
                <w:iCs w:val="0"/>
                <w:caps w:val="0"/>
                <w:color w:val="auto"/>
                <w:spacing w:val="0"/>
                <w:sz w:val="21"/>
                <w:szCs w:val="24"/>
                <w:shd w:val="clear" w:fill="FFFFFF"/>
              </w:rPr>
              <w:t>平方米。</w:t>
            </w:r>
          </w:p>
          <w:p w14:paraId="5B3F5A19">
            <w:pPr>
              <w:pStyle w:val="5"/>
              <w:keepNext w:val="0"/>
              <w:keepLines w:val="0"/>
              <w:pageBreakBefore w:val="0"/>
              <w:widowControl/>
              <w:numPr>
                <w:ilvl w:val="0"/>
                <w:numId w:val="9"/>
              </w:numPr>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项目组成及工程内容</w:t>
            </w:r>
          </w:p>
          <w:p w14:paraId="2AE5775C">
            <w:pPr>
              <w:pStyle w:val="9"/>
              <w:numPr>
                <w:ilvl w:val="0"/>
                <w:numId w:val="8"/>
              </w:numPr>
              <w:suppressLineNumbers w:val="0"/>
              <w:spacing w:before="0" w:beforeAutospacing="0" w:after="0" w:afterAutospacing="0" w:line="240" w:lineRule="auto"/>
              <w:ind w:right="0"/>
              <w:jc w:val="center"/>
              <w:rPr>
                <w:rFonts w:hint="default" w:eastAsia="宋体"/>
                <w:color w:val="auto"/>
                <w:sz w:val="21"/>
              </w:rPr>
            </w:pPr>
            <w:r>
              <w:rPr>
                <w:rFonts w:hint="default" w:ascii="Times New Roman" w:hAnsi="Times New Roman" w:eastAsia="宋体"/>
                <w:b/>
                <w:color w:val="auto"/>
                <w:sz w:val="21"/>
                <w:szCs w:val="24"/>
              </w:rPr>
              <w:t>项目工程组成一览表</w:t>
            </w:r>
          </w:p>
          <w:tbl>
            <w:tblPr>
              <w:tblStyle w:val="49"/>
              <w:tblW w:w="99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179"/>
              <w:gridCol w:w="7551"/>
            </w:tblGrid>
            <w:tr w14:paraId="5E857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jc w:val="center"/>
              </w:trPr>
              <w:tc>
                <w:tcPr>
                  <w:tcW w:w="1248" w:type="dxa"/>
                  <w:vAlign w:val="center"/>
                </w:tcPr>
                <w:p w14:paraId="548B575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eastAsia="宋体"/>
                      <w:color w:val="auto"/>
                      <w:sz w:val="21"/>
                      <w:vertAlign w:val="baseline"/>
                    </w:rPr>
                  </w:pPr>
                  <w:r>
                    <w:rPr>
                      <w:rFonts w:hint="default" w:ascii="Times New Roman" w:hAnsi="Times New Roman" w:eastAsia="宋体" w:cs="var(--dsw-font-markdown-table-h"/>
                      <w:b/>
                      <w:bCs/>
                      <w:color w:val="auto"/>
                      <w:kern w:val="0"/>
                      <w:sz w:val="21"/>
                      <w:szCs w:val="24"/>
                      <w:lang w:val="en-US" w:eastAsia="zh-CN" w:bidi="ar"/>
                    </w:rPr>
                    <w:t>工程类别</w:t>
                  </w:r>
                </w:p>
              </w:tc>
              <w:tc>
                <w:tcPr>
                  <w:tcW w:w="1179" w:type="dxa"/>
                  <w:vAlign w:val="center"/>
                </w:tcPr>
                <w:p w14:paraId="4493398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eastAsia="宋体"/>
                      <w:color w:val="auto"/>
                      <w:sz w:val="21"/>
                      <w:vertAlign w:val="baseline"/>
                    </w:rPr>
                  </w:pPr>
                  <w:r>
                    <w:rPr>
                      <w:rFonts w:hint="default" w:ascii="Times New Roman" w:hAnsi="Times New Roman" w:eastAsia="宋体" w:cs="var(--dsw-font-markdown-table-h"/>
                      <w:b/>
                      <w:bCs/>
                      <w:color w:val="auto"/>
                      <w:kern w:val="0"/>
                      <w:sz w:val="21"/>
                      <w:szCs w:val="24"/>
                      <w:lang w:val="en-US" w:eastAsia="zh-CN" w:bidi="ar"/>
                    </w:rPr>
                    <w:t>项目名称</w:t>
                  </w:r>
                </w:p>
              </w:tc>
              <w:tc>
                <w:tcPr>
                  <w:tcW w:w="7551" w:type="dxa"/>
                  <w:vAlign w:val="center"/>
                </w:tcPr>
                <w:p w14:paraId="436241C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eastAsia="宋体"/>
                      <w:color w:val="auto"/>
                      <w:sz w:val="21"/>
                      <w:vertAlign w:val="baseline"/>
                    </w:rPr>
                  </w:pPr>
                  <w:r>
                    <w:rPr>
                      <w:rFonts w:hint="default" w:ascii="Times New Roman" w:hAnsi="Times New Roman" w:eastAsia="宋体" w:cs="var(--dsw-font-markdown-table-h"/>
                      <w:b/>
                      <w:bCs/>
                      <w:color w:val="auto"/>
                      <w:kern w:val="0"/>
                      <w:sz w:val="21"/>
                      <w:szCs w:val="24"/>
                      <w:lang w:val="en-US" w:eastAsia="zh-CN" w:bidi="ar"/>
                    </w:rPr>
                    <w:t>建设内容和规模</w:t>
                  </w:r>
                </w:p>
              </w:tc>
            </w:tr>
            <w:tr w14:paraId="521CE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248" w:type="dxa"/>
                  <w:vMerge w:val="restart"/>
                  <w:vAlign w:val="center"/>
                </w:tcPr>
                <w:p w14:paraId="01059F9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eastAsia="宋体"/>
                      <w:color w:val="auto"/>
                      <w:sz w:val="21"/>
                      <w:vertAlign w:val="baseline"/>
                    </w:rPr>
                  </w:pPr>
                  <w:r>
                    <w:rPr>
                      <w:rFonts w:hint="default" w:ascii="Times New Roman" w:hAnsi="Times New Roman" w:eastAsia="宋体" w:cs="var(--dsw-font-markdown-table)"/>
                      <w:color w:val="auto"/>
                      <w:kern w:val="0"/>
                      <w:sz w:val="21"/>
                      <w:szCs w:val="24"/>
                      <w:lang w:val="en-US" w:eastAsia="zh-CN" w:bidi="ar"/>
                    </w:rPr>
                    <w:t>主体工程</w:t>
                  </w:r>
                </w:p>
              </w:tc>
              <w:tc>
                <w:tcPr>
                  <w:tcW w:w="1179" w:type="dxa"/>
                  <w:vAlign w:val="center"/>
                </w:tcPr>
                <w:p w14:paraId="1C3F912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eastAsia="宋体"/>
                      <w:color w:val="auto"/>
                      <w:sz w:val="21"/>
                      <w:vertAlign w:val="baseline"/>
                    </w:rPr>
                  </w:pPr>
                  <w:r>
                    <w:rPr>
                      <w:rFonts w:hint="default" w:ascii="Times New Roman" w:hAnsi="Times New Roman" w:eastAsia="宋体" w:cs="var(--dsw-font-markdown-table)"/>
                      <w:color w:val="auto"/>
                      <w:kern w:val="0"/>
                      <w:sz w:val="21"/>
                      <w:szCs w:val="24"/>
                      <w:lang w:val="en-US" w:eastAsia="zh-CN" w:bidi="ar"/>
                    </w:rPr>
                    <w:t>1#厂房</w:t>
                  </w:r>
                </w:p>
              </w:tc>
              <w:tc>
                <w:tcPr>
                  <w:tcW w:w="7551" w:type="dxa"/>
                  <w:vAlign w:val="center"/>
                </w:tcPr>
                <w:p w14:paraId="77DCF1B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rPr>
                      <w:rFonts w:hint="default" w:ascii="Times New Roman" w:hAnsi="Times New Roman" w:eastAsia="宋体"/>
                      <w:color w:val="auto"/>
                      <w:sz w:val="21"/>
                      <w:vertAlign w:val="baseline"/>
                    </w:rPr>
                  </w:pPr>
                  <w:r>
                    <w:rPr>
                      <w:rFonts w:hint="default" w:ascii="Times New Roman" w:hAnsi="Times New Roman" w:eastAsia="宋体" w:cs="var(--dsw-font-markdown-table)"/>
                      <w:color w:val="auto"/>
                      <w:kern w:val="0"/>
                      <w:sz w:val="21"/>
                      <w:szCs w:val="24"/>
                      <w:lang w:val="en-US" w:eastAsia="zh-CN" w:bidi="ar"/>
                    </w:rPr>
                    <w:t>1幢8层砖混结构厂房，占地面积</w:t>
                  </w:r>
                  <w:r>
                    <w:rPr>
                      <w:rFonts w:hint="eastAsia" w:ascii="Times New Roman" w:hAnsi="Times New Roman" w:eastAsia="宋体"/>
                      <w:color w:val="auto"/>
                      <w:sz w:val="21"/>
                      <w:szCs w:val="32"/>
                    </w:rPr>
                    <w:t>3882.69</w:t>
                  </w:r>
                  <w:r>
                    <w:rPr>
                      <w:rFonts w:hint="default" w:ascii="Times New Roman" w:hAnsi="Times New Roman" w:eastAsia="宋体" w:cs="var(--dsw-font-markdown-table)"/>
                      <w:color w:val="auto"/>
                      <w:kern w:val="0"/>
                      <w:sz w:val="21"/>
                      <w:szCs w:val="24"/>
                      <w:lang w:val="en-US" w:eastAsia="zh-CN" w:bidi="ar"/>
                    </w:rPr>
                    <w:t>m²，建筑面积</w:t>
                  </w:r>
                  <w:r>
                    <w:rPr>
                      <w:rFonts w:hint="eastAsia" w:ascii="Times New Roman" w:hAnsi="Times New Roman" w:eastAsia="宋体"/>
                      <w:color w:val="auto"/>
                      <w:sz w:val="21"/>
                      <w:szCs w:val="32"/>
                    </w:rPr>
                    <w:t>31328.85</w:t>
                  </w:r>
                  <w:r>
                    <w:rPr>
                      <w:rFonts w:hint="default" w:ascii="Times New Roman" w:hAnsi="Times New Roman" w:eastAsia="宋体" w:cs="var(--dsw-font-markdown-table)"/>
                      <w:color w:val="auto"/>
                      <w:kern w:val="0"/>
                      <w:sz w:val="21"/>
                      <w:szCs w:val="24"/>
                      <w:lang w:val="en-US" w:eastAsia="zh-CN" w:bidi="ar"/>
                    </w:rPr>
                    <w:t>m²</w:t>
                  </w:r>
                  <w:r>
                    <w:rPr>
                      <w:rFonts w:hint="eastAsia" w:ascii="Times New Roman" w:hAnsi="Times New Roman" w:eastAsia="宋体" w:cs="var(--dsw-font-markdown-table)"/>
                      <w:color w:val="auto"/>
                      <w:kern w:val="0"/>
                      <w:sz w:val="21"/>
                      <w:szCs w:val="24"/>
                      <w:lang w:val="en-US" w:eastAsia="zh-CN" w:bidi="ar"/>
                    </w:rPr>
                    <w:t>，建筑物总高度43.05m</w:t>
                  </w:r>
                  <w:r>
                    <w:rPr>
                      <w:rFonts w:hint="default" w:ascii="Times New Roman" w:hAnsi="Times New Roman" w:eastAsia="宋体" w:cs="var(--dsw-font-markdown-table)"/>
                      <w:color w:val="auto"/>
                      <w:kern w:val="0"/>
                      <w:sz w:val="21"/>
                      <w:szCs w:val="24"/>
                      <w:lang w:val="en-US" w:eastAsia="zh-CN" w:bidi="ar"/>
                    </w:rPr>
                    <w:t>。1层</w:t>
                  </w:r>
                  <w:r>
                    <w:rPr>
                      <w:rFonts w:hint="eastAsia" w:ascii="Times New Roman" w:hAnsi="Times New Roman" w:eastAsia="宋体" w:cs="var(--dsw-font-markdown-table)"/>
                      <w:color w:val="auto"/>
                      <w:kern w:val="0"/>
                      <w:sz w:val="21"/>
                      <w:szCs w:val="24"/>
                      <w:lang w:val="en-US" w:eastAsia="zh-CN" w:bidi="ar"/>
                    </w:rPr>
                    <w:t>层高</w:t>
                  </w:r>
                  <w:r>
                    <w:rPr>
                      <w:rFonts w:hint="default" w:ascii="Times New Roman" w:hAnsi="Times New Roman" w:eastAsia="宋体" w:cs="var(--dsw-font-markdown-table)"/>
                      <w:color w:val="auto"/>
                      <w:kern w:val="0"/>
                      <w:sz w:val="21"/>
                      <w:szCs w:val="24"/>
                      <w:lang w:val="en-US" w:eastAsia="zh-CN" w:bidi="ar"/>
                    </w:rPr>
                    <w:t>为</w:t>
                  </w:r>
                  <w:r>
                    <w:rPr>
                      <w:rFonts w:hint="default" w:ascii="Times New Roman" w:hAnsi="Times New Roman" w:eastAsia="宋体" w:cs="Times New Roman"/>
                      <w:color w:val="auto"/>
                      <w:sz w:val="21"/>
                    </w:rPr>
                    <w:t>6.65</w:t>
                  </w:r>
                  <w:r>
                    <w:rPr>
                      <w:rFonts w:hint="eastAsia" w:ascii="Times New Roman" w:hAnsi="Times New Roman" w:eastAsia="宋体" w:cs="var(--dsw-font-markdown-table)"/>
                      <w:color w:val="auto"/>
                      <w:kern w:val="0"/>
                      <w:sz w:val="21"/>
                      <w:szCs w:val="24"/>
                      <w:lang w:val="en-US" w:eastAsia="zh-CN" w:bidi="ar"/>
                    </w:rPr>
                    <w:t>m，为</w:t>
                  </w:r>
                  <w:r>
                    <w:rPr>
                      <w:rFonts w:hint="default" w:ascii="Times New Roman" w:hAnsi="Times New Roman" w:eastAsia="宋体" w:cs="var(--dsw-font-markdown-table)"/>
                      <w:color w:val="auto"/>
                      <w:kern w:val="0"/>
                      <w:sz w:val="21"/>
                      <w:szCs w:val="24"/>
                      <w:lang w:val="en-US" w:eastAsia="zh-CN" w:bidi="ar"/>
                    </w:rPr>
                    <w:t>原材料仓库</w:t>
                  </w:r>
                  <w:r>
                    <w:rPr>
                      <w:rFonts w:hint="eastAsia" w:ascii="Times New Roman" w:hAnsi="Times New Roman" w:eastAsia="宋体" w:cs="var(--dsw-font-markdown-table)"/>
                      <w:color w:val="auto"/>
                      <w:kern w:val="0"/>
                      <w:sz w:val="21"/>
                      <w:szCs w:val="24"/>
                      <w:lang w:val="en-US" w:eastAsia="zh-CN" w:bidi="ar"/>
                    </w:rPr>
                    <w:t>和裁断区</w:t>
                  </w:r>
                  <w:r>
                    <w:rPr>
                      <w:rFonts w:hint="default" w:ascii="Times New Roman" w:hAnsi="Times New Roman" w:eastAsia="宋体" w:cs="var(--dsw-font-markdown-table)"/>
                      <w:color w:val="auto"/>
                      <w:kern w:val="0"/>
                      <w:sz w:val="21"/>
                      <w:szCs w:val="24"/>
                      <w:lang w:val="en-US" w:eastAsia="zh-CN" w:bidi="ar"/>
                    </w:rPr>
                    <w:t>；2层</w:t>
                  </w:r>
                  <w:r>
                    <w:rPr>
                      <w:rFonts w:hint="eastAsia" w:ascii="Times New Roman" w:hAnsi="Times New Roman" w:eastAsia="宋体" w:cs="var(--dsw-font-markdown-table)"/>
                      <w:color w:val="auto"/>
                      <w:kern w:val="0"/>
                      <w:sz w:val="21"/>
                      <w:szCs w:val="24"/>
                      <w:lang w:val="en-US" w:eastAsia="zh-CN" w:bidi="ar"/>
                    </w:rPr>
                    <w:t>层高</w:t>
                  </w:r>
                  <w:r>
                    <w:rPr>
                      <w:rFonts w:hint="default" w:ascii="Times New Roman" w:hAnsi="Times New Roman" w:eastAsia="宋体" w:cs="var(--dsw-font-markdown-table)"/>
                      <w:color w:val="auto"/>
                      <w:kern w:val="0"/>
                      <w:sz w:val="21"/>
                      <w:szCs w:val="24"/>
                      <w:lang w:val="en-US" w:eastAsia="zh-CN" w:bidi="ar"/>
                    </w:rPr>
                    <w:t>为</w:t>
                  </w:r>
                  <w:r>
                    <w:rPr>
                      <w:rFonts w:hint="default" w:ascii="Times New Roman" w:hAnsi="Times New Roman" w:eastAsia="宋体" w:cs="Times New Roman"/>
                      <w:color w:val="auto"/>
                      <w:sz w:val="21"/>
                    </w:rPr>
                    <w:t>5.2</w:t>
                  </w:r>
                  <w:r>
                    <w:rPr>
                      <w:rFonts w:hint="eastAsia" w:ascii="Times New Roman" w:hAnsi="Times New Roman" w:eastAsia="宋体" w:cs="var(--dsw-font-markdown-table)"/>
                      <w:color w:val="auto"/>
                      <w:kern w:val="0"/>
                      <w:sz w:val="21"/>
                      <w:szCs w:val="24"/>
                      <w:lang w:val="en-US" w:eastAsia="zh-CN" w:bidi="ar"/>
                    </w:rPr>
                    <w:t>m，</w:t>
                  </w:r>
                  <w:r>
                    <w:rPr>
                      <w:rFonts w:hint="default" w:ascii="Times New Roman" w:hAnsi="Times New Roman" w:eastAsia="宋体" w:cs="var(--dsw-font-markdown-table)"/>
                      <w:color w:val="auto"/>
                      <w:kern w:val="0"/>
                      <w:sz w:val="21"/>
                      <w:szCs w:val="24"/>
                      <w:lang w:val="en-US" w:eastAsia="zh-CN" w:bidi="ar"/>
                    </w:rPr>
                    <w:t>为</w:t>
                  </w:r>
                  <w:r>
                    <w:rPr>
                      <w:rFonts w:hint="eastAsia" w:ascii="Times New Roman" w:hAnsi="Times New Roman" w:eastAsia="宋体" w:cs="var(--dsw-font-markdown-table)"/>
                      <w:color w:val="auto"/>
                      <w:kern w:val="0"/>
                      <w:sz w:val="21"/>
                      <w:szCs w:val="24"/>
                      <w:lang w:val="en-US" w:eastAsia="zh-CN" w:bidi="ar"/>
                    </w:rPr>
                    <w:t>楦头区和包材区</w:t>
                  </w:r>
                  <w:r>
                    <w:rPr>
                      <w:rFonts w:hint="default" w:ascii="Times New Roman" w:hAnsi="Times New Roman" w:eastAsia="宋体" w:cs="var(--dsw-font-markdown-table)"/>
                      <w:color w:val="auto"/>
                      <w:kern w:val="0"/>
                      <w:sz w:val="21"/>
                      <w:szCs w:val="24"/>
                      <w:lang w:val="en-US" w:eastAsia="zh-CN" w:bidi="ar"/>
                    </w:rPr>
                    <w:t>仓库；3层</w:t>
                  </w:r>
                  <w:r>
                    <w:rPr>
                      <w:rFonts w:hint="eastAsia" w:ascii="Times New Roman" w:hAnsi="Times New Roman" w:eastAsia="宋体" w:cs="var(--dsw-font-markdown-table)"/>
                      <w:color w:val="auto"/>
                      <w:kern w:val="0"/>
                      <w:sz w:val="21"/>
                      <w:szCs w:val="24"/>
                      <w:lang w:val="en-US" w:eastAsia="zh-CN" w:bidi="ar"/>
                    </w:rPr>
                    <w:t>层高</w:t>
                  </w:r>
                  <w:r>
                    <w:rPr>
                      <w:rFonts w:hint="default" w:ascii="Times New Roman" w:hAnsi="Times New Roman" w:eastAsia="宋体" w:cs="var(--dsw-font-markdown-table)"/>
                      <w:color w:val="auto"/>
                      <w:kern w:val="0"/>
                      <w:sz w:val="21"/>
                      <w:szCs w:val="24"/>
                      <w:lang w:val="en-US" w:eastAsia="zh-CN" w:bidi="ar"/>
                    </w:rPr>
                    <w:t>为</w:t>
                  </w:r>
                  <w:r>
                    <w:rPr>
                      <w:rFonts w:hint="default" w:ascii="Times New Roman" w:hAnsi="Times New Roman" w:eastAsia="宋体" w:cs="Times New Roman"/>
                      <w:color w:val="auto"/>
                      <w:sz w:val="21"/>
                    </w:rPr>
                    <w:t>5.2</w:t>
                  </w:r>
                  <w:r>
                    <w:rPr>
                      <w:rFonts w:hint="eastAsia" w:ascii="Times New Roman" w:hAnsi="Times New Roman" w:eastAsia="宋体" w:cs="var(--dsw-font-markdown-table)"/>
                      <w:color w:val="auto"/>
                      <w:kern w:val="0"/>
                      <w:sz w:val="21"/>
                      <w:szCs w:val="24"/>
                      <w:lang w:val="en-US" w:eastAsia="zh-CN" w:bidi="ar"/>
                    </w:rPr>
                    <w:t>m，</w:t>
                  </w:r>
                  <w:r>
                    <w:rPr>
                      <w:rFonts w:hint="default" w:ascii="Times New Roman" w:hAnsi="Times New Roman" w:eastAsia="宋体" w:cs="var(--dsw-font-markdown-table)"/>
                      <w:color w:val="auto"/>
                      <w:kern w:val="0"/>
                      <w:sz w:val="21"/>
                      <w:szCs w:val="24"/>
                      <w:lang w:val="en-US" w:eastAsia="zh-CN" w:bidi="ar"/>
                    </w:rPr>
                    <w:t>为包装车间和成品仓库；</w:t>
                  </w:r>
                  <w:r>
                    <w:rPr>
                      <w:rFonts w:hint="eastAsia" w:cs="var(--dsw-font-markdown-table)"/>
                      <w:color w:val="auto"/>
                      <w:kern w:val="0"/>
                      <w:sz w:val="21"/>
                      <w:szCs w:val="24"/>
                      <w:lang w:val="en-US" w:eastAsia="zh-CN" w:bidi="ar"/>
                    </w:rPr>
                    <w:t>4层</w:t>
                  </w:r>
                  <w:r>
                    <w:rPr>
                      <w:rFonts w:hint="eastAsia" w:ascii="Times New Roman" w:hAnsi="Times New Roman" w:eastAsia="宋体" w:cs="var(--dsw-font-markdown-table)"/>
                      <w:color w:val="auto"/>
                      <w:kern w:val="0"/>
                      <w:sz w:val="21"/>
                      <w:szCs w:val="24"/>
                      <w:lang w:val="en-US" w:eastAsia="zh-CN" w:bidi="ar"/>
                    </w:rPr>
                    <w:t>高</w:t>
                  </w:r>
                  <w:r>
                    <w:rPr>
                      <w:rFonts w:hint="default" w:ascii="Times New Roman" w:hAnsi="Times New Roman" w:eastAsia="宋体" w:cs="var(--dsw-font-markdown-table)"/>
                      <w:color w:val="auto"/>
                      <w:kern w:val="0"/>
                      <w:sz w:val="21"/>
                      <w:szCs w:val="24"/>
                      <w:lang w:val="en-US" w:eastAsia="zh-CN" w:bidi="ar"/>
                    </w:rPr>
                    <w:t>为</w:t>
                  </w:r>
                  <w:r>
                    <w:rPr>
                      <w:rFonts w:hint="default" w:ascii="Times New Roman" w:hAnsi="Times New Roman" w:eastAsia="宋体" w:cs="Times New Roman"/>
                      <w:color w:val="auto"/>
                      <w:sz w:val="21"/>
                    </w:rPr>
                    <w:t>5.2</w:t>
                  </w:r>
                  <w:r>
                    <w:rPr>
                      <w:rFonts w:hint="eastAsia" w:ascii="Times New Roman" w:hAnsi="Times New Roman" w:eastAsia="宋体" w:cs="var(--dsw-font-markdown-table)"/>
                      <w:color w:val="auto"/>
                      <w:kern w:val="0"/>
                      <w:sz w:val="21"/>
                      <w:szCs w:val="24"/>
                      <w:lang w:val="en-US" w:eastAsia="zh-CN" w:bidi="ar"/>
                    </w:rPr>
                    <w:t>m，</w:t>
                  </w:r>
                  <w:r>
                    <w:rPr>
                      <w:rFonts w:hint="default" w:ascii="Times New Roman" w:hAnsi="Times New Roman" w:eastAsia="宋体" w:cs="var(--dsw-font-markdown-table)"/>
                      <w:color w:val="auto"/>
                      <w:kern w:val="0"/>
                      <w:sz w:val="21"/>
                      <w:szCs w:val="24"/>
                      <w:lang w:val="en-US" w:eastAsia="zh-CN" w:bidi="ar"/>
                    </w:rPr>
                    <w:t>为成型车间（设4条</w:t>
                  </w:r>
                  <w:r>
                    <w:rPr>
                      <w:rFonts w:hint="eastAsia" w:ascii="Times New Roman" w:hAnsi="Times New Roman" w:eastAsia="宋体" w:cs="var(--dsw-font-markdown-table)"/>
                      <w:color w:val="auto"/>
                      <w:kern w:val="0"/>
                      <w:sz w:val="21"/>
                      <w:szCs w:val="24"/>
                      <w:lang w:val="en-US" w:eastAsia="zh-CN" w:bidi="ar"/>
                    </w:rPr>
                    <w:t>成品组装</w:t>
                  </w:r>
                  <w:r>
                    <w:rPr>
                      <w:rFonts w:hint="default" w:ascii="Times New Roman" w:hAnsi="Times New Roman" w:eastAsia="宋体" w:cs="var(--dsw-font-markdown-table)"/>
                      <w:color w:val="auto"/>
                      <w:kern w:val="0"/>
                      <w:sz w:val="21"/>
                      <w:szCs w:val="24"/>
                      <w:lang w:val="en-US" w:eastAsia="zh-CN" w:bidi="ar"/>
                    </w:rPr>
                    <w:t>线）；5层</w:t>
                  </w:r>
                  <w:r>
                    <w:rPr>
                      <w:rFonts w:hint="eastAsia" w:ascii="Times New Roman" w:hAnsi="Times New Roman" w:eastAsia="宋体" w:cs="var(--dsw-font-markdown-table)"/>
                      <w:color w:val="auto"/>
                      <w:kern w:val="0"/>
                      <w:sz w:val="21"/>
                      <w:szCs w:val="24"/>
                      <w:lang w:val="en-US" w:eastAsia="zh-CN" w:bidi="ar"/>
                    </w:rPr>
                    <w:t>层高</w:t>
                  </w:r>
                  <w:r>
                    <w:rPr>
                      <w:rFonts w:hint="default" w:ascii="Times New Roman" w:hAnsi="Times New Roman" w:eastAsia="宋体" w:cs="var(--dsw-font-markdown-table)"/>
                      <w:color w:val="auto"/>
                      <w:kern w:val="0"/>
                      <w:sz w:val="21"/>
                      <w:szCs w:val="24"/>
                      <w:lang w:val="en-US" w:eastAsia="zh-CN" w:bidi="ar"/>
                    </w:rPr>
                    <w:t>为</w:t>
                  </w:r>
                  <w:r>
                    <w:rPr>
                      <w:rFonts w:hint="default" w:ascii="Times New Roman" w:hAnsi="Times New Roman" w:eastAsia="宋体" w:cs="Times New Roman"/>
                      <w:color w:val="auto"/>
                      <w:sz w:val="21"/>
                    </w:rPr>
                    <w:t>5.2</w:t>
                  </w:r>
                  <w:r>
                    <w:rPr>
                      <w:rFonts w:hint="eastAsia" w:ascii="Times New Roman" w:hAnsi="Times New Roman" w:eastAsia="宋体" w:cs="var(--dsw-font-markdown-table)"/>
                      <w:color w:val="auto"/>
                      <w:kern w:val="0"/>
                      <w:sz w:val="21"/>
                      <w:szCs w:val="24"/>
                      <w:lang w:val="en-US" w:eastAsia="zh-CN" w:bidi="ar"/>
                    </w:rPr>
                    <w:t>m，</w:t>
                  </w:r>
                  <w:r>
                    <w:rPr>
                      <w:rFonts w:hint="default" w:ascii="Times New Roman" w:hAnsi="Times New Roman" w:eastAsia="宋体" w:cs="var(--dsw-font-markdown-table)"/>
                      <w:color w:val="auto"/>
                      <w:kern w:val="0"/>
                      <w:sz w:val="21"/>
                      <w:szCs w:val="24"/>
                      <w:lang w:val="en-US" w:eastAsia="zh-CN" w:bidi="ar"/>
                    </w:rPr>
                    <w:t>为质检车间、成品仓库</w:t>
                  </w:r>
                  <w:r>
                    <w:rPr>
                      <w:rFonts w:hint="eastAsia" w:ascii="Times New Roman" w:hAnsi="Times New Roman" w:eastAsia="宋体" w:cs="var(--dsw-font-markdown-table)"/>
                      <w:color w:val="auto"/>
                      <w:kern w:val="0"/>
                      <w:sz w:val="21"/>
                      <w:szCs w:val="24"/>
                      <w:lang w:val="en-US" w:eastAsia="zh-CN" w:bidi="ar"/>
                    </w:rPr>
                    <w:t>和车间办公室</w:t>
                  </w:r>
                  <w:r>
                    <w:rPr>
                      <w:rFonts w:hint="default" w:ascii="Times New Roman" w:hAnsi="Times New Roman" w:eastAsia="宋体" w:cs="var(--dsw-font-markdown-table)"/>
                      <w:color w:val="auto"/>
                      <w:kern w:val="0"/>
                      <w:sz w:val="21"/>
                      <w:szCs w:val="24"/>
                      <w:lang w:val="en-US" w:eastAsia="zh-CN" w:bidi="ar"/>
                    </w:rPr>
                    <w:t>；6层</w:t>
                  </w:r>
                  <w:r>
                    <w:rPr>
                      <w:rFonts w:hint="eastAsia" w:ascii="Times New Roman" w:hAnsi="Times New Roman" w:eastAsia="宋体" w:cs="var(--dsw-font-markdown-table)"/>
                      <w:color w:val="auto"/>
                      <w:kern w:val="0"/>
                      <w:sz w:val="21"/>
                      <w:szCs w:val="24"/>
                      <w:lang w:val="en-US" w:eastAsia="zh-CN" w:bidi="ar"/>
                    </w:rPr>
                    <w:t>层高</w:t>
                  </w:r>
                  <w:r>
                    <w:rPr>
                      <w:rFonts w:hint="default" w:ascii="Times New Roman" w:hAnsi="Times New Roman" w:eastAsia="宋体" w:cs="var(--dsw-font-markdown-table)"/>
                      <w:color w:val="auto"/>
                      <w:kern w:val="0"/>
                      <w:sz w:val="21"/>
                      <w:szCs w:val="24"/>
                      <w:lang w:val="en-US" w:eastAsia="zh-CN" w:bidi="ar"/>
                    </w:rPr>
                    <w:t>为</w:t>
                  </w:r>
                  <w:r>
                    <w:rPr>
                      <w:rFonts w:hint="default" w:ascii="Times New Roman" w:hAnsi="Times New Roman" w:eastAsia="宋体" w:cs="Times New Roman"/>
                      <w:color w:val="auto"/>
                      <w:sz w:val="21"/>
                    </w:rPr>
                    <w:t>5.2</w:t>
                  </w:r>
                  <w:r>
                    <w:rPr>
                      <w:rFonts w:hint="eastAsia" w:ascii="Times New Roman" w:hAnsi="Times New Roman" w:eastAsia="宋体" w:cs="var(--dsw-font-markdown-table)"/>
                      <w:color w:val="auto"/>
                      <w:kern w:val="0"/>
                      <w:sz w:val="21"/>
                      <w:szCs w:val="24"/>
                      <w:lang w:val="en-US" w:eastAsia="zh-CN" w:bidi="ar"/>
                    </w:rPr>
                    <w:t>m，</w:t>
                  </w:r>
                  <w:r>
                    <w:rPr>
                      <w:rFonts w:hint="default" w:ascii="Times New Roman" w:hAnsi="Times New Roman" w:eastAsia="宋体" w:cs="var(--dsw-font-markdown-table)"/>
                      <w:color w:val="auto"/>
                      <w:kern w:val="0"/>
                      <w:sz w:val="21"/>
                      <w:szCs w:val="24"/>
                      <w:lang w:val="en-US" w:eastAsia="zh-CN" w:bidi="ar"/>
                    </w:rPr>
                    <w:t>为成型车间（设4条</w:t>
                  </w:r>
                  <w:r>
                    <w:rPr>
                      <w:rFonts w:hint="eastAsia" w:ascii="Times New Roman" w:hAnsi="Times New Roman" w:eastAsia="宋体" w:cs="var(--dsw-font-markdown-table)"/>
                      <w:color w:val="auto"/>
                      <w:kern w:val="0"/>
                      <w:sz w:val="21"/>
                      <w:szCs w:val="24"/>
                      <w:lang w:val="en-US" w:eastAsia="zh-CN" w:bidi="ar"/>
                    </w:rPr>
                    <w:t>成品</w:t>
                  </w:r>
                  <w:r>
                    <w:rPr>
                      <w:rFonts w:hint="default" w:ascii="Times New Roman" w:hAnsi="Times New Roman" w:eastAsia="宋体" w:cs="var(--dsw-font-markdown-table)"/>
                      <w:color w:val="auto"/>
                      <w:kern w:val="0"/>
                      <w:sz w:val="21"/>
                      <w:szCs w:val="24"/>
                      <w:lang w:val="en-US" w:eastAsia="zh-CN" w:bidi="ar"/>
                    </w:rPr>
                    <w:t>生产线）；7层</w:t>
                  </w:r>
                  <w:r>
                    <w:rPr>
                      <w:rFonts w:hint="eastAsia" w:ascii="Times New Roman" w:hAnsi="Times New Roman" w:eastAsia="宋体" w:cs="var(--dsw-font-markdown-table)"/>
                      <w:color w:val="auto"/>
                      <w:kern w:val="0"/>
                      <w:sz w:val="21"/>
                      <w:szCs w:val="24"/>
                      <w:lang w:val="en-US" w:eastAsia="zh-CN" w:bidi="ar"/>
                    </w:rPr>
                    <w:t>层高</w:t>
                  </w:r>
                  <w:r>
                    <w:rPr>
                      <w:rFonts w:hint="default" w:ascii="Times New Roman" w:hAnsi="Times New Roman" w:eastAsia="宋体" w:cs="var(--dsw-font-markdown-table)"/>
                      <w:color w:val="auto"/>
                      <w:kern w:val="0"/>
                      <w:sz w:val="21"/>
                      <w:szCs w:val="24"/>
                      <w:lang w:val="en-US" w:eastAsia="zh-CN" w:bidi="ar"/>
                    </w:rPr>
                    <w:t>为</w:t>
                  </w:r>
                  <w:r>
                    <w:rPr>
                      <w:rFonts w:hint="default" w:ascii="Times New Roman" w:hAnsi="Times New Roman" w:eastAsia="宋体" w:cs="Times New Roman"/>
                      <w:color w:val="auto"/>
                      <w:sz w:val="21"/>
                    </w:rPr>
                    <w:t>5.2</w:t>
                  </w:r>
                  <w:r>
                    <w:rPr>
                      <w:rFonts w:hint="eastAsia" w:ascii="Times New Roman" w:hAnsi="Times New Roman" w:eastAsia="宋体" w:cs="var(--dsw-font-markdown-table)"/>
                      <w:color w:val="auto"/>
                      <w:kern w:val="0"/>
                      <w:sz w:val="21"/>
                      <w:szCs w:val="24"/>
                      <w:lang w:val="en-US" w:eastAsia="zh-CN" w:bidi="ar"/>
                    </w:rPr>
                    <w:t>m，</w:t>
                  </w:r>
                  <w:r>
                    <w:rPr>
                      <w:rFonts w:hint="default" w:ascii="Times New Roman" w:hAnsi="Times New Roman" w:eastAsia="宋体" w:cs="var(--dsw-font-markdown-table)"/>
                      <w:color w:val="auto"/>
                      <w:kern w:val="0"/>
                      <w:sz w:val="21"/>
                      <w:szCs w:val="24"/>
                      <w:lang w:val="en-US" w:eastAsia="zh-CN" w:bidi="ar"/>
                    </w:rPr>
                    <w:t>为办公室和研发中心；8层</w:t>
                  </w:r>
                  <w:r>
                    <w:rPr>
                      <w:rFonts w:hint="eastAsia" w:ascii="Times New Roman" w:hAnsi="Times New Roman" w:eastAsia="宋体" w:cs="var(--dsw-font-markdown-table)"/>
                      <w:color w:val="auto"/>
                      <w:kern w:val="0"/>
                      <w:sz w:val="21"/>
                      <w:szCs w:val="24"/>
                      <w:lang w:val="en-US" w:eastAsia="zh-CN" w:bidi="ar"/>
                    </w:rPr>
                    <w:t>层高</w:t>
                  </w:r>
                  <w:r>
                    <w:rPr>
                      <w:rFonts w:hint="default" w:ascii="Times New Roman" w:hAnsi="Times New Roman" w:eastAsia="宋体" w:cs="var(--dsw-font-markdown-table)"/>
                      <w:color w:val="auto"/>
                      <w:kern w:val="0"/>
                      <w:sz w:val="21"/>
                      <w:szCs w:val="24"/>
                      <w:lang w:val="en-US" w:eastAsia="zh-CN" w:bidi="ar"/>
                    </w:rPr>
                    <w:t>为</w:t>
                  </w:r>
                  <w:r>
                    <w:rPr>
                      <w:rFonts w:hint="default" w:ascii="Times New Roman" w:hAnsi="Times New Roman" w:eastAsia="宋体" w:cs="Times New Roman"/>
                      <w:color w:val="auto"/>
                      <w:sz w:val="21"/>
                    </w:rPr>
                    <w:t>5.2</w:t>
                  </w:r>
                  <w:r>
                    <w:rPr>
                      <w:rFonts w:hint="eastAsia" w:ascii="Times New Roman" w:hAnsi="Times New Roman" w:eastAsia="宋体" w:cs="var(--dsw-font-markdown-table)"/>
                      <w:color w:val="auto"/>
                      <w:kern w:val="0"/>
                      <w:sz w:val="21"/>
                      <w:szCs w:val="24"/>
                      <w:lang w:val="en-US" w:eastAsia="zh-CN" w:bidi="ar"/>
                    </w:rPr>
                    <w:t>m，</w:t>
                  </w:r>
                  <w:r>
                    <w:rPr>
                      <w:rFonts w:hint="default" w:ascii="Times New Roman" w:hAnsi="Times New Roman" w:eastAsia="宋体" w:cs="var(--dsw-font-markdown-table)"/>
                      <w:color w:val="auto"/>
                      <w:kern w:val="0"/>
                      <w:sz w:val="21"/>
                      <w:szCs w:val="24"/>
                      <w:lang w:val="en-US" w:eastAsia="zh-CN" w:bidi="ar"/>
                    </w:rPr>
                    <w:t>为办公室、实验室和研发中心。</w:t>
                  </w:r>
                </w:p>
              </w:tc>
            </w:tr>
            <w:tr w14:paraId="66401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1248" w:type="dxa"/>
                  <w:vMerge w:val="continue"/>
                  <w:vAlign w:val="center"/>
                </w:tcPr>
                <w:p w14:paraId="1961364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eastAsia="宋体"/>
                      <w:color w:val="auto"/>
                      <w:sz w:val="21"/>
                      <w:vertAlign w:val="baseline"/>
                    </w:rPr>
                  </w:pPr>
                </w:p>
              </w:tc>
              <w:tc>
                <w:tcPr>
                  <w:tcW w:w="1179" w:type="dxa"/>
                  <w:vAlign w:val="center"/>
                </w:tcPr>
                <w:p w14:paraId="3A795E0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eastAsia="宋体"/>
                      <w:color w:val="auto"/>
                      <w:sz w:val="21"/>
                      <w:vertAlign w:val="baseline"/>
                    </w:rPr>
                  </w:pPr>
                  <w:r>
                    <w:rPr>
                      <w:rFonts w:hint="default" w:ascii="Times New Roman" w:hAnsi="Times New Roman" w:eastAsia="宋体" w:cs="var(--dsw-font-markdown-table)"/>
                      <w:color w:val="auto"/>
                      <w:kern w:val="0"/>
                      <w:sz w:val="21"/>
                      <w:szCs w:val="24"/>
                      <w:lang w:val="en-US" w:eastAsia="zh-CN" w:bidi="ar"/>
                    </w:rPr>
                    <w:t>2#厂房</w:t>
                  </w:r>
                </w:p>
              </w:tc>
              <w:tc>
                <w:tcPr>
                  <w:tcW w:w="7551" w:type="dxa"/>
                  <w:vAlign w:val="center"/>
                </w:tcPr>
                <w:p w14:paraId="0B0223F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rPr>
                      <w:rFonts w:hint="default" w:ascii="Times New Roman" w:hAnsi="Times New Roman" w:eastAsia="宋体"/>
                      <w:color w:val="auto"/>
                      <w:sz w:val="21"/>
                      <w:vertAlign w:val="baseline"/>
                    </w:rPr>
                  </w:pPr>
                  <w:r>
                    <w:rPr>
                      <w:rFonts w:hint="default" w:ascii="Times New Roman" w:hAnsi="Times New Roman" w:eastAsia="宋体" w:cs="var(--dsw-font-markdown-table)"/>
                      <w:color w:val="auto"/>
                      <w:kern w:val="0"/>
                      <w:sz w:val="21"/>
                      <w:szCs w:val="24"/>
                      <w:lang w:val="en-US" w:eastAsia="zh-CN" w:bidi="ar"/>
                    </w:rPr>
                    <w:t>1幢7层砖混结构厂房，占地面积</w:t>
                  </w:r>
                  <w:r>
                    <w:rPr>
                      <w:rFonts w:hint="eastAsia" w:ascii="Times New Roman" w:hAnsi="Times New Roman" w:eastAsia="宋体"/>
                      <w:color w:val="auto"/>
                      <w:sz w:val="21"/>
                      <w:szCs w:val="32"/>
                    </w:rPr>
                    <w:t>3881.99</w:t>
                  </w:r>
                  <w:r>
                    <w:rPr>
                      <w:rFonts w:hint="default" w:ascii="Times New Roman" w:hAnsi="Times New Roman" w:eastAsia="宋体" w:cs="var(--dsw-font-markdown-table)"/>
                      <w:color w:val="auto"/>
                      <w:kern w:val="0"/>
                      <w:sz w:val="21"/>
                      <w:szCs w:val="24"/>
                      <w:lang w:val="en-US" w:eastAsia="zh-CN" w:bidi="ar"/>
                    </w:rPr>
                    <w:t>m²，建筑面积</w:t>
                  </w:r>
                  <w:r>
                    <w:rPr>
                      <w:rFonts w:hint="eastAsia" w:ascii="Times New Roman" w:hAnsi="Times New Roman" w:eastAsia="宋体"/>
                      <w:color w:val="auto"/>
                      <w:sz w:val="21"/>
                      <w:szCs w:val="32"/>
                    </w:rPr>
                    <w:t>27358.35</w:t>
                  </w:r>
                  <w:r>
                    <w:rPr>
                      <w:rFonts w:hint="default" w:ascii="Times New Roman" w:hAnsi="Times New Roman" w:eastAsia="宋体" w:cs="var(--dsw-font-markdown-table)"/>
                      <w:color w:val="auto"/>
                      <w:kern w:val="0"/>
                      <w:sz w:val="21"/>
                      <w:szCs w:val="24"/>
                      <w:lang w:val="en-US" w:eastAsia="zh-CN" w:bidi="ar"/>
                    </w:rPr>
                    <w:t>m²</w:t>
                  </w:r>
                  <w:r>
                    <w:rPr>
                      <w:rFonts w:hint="eastAsia" w:ascii="Times New Roman" w:hAnsi="Times New Roman" w:eastAsia="宋体" w:cs="var(--dsw-font-markdown-table)"/>
                      <w:color w:val="auto"/>
                      <w:kern w:val="0"/>
                      <w:sz w:val="21"/>
                      <w:szCs w:val="24"/>
                      <w:lang w:val="en-US" w:eastAsia="zh-CN" w:bidi="ar"/>
                    </w:rPr>
                    <w:t>，建筑物总高度37.85m</w:t>
                  </w:r>
                  <w:r>
                    <w:rPr>
                      <w:rFonts w:hint="default" w:ascii="Times New Roman" w:hAnsi="Times New Roman" w:eastAsia="宋体" w:cs="var(--dsw-font-markdown-table)"/>
                      <w:color w:val="auto"/>
                      <w:kern w:val="0"/>
                      <w:sz w:val="21"/>
                      <w:szCs w:val="24"/>
                      <w:lang w:val="en-US" w:eastAsia="zh-CN" w:bidi="ar"/>
                    </w:rPr>
                    <w:t>。1层</w:t>
                  </w:r>
                  <w:r>
                    <w:rPr>
                      <w:rFonts w:hint="eastAsia" w:ascii="Times New Roman" w:hAnsi="Times New Roman" w:eastAsia="宋体" w:cs="var(--dsw-font-markdown-table)"/>
                      <w:color w:val="auto"/>
                      <w:kern w:val="0"/>
                      <w:sz w:val="21"/>
                      <w:szCs w:val="24"/>
                      <w:lang w:val="en-US" w:eastAsia="zh-CN" w:bidi="ar"/>
                    </w:rPr>
                    <w:t>层高</w:t>
                  </w:r>
                  <w:r>
                    <w:rPr>
                      <w:rFonts w:hint="default" w:ascii="Times New Roman" w:hAnsi="Times New Roman" w:eastAsia="宋体" w:cs="var(--dsw-font-markdown-table)"/>
                      <w:color w:val="auto"/>
                      <w:kern w:val="0"/>
                      <w:sz w:val="21"/>
                      <w:szCs w:val="24"/>
                      <w:lang w:val="en-US" w:eastAsia="zh-CN" w:bidi="ar"/>
                    </w:rPr>
                    <w:t>为</w:t>
                  </w:r>
                  <w:r>
                    <w:rPr>
                      <w:rFonts w:hint="eastAsia" w:ascii="Times New Roman" w:hAnsi="Times New Roman" w:eastAsia="宋体" w:cs="var(--dsw-font-markdown-table)"/>
                      <w:color w:val="auto"/>
                      <w:kern w:val="0"/>
                      <w:sz w:val="21"/>
                      <w:szCs w:val="24"/>
                      <w:lang w:val="en-US" w:eastAsia="zh-CN" w:bidi="ar"/>
                    </w:rPr>
                    <w:t>6.65m，</w:t>
                  </w:r>
                  <w:r>
                    <w:rPr>
                      <w:rFonts w:hint="default" w:ascii="Times New Roman" w:hAnsi="Times New Roman" w:eastAsia="宋体" w:cs="var(--dsw-font-markdown-table)"/>
                      <w:color w:val="auto"/>
                      <w:kern w:val="0"/>
                      <w:sz w:val="21"/>
                      <w:szCs w:val="24"/>
                      <w:lang w:val="en-US" w:eastAsia="zh-CN" w:bidi="ar"/>
                    </w:rPr>
                    <w:t>为裁断</w:t>
                  </w:r>
                  <w:r>
                    <w:rPr>
                      <w:rFonts w:hint="eastAsia" w:ascii="Times New Roman" w:hAnsi="Times New Roman" w:eastAsia="宋体" w:cs="var(--dsw-font-markdown-table)"/>
                      <w:color w:val="auto"/>
                      <w:kern w:val="0"/>
                      <w:sz w:val="21"/>
                      <w:szCs w:val="24"/>
                      <w:lang w:val="en-US" w:eastAsia="zh-CN" w:bidi="ar"/>
                    </w:rPr>
                    <w:t>区</w:t>
                  </w:r>
                  <w:r>
                    <w:rPr>
                      <w:rFonts w:hint="default" w:ascii="Times New Roman" w:hAnsi="Times New Roman" w:eastAsia="宋体" w:cs="var(--dsw-font-markdown-table)"/>
                      <w:color w:val="auto"/>
                      <w:kern w:val="0"/>
                      <w:sz w:val="21"/>
                      <w:szCs w:val="24"/>
                      <w:lang w:val="en-US" w:eastAsia="zh-CN" w:bidi="ar"/>
                    </w:rPr>
                    <w:t>和原材料仓库；2层</w:t>
                  </w:r>
                  <w:r>
                    <w:rPr>
                      <w:rFonts w:hint="eastAsia" w:ascii="Times New Roman" w:hAnsi="Times New Roman" w:eastAsia="宋体" w:cs="var(--dsw-font-markdown-table)"/>
                      <w:color w:val="auto"/>
                      <w:kern w:val="0"/>
                      <w:sz w:val="21"/>
                      <w:szCs w:val="24"/>
                      <w:lang w:val="en-US" w:eastAsia="zh-CN" w:bidi="ar"/>
                    </w:rPr>
                    <w:t>层高</w:t>
                  </w:r>
                  <w:r>
                    <w:rPr>
                      <w:rFonts w:hint="default" w:ascii="Times New Roman" w:hAnsi="Times New Roman" w:eastAsia="宋体" w:cs="var(--dsw-font-markdown-table)"/>
                      <w:color w:val="auto"/>
                      <w:kern w:val="0"/>
                      <w:sz w:val="21"/>
                      <w:szCs w:val="24"/>
                      <w:lang w:val="en-US" w:eastAsia="zh-CN" w:bidi="ar"/>
                    </w:rPr>
                    <w:t>为</w:t>
                  </w:r>
                  <w:r>
                    <w:rPr>
                      <w:rFonts w:hint="eastAsia" w:ascii="Times New Roman" w:hAnsi="Times New Roman" w:eastAsia="宋体" w:cs="var(--dsw-font-markdown-table)"/>
                      <w:color w:val="auto"/>
                      <w:kern w:val="0"/>
                      <w:sz w:val="21"/>
                      <w:szCs w:val="24"/>
                      <w:lang w:val="en-US" w:eastAsia="zh-CN" w:bidi="ar"/>
                    </w:rPr>
                    <w:t>5.2m，</w:t>
                  </w:r>
                  <w:r>
                    <w:rPr>
                      <w:rFonts w:hint="default" w:ascii="Times New Roman" w:hAnsi="Times New Roman" w:eastAsia="宋体" w:cs="var(--dsw-font-markdown-table)"/>
                      <w:color w:val="auto"/>
                      <w:kern w:val="0"/>
                      <w:sz w:val="21"/>
                      <w:szCs w:val="24"/>
                      <w:lang w:val="en-US" w:eastAsia="zh-CN" w:bidi="ar"/>
                    </w:rPr>
                    <w:t>为</w:t>
                  </w:r>
                  <w:r>
                    <w:rPr>
                      <w:rFonts w:hint="eastAsia" w:ascii="Times New Roman" w:hAnsi="Times New Roman" w:eastAsia="宋体" w:cs="var(--dsw-font-markdown-table)"/>
                      <w:color w:val="auto"/>
                      <w:kern w:val="0"/>
                      <w:sz w:val="21"/>
                      <w:szCs w:val="24"/>
                      <w:lang w:val="en-US" w:eastAsia="zh-CN" w:bidi="ar"/>
                    </w:rPr>
                    <w:t>鞋底制造车间</w:t>
                  </w:r>
                  <w:r>
                    <w:rPr>
                      <w:rFonts w:hint="default" w:ascii="Times New Roman" w:hAnsi="Times New Roman" w:eastAsia="宋体" w:cs="var(--dsw-font-markdown-table)"/>
                      <w:color w:val="auto"/>
                      <w:kern w:val="0"/>
                      <w:sz w:val="21"/>
                      <w:szCs w:val="24"/>
                      <w:lang w:val="en-US" w:eastAsia="zh-CN" w:bidi="ar"/>
                    </w:rPr>
                    <w:t>；3层</w:t>
                  </w:r>
                  <w:r>
                    <w:rPr>
                      <w:rFonts w:hint="eastAsia" w:ascii="Times New Roman" w:hAnsi="Times New Roman" w:eastAsia="宋体" w:cs="var(--dsw-font-markdown-table)"/>
                      <w:color w:val="auto"/>
                      <w:kern w:val="0"/>
                      <w:sz w:val="21"/>
                      <w:szCs w:val="24"/>
                      <w:lang w:val="en-US" w:eastAsia="zh-CN" w:bidi="ar"/>
                    </w:rPr>
                    <w:t>层高</w:t>
                  </w:r>
                  <w:r>
                    <w:rPr>
                      <w:rFonts w:hint="default" w:ascii="Times New Roman" w:hAnsi="Times New Roman" w:eastAsia="宋体" w:cs="var(--dsw-font-markdown-table)"/>
                      <w:color w:val="auto"/>
                      <w:kern w:val="0"/>
                      <w:sz w:val="21"/>
                      <w:szCs w:val="24"/>
                      <w:lang w:val="en-US" w:eastAsia="zh-CN" w:bidi="ar"/>
                    </w:rPr>
                    <w:t>为</w:t>
                  </w:r>
                  <w:r>
                    <w:rPr>
                      <w:rFonts w:hint="eastAsia" w:ascii="Times New Roman" w:hAnsi="Times New Roman" w:eastAsia="宋体" w:cs="var(--dsw-font-markdown-table)"/>
                      <w:color w:val="auto"/>
                      <w:kern w:val="0"/>
                      <w:sz w:val="21"/>
                      <w:szCs w:val="24"/>
                      <w:lang w:val="en-US" w:eastAsia="zh-CN" w:bidi="ar"/>
                    </w:rPr>
                    <w:t>5.2m，</w:t>
                  </w:r>
                  <w:r>
                    <w:rPr>
                      <w:rFonts w:hint="default" w:ascii="Times New Roman" w:hAnsi="Times New Roman" w:eastAsia="宋体" w:cs="var(--dsw-font-markdown-table)"/>
                      <w:color w:val="auto"/>
                      <w:kern w:val="0"/>
                      <w:sz w:val="21"/>
                      <w:szCs w:val="24"/>
                      <w:lang w:val="en-US" w:eastAsia="zh-CN" w:bidi="ar"/>
                    </w:rPr>
                    <w:t>为包装车间和成品仓库；</w:t>
                  </w:r>
                  <w:r>
                    <w:rPr>
                      <w:rFonts w:hint="eastAsia" w:cs="var(--dsw-font-markdown-table)"/>
                      <w:color w:val="auto"/>
                      <w:kern w:val="0"/>
                      <w:sz w:val="21"/>
                      <w:szCs w:val="24"/>
                      <w:lang w:val="en-US" w:eastAsia="zh-CN" w:bidi="ar"/>
                    </w:rPr>
                    <w:t>4层</w:t>
                  </w:r>
                  <w:r>
                    <w:rPr>
                      <w:rFonts w:hint="eastAsia" w:ascii="Times New Roman" w:hAnsi="Times New Roman" w:eastAsia="宋体" w:cs="var(--dsw-font-markdown-table)"/>
                      <w:color w:val="auto"/>
                      <w:kern w:val="0"/>
                      <w:sz w:val="21"/>
                      <w:szCs w:val="24"/>
                      <w:lang w:val="en-US" w:eastAsia="zh-CN" w:bidi="ar"/>
                    </w:rPr>
                    <w:t>高</w:t>
                  </w:r>
                  <w:r>
                    <w:rPr>
                      <w:rFonts w:hint="default" w:ascii="Times New Roman" w:hAnsi="Times New Roman" w:eastAsia="宋体" w:cs="var(--dsw-font-markdown-table)"/>
                      <w:color w:val="auto"/>
                      <w:kern w:val="0"/>
                      <w:sz w:val="21"/>
                      <w:szCs w:val="24"/>
                      <w:lang w:val="en-US" w:eastAsia="zh-CN" w:bidi="ar"/>
                    </w:rPr>
                    <w:t>为</w:t>
                  </w:r>
                  <w:r>
                    <w:rPr>
                      <w:rFonts w:hint="eastAsia" w:ascii="Times New Roman" w:hAnsi="Times New Roman" w:eastAsia="宋体" w:cs="var(--dsw-font-markdown-table)"/>
                      <w:color w:val="auto"/>
                      <w:kern w:val="0"/>
                      <w:sz w:val="21"/>
                      <w:szCs w:val="24"/>
                      <w:lang w:val="en-US" w:eastAsia="zh-CN" w:bidi="ar"/>
                    </w:rPr>
                    <w:t>5.2m，</w:t>
                  </w:r>
                  <w:r>
                    <w:rPr>
                      <w:rFonts w:hint="default" w:ascii="Times New Roman" w:hAnsi="Times New Roman" w:eastAsia="宋体" w:cs="var(--dsw-font-markdown-table)"/>
                      <w:color w:val="auto"/>
                      <w:kern w:val="0"/>
                      <w:sz w:val="21"/>
                      <w:szCs w:val="24"/>
                      <w:lang w:val="en-US" w:eastAsia="zh-CN" w:bidi="ar"/>
                    </w:rPr>
                    <w:t>为成型车间（设4条</w:t>
                  </w:r>
                  <w:r>
                    <w:rPr>
                      <w:rFonts w:hint="eastAsia" w:ascii="Times New Roman" w:hAnsi="Times New Roman" w:eastAsia="宋体" w:cs="var(--dsw-font-markdown-table)"/>
                      <w:color w:val="auto"/>
                      <w:kern w:val="0"/>
                      <w:sz w:val="21"/>
                      <w:szCs w:val="24"/>
                      <w:lang w:val="en-US" w:eastAsia="zh-CN" w:bidi="ar"/>
                    </w:rPr>
                    <w:t>成品组装</w:t>
                  </w:r>
                  <w:r>
                    <w:rPr>
                      <w:rFonts w:hint="default" w:ascii="Times New Roman" w:hAnsi="Times New Roman" w:eastAsia="宋体" w:cs="var(--dsw-font-markdown-table)"/>
                      <w:color w:val="auto"/>
                      <w:kern w:val="0"/>
                      <w:sz w:val="21"/>
                      <w:szCs w:val="24"/>
                      <w:lang w:val="en-US" w:eastAsia="zh-CN" w:bidi="ar"/>
                    </w:rPr>
                    <w:t>线）；5层</w:t>
                  </w:r>
                  <w:r>
                    <w:rPr>
                      <w:rFonts w:hint="eastAsia" w:ascii="Times New Roman" w:hAnsi="Times New Roman" w:eastAsia="宋体" w:cs="var(--dsw-font-markdown-table)"/>
                      <w:color w:val="auto"/>
                      <w:kern w:val="0"/>
                      <w:sz w:val="21"/>
                      <w:szCs w:val="24"/>
                      <w:lang w:val="en-US" w:eastAsia="zh-CN" w:bidi="ar"/>
                    </w:rPr>
                    <w:t>层高</w:t>
                  </w:r>
                  <w:r>
                    <w:rPr>
                      <w:rFonts w:hint="default" w:ascii="Times New Roman" w:hAnsi="Times New Roman" w:eastAsia="宋体" w:cs="var(--dsw-font-markdown-table)"/>
                      <w:color w:val="auto"/>
                      <w:kern w:val="0"/>
                      <w:sz w:val="21"/>
                      <w:szCs w:val="24"/>
                      <w:lang w:val="en-US" w:eastAsia="zh-CN" w:bidi="ar"/>
                    </w:rPr>
                    <w:t>为</w:t>
                  </w:r>
                  <w:r>
                    <w:rPr>
                      <w:rFonts w:hint="eastAsia" w:ascii="Times New Roman" w:hAnsi="Times New Roman" w:eastAsia="宋体" w:cs="var(--dsw-font-markdown-table)"/>
                      <w:color w:val="auto"/>
                      <w:kern w:val="0"/>
                      <w:sz w:val="21"/>
                      <w:szCs w:val="24"/>
                      <w:lang w:val="en-US" w:eastAsia="zh-CN" w:bidi="ar"/>
                    </w:rPr>
                    <w:t>5.2m，</w:t>
                  </w:r>
                  <w:r>
                    <w:rPr>
                      <w:rFonts w:hint="default" w:ascii="Times New Roman" w:hAnsi="Times New Roman" w:eastAsia="宋体" w:cs="var(--dsw-font-markdown-table)"/>
                      <w:color w:val="auto"/>
                      <w:kern w:val="0"/>
                      <w:sz w:val="21"/>
                      <w:szCs w:val="24"/>
                      <w:lang w:val="en-US" w:eastAsia="zh-CN" w:bidi="ar"/>
                    </w:rPr>
                    <w:t>为</w:t>
                  </w:r>
                  <w:r>
                    <w:rPr>
                      <w:rFonts w:hint="eastAsia" w:ascii="Times New Roman" w:hAnsi="Times New Roman" w:eastAsia="宋体" w:cs="var(--dsw-font-markdown-table)"/>
                      <w:color w:val="auto"/>
                      <w:kern w:val="0"/>
                      <w:sz w:val="21"/>
                      <w:szCs w:val="24"/>
                      <w:lang w:val="en-US" w:eastAsia="zh-CN" w:bidi="ar"/>
                    </w:rPr>
                    <w:t>鞋面</w:t>
                  </w:r>
                  <w:r>
                    <w:rPr>
                      <w:rFonts w:hint="default" w:ascii="Times New Roman" w:hAnsi="Times New Roman" w:eastAsia="宋体" w:cs="var(--dsw-font-markdown-table)"/>
                      <w:color w:val="auto"/>
                      <w:kern w:val="0"/>
                      <w:sz w:val="21"/>
                      <w:szCs w:val="24"/>
                      <w:lang w:val="en-US" w:eastAsia="zh-CN" w:bidi="ar"/>
                    </w:rPr>
                    <w:t>仓库和针车</w:t>
                  </w:r>
                  <w:r>
                    <w:rPr>
                      <w:rFonts w:hint="eastAsia" w:ascii="Times New Roman" w:hAnsi="Times New Roman" w:eastAsia="宋体" w:cs="var(--dsw-font-markdown-table)"/>
                      <w:color w:val="auto"/>
                      <w:kern w:val="0"/>
                      <w:sz w:val="21"/>
                      <w:szCs w:val="24"/>
                      <w:lang w:val="en-US" w:eastAsia="zh-CN" w:bidi="ar"/>
                    </w:rPr>
                    <w:t>车间（设针车、电脑车、切织带机、热烫机、印线机）</w:t>
                  </w:r>
                  <w:r>
                    <w:rPr>
                      <w:rFonts w:hint="default" w:ascii="Times New Roman" w:hAnsi="Times New Roman" w:eastAsia="宋体" w:cs="var(--dsw-font-markdown-table)"/>
                      <w:color w:val="auto"/>
                      <w:kern w:val="0"/>
                      <w:sz w:val="21"/>
                      <w:szCs w:val="24"/>
                      <w:lang w:val="en-US" w:eastAsia="zh-CN" w:bidi="ar"/>
                    </w:rPr>
                    <w:t>；6层</w:t>
                  </w:r>
                  <w:r>
                    <w:rPr>
                      <w:rFonts w:hint="eastAsia" w:ascii="Times New Roman" w:hAnsi="Times New Roman" w:eastAsia="宋体" w:cs="var(--dsw-font-markdown-table)"/>
                      <w:color w:val="auto"/>
                      <w:kern w:val="0"/>
                      <w:sz w:val="21"/>
                      <w:szCs w:val="24"/>
                      <w:lang w:val="en-US" w:eastAsia="zh-CN" w:bidi="ar"/>
                    </w:rPr>
                    <w:t>层高</w:t>
                  </w:r>
                  <w:r>
                    <w:rPr>
                      <w:rFonts w:hint="default" w:ascii="Times New Roman" w:hAnsi="Times New Roman" w:eastAsia="宋体" w:cs="var(--dsw-font-markdown-table)"/>
                      <w:color w:val="auto"/>
                      <w:kern w:val="0"/>
                      <w:sz w:val="21"/>
                      <w:szCs w:val="24"/>
                      <w:lang w:val="en-US" w:eastAsia="zh-CN" w:bidi="ar"/>
                    </w:rPr>
                    <w:t>为</w:t>
                  </w:r>
                  <w:r>
                    <w:rPr>
                      <w:rFonts w:hint="eastAsia" w:ascii="Times New Roman" w:hAnsi="Times New Roman" w:eastAsia="宋体" w:cs="var(--dsw-font-markdown-table)"/>
                      <w:color w:val="auto"/>
                      <w:kern w:val="0"/>
                      <w:sz w:val="21"/>
                      <w:szCs w:val="24"/>
                      <w:lang w:val="en-US" w:eastAsia="zh-CN" w:bidi="ar"/>
                    </w:rPr>
                    <w:t>5.2m，</w:t>
                  </w:r>
                  <w:r>
                    <w:rPr>
                      <w:rFonts w:hint="default" w:ascii="Times New Roman" w:hAnsi="Times New Roman" w:eastAsia="宋体" w:cs="var(--dsw-font-markdown-table)"/>
                      <w:color w:val="auto"/>
                      <w:kern w:val="0"/>
                      <w:sz w:val="21"/>
                      <w:szCs w:val="24"/>
                      <w:lang w:val="en-US" w:eastAsia="zh-CN" w:bidi="ar"/>
                    </w:rPr>
                    <w:t>为鞋面成型车间（设UV打印机、打转印纸机、熔断机、高周波、削皮机、激光切割机）；7层</w:t>
                  </w:r>
                  <w:r>
                    <w:rPr>
                      <w:rFonts w:hint="eastAsia" w:ascii="Times New Roman" w:hAnsi="Times New Roman" w:eastAsia="宋体" w:cs="var(--dsw-font-markdown-table)"/>
                      <w:color w:val="auto"/>
                      <w:kern w:val="0"/>
                      <w:sz w:val="21"/>
                      <w:szCs w:val="24"/>
                      <w:lang w:val="en-US" w:eastAsia="zh-CN" w:bidi="ar"/>
                    </w:rPr>
                    <w:t>层高</w:t>
                  </w:r>
                  <w:r>
                    <w:rPr>
                      <w:rFonts w:hint="default" w:ascii="Times New Roman" w:hAnsi="Times New Roman" w:eastAsia="宋体" w:cs="var(--dsw-font-markdown-table)"/>
                      <w:color w:val="auto"/>
                      <w:kern w:val="0"/>
                      <w:sz w:val="21"/>
                      <w:szCs w:val="24"/>
                      <w:lang w:val="en-US" w:eastAsia="zh-CN" w:bidi="ar"/>
                    </w:rPr>
                    <w:t>为</w:t>
                  </w:r>
                  <w:r>
                    <w:rPr>
                      <w:rFonts w:hint="eastAsia" w:ascii="Times New Roman" w:hAnsi="Times New Roman" w:eastAsia="宋体" w:cs="var(--dsw-font-markdown-table)"/>
                      <w:color w:val="auto"/>
                      <w:kern w:val="0"/>
                      <w:sz w:val="21"/>
                      <w:szCs w:val="24"/>
                      <w:lang w:val="en-US" w:eastAsia="zh-CN" w:bidi="ar"/>
                    </w:rPr>
                    <w:t>5.2m，</w:t>
                  </w:r>
                  <w:r>
                    <w:rPr>
                      <w:rFonts w:hint="default" w:ascii="Times New Roman" w:hAnsi="Times New Roman" w:eastAsia="宋体" w:cs="var(--dsw-font-markdown-table)"/>
                      <w:color w:val="auto"/>
                      <w:kern w:val="0"/>
                      <w:sz w:val="21"/>
                      <w:szCs w:val="24"/>
                      <w:lang w:val="en-US" w:eastAsia="zh-CN" w:bidi="ar"/>
                    </w:rPr>
                    <w:t>为印花车间（印花</w:t>
                  </w:r>
                  <w:r>
                    <w:rPr>
                      <w:rFonts w:hint="eastAsia" w:cs="var(--dsw-font-markdown-table)"/>
                      <w:color w:val="auto"/>
                      <w:kern w:val="0"/>
                      <w:sz w:val="21"/>
                      <w:szCs w:val="24"/>
                      <w:lang w:val="en-US" w:eastAsia="zh-CN" w:bidi="ar"/>
                    </w:rPr>
                    <w:t>跑台</w:t>
                  </w:r>
                  <w:r>
                    <w:rPr>
                      <w:rFonts w:hint="default" w:ascii="Times New Roman" w:hAnsi="Times New Roman" w:eastAsia="宋体" w:cs="var(--dsw-font-markdown-table)"/>
                      <w:color w:val="auto"/>
                      <w:kern w:val="0"/>
                      <w:sz w:val="21"/>
                      <w:szCs w:val="24"/>
                      <w:lang w:val="en-US" w:eastAsia="zh-CN" w:bidi="ar"/>
                    </w:rPr>
                    <w:t>、网版制作室）。</w:t>
                  </w:r>
                </w:p>
              </w:tc>
            </w:tr>
            <w:tr w14:paraId="53C3E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248" w:type="dxa"/>
                  <w:vMerge w:val="restart"/>
                  <w:vAlign w:val="center"/>
                </w:tcPr>
                <w:p w14:paraId="12E1DDA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eastAsia="宋体"/>
                      <w:color w:val="auto"/>
                      <w:sz w:val="21"/>
                      <w:vertAlign w:val="baseline"/>
                    </w:rPr>
                  </w:pPr>
                  <w:r>
                    <w:rPr>
                      <w:rFonts w:hint="default" w:ascii="Times New Roman" w:hAnsi="Times New Roman" w:eastAsia="宋体" w:cs="var(--dsw-font-markdown-table)"/>
                      <w:color w:val="auto"/>
                      <w:kern w:val="0"/>
                      <w:sz w:val="21"/>
                      <w:szCs w:val="24"/>
                      <w:lang w:val="en-US" w:eastAsia="zh-CN" w:bidi="ar"/>
                    </w:rPr>
                    <w:t>辅助工程</w:t>
                  </w:r>
                </w:p>
              </w:tc>
              <w:tc>
                <w:tcPr>
                  <w:tcW w:w="1179" w:type="dxa"/>
                  <w:vAlign w:val="center"/>
                </w:tcPr>
                <w:p w14:paraId="1A29E54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eastAsia="宋体"/>
                      <w:color w:val="auto"/>
                      <w:sz w:val="21"/>
                      <w:vertAlign w:val="baseline"/>
                    </w:rPr>
                  </w:pPr>
                  <w:r>
                    <w:rPr>
                      <w:rFonts w:hint="default" w:ascii="Times New Roman" w:hAnsi="Times New Roman" w:eastAsia="宋体" w:cs="var(--dsw-font-markdown-table)"/>
                      <w:color w:val="auto"/>
                      <w:kern w:val="0"/>
                      <w:sz w:val="21"/>
                      <w:szCs w:val="24"/>
                      <w:lang w:val="en-US" w:eastAsia="zh-CN" w:bidi="ar"/>
                    </w:rPr>
                    <w:t>3#宿舍</w:t>
                  </w:r>
                </w:p>
              </w:tc>
              <w:tc>
                <w:tcPr>
                  <w:tcW w:w="7551" w:type="dxa"/>
                  <w:vAlign w:val="center"/>
                </w:tcPr>
                <w:p w14:paraId="4461A9B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vertAlign w:val="baseline"/>
                    </w:rPr>
                  </w:pPr>
                  <w:r>
                    <w:rPr>
                      <w:rFonts w:hint="default" w:ascii="Times New Roman" w:hAnsi="Times New Roman" w:eastAsia="宋体" w:cs="var(--dsw-font-markdown-table)"/>
                      <w:color w:val="auto"/>
                      <w:kern w:val="0"/>
                      <w:sz w:val="21"/>
                      <w:szCs w:val="24"/>
                      <w:lang w:val="en-US" w:eastAsia="zh-CN" w:bidi="ar"/>
                    </w:rPr>
                    <w:t>1幢8层砖混结构，占地面积</w:t>
                  </w:r>
                  <w:r>
                    <w:rPr>
                      <w:rFonts w:hint="eastAsia" w:ascii="Times New Roman" w:hAnsi="Times New Roman" w:eastAsia="宋体"/>
                      <w:color w:val="auto"/>
                      <w:sz w:val="21"/>
                      <w:szCs w:val="32"/>
                    </w:rPr>
                    <w:t>1270.32</w:t>
                  </w:r>
                  <w:r>
                    <w:rPr>
                      <w:rFonts w:hint="default" w:ascii="Times New Roman" w:hAnsi="Times New Roman" w:eastAsia="宋体" w:cs="var(--dsw-font-markdown-table)"/>
                      <w:color w:val="auto"/>
                      <w:kern w:val="0"/>
                      <w:sz w:val="21"/>
                      <w:szCs w:val="24"/>
                      <w:lang w:val="en-US" w:eastAsia="zh-CN" w:bidi="ar"/>
                    </w:rPr>
                    <w:t>m²，建筑面积</w:t>
                  </w:r>
                  <w:r>
                    <w:rPr>
                      <w:rFonts w:hint="eastAsia" w:ascii="Times New Roman" w:hAnsi="Times New Roman" w:eastAsia="宋体"/>
                      <w:color w:val="auto"/>
                      <w:sz w:val="21"/>
                      <w:szCs w:val="32"/>
                    </w:rPr>
                    <w:t>7780.06</w:t>
                  </w:r>
                  <w:r>
                    <w:rPr>
                      <w:rFonts w:hint="default" w:ascii="Times New Roman" w:hAnsi="Times New Roman" w:eastAsia="宋体" w:cs="var(--dsw-font-markdown-table)"/>
                      <w:color w:val="auto"/>
                      <w:kern w:val="0"/>
                      <w:sz w:val="21"/>
                      <w:szCs w:val="24"/>
                      <w:lang w:val="en-US" w:eastAsia="zh-CN" w:bidi="ar"/>
                    </w:rPr>
                    <w:t>m²</w:t>
                  </w:r>
                  <w:r>
                    <w:rPr>
                      <w:rFonts w:hint="eastAsia" w:ascii="Times New Roman" w:hAnsi="Times New Roman" w:eastAsia="宋体" w:cs="var(--dsw-font-markdown-table)"/>
                      <w:color w:val="auto"/>
                      <w:kern w:val="0"/>
                      <w:sz w:val="21"/>
                      <w:szCs w:val="24"/>
                      <w:lang w:val="en-US" w:eastAsia="zh-CN" w:bidi="ar"/>
                    </w:rPr>
                    <w:t>，建筑物总高度31.35m</w:t>
                  </w:r>
                  <w:r>
                    <w:rPr>
                      <w:rFonts w:hint="default" w:ascii="Times New Roman" w:hAnsi="Times New Roman" w:eastAsia="宋体" w:cs="var(--dsw-font-markdown-table)"/>
                      <w:color w:val="auto"/>
                      <w:kern w:val="0"/>
                      <w:sz w:val="21"/>
                      <w:szCs w:val="24"/>
                      <w:lang w:val="en-US" w:eastAsia="zh-CN" w:bidi="ar"/>
                    </w:rPr>
                    <w:t>。1层</w:t>
                  </w:r>
                  <w:r>
                    <w:rPr>
                      <w:rFonts w:hint="eastAsia" w:ascii="Times New Roman" w:hAnsi="Times New Roman" w:eastAsia="宋体" w:cs="var(--dsw-font-markdown-table)"/>
                      <w:color w:val="auto"/>
                      <w:kern w:val="0"/>
                      <w:sz w:val="21"/>
                      <w:szCs w:val="24"/>
                      <w:lang w:val="en-US" w:eastAsia="zh-CN" w:bidi="ar"/>
                    </w:rPr>
                    <w:t>层高</w:t>
                  </w:r>
                  <w:r>
                    <w:rPr>
                      <w:rFonts w:hint="default" w:ascii="Times New Roman" w:hAnsi="Times New Roman" w:eastAsia="宋体" w:cs="var(--dsw-font-markdown-table)"/>
                      <w:color w:val="auto"/>
                      <w:kern w:val="0"/>
                      <w:sz w:val="21"/>
                      <w:szCs w:val="24"/>
                      <w:lang w:val="en-US" w:eastAsia="zh-CN" w:bidi="ar"/>
                    </w:rPr>
                    <w:t>为</w:t>
                  </w:r>
                  <w:r>
                    <w:rPr>
                      <w:rFonts w:hint="eastAsia" w:ascii="Times New Roman" w:hAnsi="Times New Roman" w:eastAsia="宋体" w:cs="var(--dsw-font-markdown-table)"/>
                      <w:color w:val="auto"/>
                      <w:kern w:val="0"/>
                      <w:sz w:val="21"/>
                      <w:szCs w:val="24"/>
                      <w:lang w:val="en-US" w:eastAsia="zh-CN" w:bidi="ar"/>
                    </w:rPr>
                    <w:t>6.15m，</w:t>
                  </w:r>
                  <w:r>
                    <w:rPr>
                      <w:rFonts w:hint="default" w:ascii="Times New Roman" w:hAnsi="Times New Roman" w:eastAsia="宋体" w:cs="var(--dsw-font-markdown-table)"/>
                      <w:color w:val="auto"/>
                      <w:kern w:val="0"/>
                      <w:sz w:val="21"/>
                      <w:szCs w:val="24"/>
                      <w:lang w:val="en-US" w:eastAsia="zh-CN" w:bidi="ar"/>
                    </w:rPr>
                    <w:t>为</w:t>
                  </w:r>
                  <w:r>
                    <w:rPr>
                      <w:rFonts w:hint="eastAsia" w:ascii="Times New Roman" w:hAnsi="Times New Roman" w:eastAsia="宋体" w:cs="var(--dsw-font-markdown-table)"/>
                      <w:color w:val="auto"/>
                      <w:kern w:val="0"/>
                      <w:sz w:val="21"/>
                      <w:szCs w:val="24"/>
                      <w:lang w:val="en-US" w:eastAsia="zh-CN" w:bidi="ar"/>
                    </w:rPr>
                    <w:t>员工食堂</w:t>
                  </w:r>
                  <w:r>
                    <w:rPr>
                      <w:rFonts w:hint="default" w:ascii="Times New Roman" w:hAnsi="Times New Roman" w:eastAsia="宋体" w:cs="var(--dsw-font-markdown-table)"/>
                      <w:color w:val="auto"/>
                      <w:kern w:val="0"/>
                      <w:sz w:val="21"/>
                      <w:szCs w:val="24"/>
                      <w:lang w:val="en-US" w:eastAsia="zh-CN" w:bidi="ar"/>
                    </w:rPr>
                    <w:t>；2</w:t>
                  </w:r>
                  <w:r>
                    <w:rPr>
                      <w:rFonts w:hint="eastAsia" w:ascii="Times New Roman" w:hAnsi="Times New Roman" w:eastAsia="宋体" w:cs="var(--dsw-font-markdown-table)"/>
                      <w:color w:val="auto"/>
                      <w:kern w:val="0"/>
                      <w:sz w:val="21"/>
                      <w:szCs w:val="24"/>
                      <w:lang w:val="en-US" w:eastAsia="zh-CN" w:bidi="ar"/>
                    </w:rPr>
                    <w:t>~8</w:t>
                  </w:r>
                  <w:r>
                    <w:rPr>
                      <w:rFonts w:hint="default" w:ascii="Times New Roman" w:hAnsi="Times New Roman" w:eastAsia="宋体" w:cs="var(--dsw-font-markdown-table)"/>
                      <w:color w:val="auto"/>
                      <w:kern w:val="0"/>
                      <w:sz w:val="21"/>
                      <w:szCs w:val="24"/>
                      <w:lang w:val="en-US" w:eastAsia="zh-CN" w:bidi="ar"/>
                    </w:rPr>
                    <w:t>层</w:t>
                  </w:r>
                  <w:r>
                    <w:rPr>
                      <w:rFonts w:hint="eastAsia" w:ascii="Times New Roman" w:hAnsi="Times New Roman" w:eastAsia="宋体" w:cs="var(--dsw-font-markdown-table)"/>
                      <w:color w:val="auto"/>
                      <w:kern w:val="0"/>
                      <w:sz w:val="21"/>
                      <w:szCs w:val="24"/>
                      <w:lang w:val="en-US" w:eastAsia="zh-CN" w:bidi="ar"/>
                    </w:rPr>
                    <w:t>层高</w:t>
                  </w:r>
                  <w:r>
                    <w:rPr>
                      <w:rFonts w:hint="default" w:ascii="Times New Roman" w:hAnsi="Times New Roman" w:eastAsia="宋体" w:cs="var(--dsw-font-markdown-table)"/>
                      <w:color w:val="auto"/>
                      <w:kern w:val="0"/>
                      <w:sz w:val="21"/>
                      <w:szCs w:val="24"/>
                      <w:lang w:val="en-US" w:eastAsia="zh-CN" w:bidi="ar"/>
                    </w:rPr>
                    <w:t>为</w:t>
                  </w:r>
                  <w:r>
                    <w:rPr>
                      <w:rFonts w:hint="eastAsia" w:ascii="Times New Roman" w:hAnsi="Times New Roman" w:eastAsia="宋体" w:cs="var(--dsw-font-markdown-table)"/>
                      <w:color w:val="auto"/>
                      <w:kern w:val="0"/>
                      <w:sz w:val="21"/>
                      <w:szCs w:val="24"/>
                      <w:lang w:val="en-US" w:eastAsia="zh-CN" w:bidi="ar"/>
                    </w:rPr>
                    <w:t>3.6m，</w:t>
                  </w:r>
                  <w:r>
                    <w:rPr>
                      <w:rFonts w:hint="default" w:ascii="Times New Roman" w:hAnsi="Times New Roman" w:eastAsia="宋体" w:cs="var(--dsw-font-markdown-table)"/>
                      <w:color w:val="auto"/>
                      <w:kern w:val="0"/>
                      <w:sz w:val="21"/>
                      <w:szCs w:val="24"/>
                      <w:lang w:val="en-US" w:eastAsia="zh-CN" w:bidi="ar"/>
                    </w:rPr>
                    <w:t>为员工住宿</w:t>
                  </w:r>
                  <w:r>
                    <w:rPr>
                      <w:rFonts w:hint="eastAsia" w:ascii="Times New Roman" w:hAnsi="Times New Roman" w:eastAsia="宋体" w:cs="var(--dsw-font-markdown-table)"/>
                      <w:color w:val="auto"/>
                      <w:kern w:val="0"/>
                      <w:sz w:val="21"/>
                      <w:szCs w:val="24"/>
                      <w:lang w:val="en-US" w:eastAsia="zh-CN" w:bidi="ar"/>
                    </w:rPr>
                    <w:t>；</w:t>
                  </w:r>
                </w:p>
              </w:tc>
            </w:tr>
            <w:tr w14:paraId="4E611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248" w:type="dxa"/>
                  <w:vMerge w:val="continue"/>
                  <w:vAlign w:val="center"/>
                </w:tcPr>
                <w:p w14:paraId="456A992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eastAsia="宋体"/>
                      <w:color w:val="auto"/>
                      <w:sz w:val="21"/>
                      <w:vertAlign w:val="baseline"/>
                    </w:rPr>
                  </w:pPr>
                </w:p>
              </w:tc>
              <w:tc>
                <w:tcPr>
                  <w:tcW w:w="1179" w:type="dxa"/>
                  <w:vAlign w:val="center"/>
                </w:tcPr>
                <w:p w14:paraId="5E90232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eastAsia="宋体"/>
                      <w:color w:val="auto"/>
                      <w:sz w:val="21"/>
                      <w:vertAlign w:val="baseline"/>
                    </w:rPr>
                  </w:pPr>
                  <w:r>
                    <w:rPr>
                      <w:rFonts w:hint="default" w:ascii="Times New Roman" w:hAnsi="Times New Roman" w:eastAsia="宋体" w:cs="var(--dsw-font-markdown-table)"/>
                      <w:color w:val="auto"/>
                      <w:kern w:val="0"/>
                      <w:sz w:val="21"/>
                      <w:szCs w:val="24"/>
                      <w:lang w:val="en-US" w:eastAsia="zh-CN" w:bidi="ar"/>
                    </w:rPr>
                    <w:t>4#</w:t>
                  </w:r>
                  <w:r>
                    <w:rPr>
                      <w:rFonts w:hint="eastAsia" w:cs="var(--dsw-font-markdown-table)"/>
                      <w:color w:val="auto"/>
                      <w:kern w:val="0"/>
                      <w:sz w:val="21"/>
                      <w:szCs w:val="24"/>
                      <w:lang w:val="en-US" w:eastAsia="zh-CN" w:bidi="ar"/>
                    </w:rPr>
                    <w:t>办公楼</w:t>
                  </w:r>
                </w:p>
              </w:tc>
              <w:tc>
                <w:tcPr>
                  <w:tcW w:w="7551" w:type="dxa"/>
                  <w:vAlign w:val="center"/>
                </w:tcPr>
                <w:p w14:paraId="27E935A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1幢地上8层、地下1层砖混结构，占地面积987.75m²，总建筑面积9854.38m²（含地下室4406.69m²），建筑物总高度40.65m。1层层高6.25m，2~8层层高4.9m。</w:t>
                  </w:r>
                  <w:r>
                    <w:rPr>
                      <w:rFonts w:hint="eastAsia" w:cs="var(--dsw-font-markdown-table)"/>
                      <w:color w:val="auto"/>
                      <w:kern w:val="0"/>
                      <w:sz w:val="21"/>
                      <w:szCs w:val="24"/>
                      <w:lang w:val="en-US" w:eastAsia="zh-CN" w:bidi="ar"/>
                    </w:rPr>
                    <w:t>全部用于人员办公</w:t>
                  </w:r>
                </w:p>
              </w:tc>
            </w:tr>
            <w:tr w14:paraId="22886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1248" w:type="dxa"/>
                  <w:vMerge w:val="continue"/>
                  <w:vAlign w:val="center"/>
                </w:tcPr>
                <w:p w14:paraId="2342972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eastAsia="宋体"/>
                      <w:color w:val="auto"/>
                      <w:sz w:val="21"/>
                      <w:vertAlign w:val="baseline"/>
                    </w:rPr>
                  </w:pPr>
                </w:p>
              </w:tc>
              <w:tc>
                <w:tcPr>
                  <w:tcW w:w="1179" w:type="dxa"/>
                  <w:vAlign w:val="center"/>
                </w:tcPr>
                <w:p w14:paraId="0D7EA5E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eastAsia="宋体"/>
                      <w:color w:val="auto"/>
                      <w:sz w:val="21"/>
                      <w:vertAlign w:val="baseline"/>
                    </w:rPr>
                  </w:pPr>
                  <w:r>
                    <w:rPr>
                      <w:rFonts w:hint="default" w:ascii="Times New Roman" w:hAnsi="Times New Roman" w:eastAsia="宋体" w:cs="var(--dsw-font-markdown-table)"/>
                      <w:color w:val="auto"/>
                      <w:kern w:val="0"/>
                      <w:sz w:val="21"/>
                      <w:szCs w:val="24"/>
                      <w:lang w:val="en-US" w:eastAsia="zh-CN" w:bidi="ar"/>
                    </w:rPr>
                    <w:t>5</w:t>
                  </w:r>
                  <w:r>
                    <w:rPr>
                      <w:rFonts w:hint="eastAsia" w:cs="var(--dsw-font-markdown-table)"/>
                      <w:color w:val="auto"/>
                      <w:kern w:val="0"/>
                      <w:sz w:val="21"/>
                      <w:szCs w:val="24"/>
                      <w:lang w:val="en-US" w:eastAsia="zh-CN" w:bidi="ar"/>
                    </w:rPr>
                    <w:t>、</w:t>
                  </w:r>
                  <w:r>
                    <w:rPr>
                      <w:rFonts w:hint="default" w:ascii="Times New Roman" w:hAnsi="Times New Roman" w:eastAsia="宋体" w:cs="var(--dsw-font-markdown-table)"/>
                      <w:color w:val="auto"/>
                      <w:kern w:val="0"/>
                      <w:sz w:val="21"/>
                      <w:szCs w:val="24"/>
                      <w:lang w:val="en-US" w:eastAsia="zh-CN" w:bidi="ar"/>
                    </w:rPr>
                    <w:t>6#门卫室</w:t>
                  </w:r>
                </w:p>
              </w:tc>
              <w:tc>
                <w:tcPr>
                  <w:tcW w:w="7551" w:type="dxa"/>
                  <w:vAlign w:val="center"/>
                </w:tcPr>
                <w:p w14:paraId="550A7A3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vertAlign w:val="baseline"/>
                      <w:lang w:val="en-US"/>
                    </w:rPr>
                  </w:pPr>
                  <w:r>
                    <w:rPr>
                      <w:rFonts w:hint="default" w:ascii="Times New Roman" w:hAnsi="Times New Roman" w:eastAsia="宋体" w:cs="var(--dsw-font-markdown-table)"/>
                      <w:color w:val="auto"/>
                      <w:kern w:val="0"/>
                      <w:sz w:val="21"/>
                      <w:szCs w:val="24"/>
                      <w:lang w:val="en-US" w:eastAsia="zh-CN" w:bidi="ar"/>
                    </w:rPr>
                    <w:t>2幢1层砖混结构</w:t>
                  </w:r>
                  <w:r>
                    <w:rPr>
                      <w:rFonts w:hint="eastAsia" w:ascii="Times New Roman" w:hAnsi="Times New Roman" w:eastAsia="宋体" w:cs="var(--dsw-font-markdown-table)"/>
                      <w:color w:val="auto"/>
                      <w:kern w:val="0"/>
                      <w:sz w:val="21"/>
                      <w:szCs w:val="24"/>
                      <w:lang w:val="en-US" w:eastAsia="zh-CN" w:bidi="ar"/>
                    </w:rPr>
                    <w:t>，5#门卫室</w:t>
                  </w:r>
                  <w:r>
                    <w:rPr>
                      <w:rFonts w:hint="default" w:ascii="Times New Roman" w:hAnsi="Times New Roman" w:eastAsia="宋体" w:cs="var(--dsw-font-markdown-table)"/>
                      <w:color w:val="auto"/>
                      <w:kern w:val="0"/>
                      <w:sz w:val="21"/>
                      <w:szCs w:val="24"/>
                      <w:lang w:val="en-US" w:eastAsia="zh-CN" w:bidi="ar"/>
                    </w:rPr>
                    <w:t>占地面积</w:t>
                  </w:r>
                  <w:r>
                    <w:rPr>
                      <w:rFonts w:hint="eastAsia" w:ascii="Times New Roman" w:hAnsi="Times New Roman" w:eastAsia="宋体"/>
                      <w:color w:val="auto"/>
                      <w:sz w:val="21"/>
                      <w:szCs w:val="32"/>
                    </w:rPr>
                    <w:t>98.93</w:t>
                  </w:r>
                  <w:r>
                    <w:rPr>
                      <w:rFonts w:hint="default" w:ascii="Times New Roman" w:hAnsi="Times New Roman" w:eastAsia="宋体" w:cs="var(--dsw-font-markdown-table)"/>
                      <w:color w:val="auto"/>
                      <w:kern w:val="0"/>
                      <w:sz w:val="21"/>
                      <w:szCs w:val="24"/>
                      <w:lang w:val="en-US" w:eastAsia="zh-CN" w:bidi="ar"/>
                    </w:rPr>
                    <w:t>m²，建筑面积</w:t>
                  </w:r>
                  <w:r>
                    <w:rPr>
                      <w:rFonts w:hint="eastAsia" w:ascii="Times New Roman" w:hAnsi="Times New Roman" w:eastAsia="宋体"/>
                      <w:color w:val="auto"/>
                      <w:sz w:val="21"/>
                      <w:szCs w:val="32"/>
                    </w:rPr>
                    <w:t>98.93</w:t>
                  </w:r>
                  <w:r>
                    <w:rPr>
                      <w:rFonts w:hint="default" w:ascii="Times New Roman" w:hAnsi="Times New Roman" w:eastAsia="宋体" w:cs="var(--dsw-font-markdown-table)"/>
                      <w:color w:val="auto"/>
                      <w:kern w:val="0"/>
                      <w:sz w:val="21"/>
                      <w:szCs w:val="24"/>
                      <w:lang w:val="en-US" w:eastAsia="zh-CN" w:bidi="ar"/>
                    </w:rPr>
                    <w:t>m²</w:t>
                  </w:r>
                  <w:r>
                    <w:rPr>
                      <w:rFonts w:hint="eastAsia" w:ascii="Times New Roman" w:hAnsi="Times New Roman" w:eastAsia="宋体" w:cs="var(--dsw-font-markdown-table)"/>
                      <w:color w:val="auto"/>
                      <w:kern w:val="0"/>
                      <w:sz w:val="21"/>
                      <w:szCs w:val="24"/>
                      <w:lang w:val="en-US" w:eastAsia="zh-CN" w:bidi="ar"/>
                    </w:rPr>
                    <w:t>，高7.15米；6#门卫室</w:t>
                  </w:r>
                  <w:r>
                    <w:rPr>
                      <w:rFonts w:hint="default" w:ascii="Times New Roman" w:hAnsi="Times New Roman" w:eastAsia="宋体" w:cs="var(--dsw-font-markdown-table)"/>
                      <w:color w:val="auto"/>
                      <w:kern w:val="0"/>
                      <w:sz w:val="21"/>
                      <w:szCs w:val="24"/>
                      <w:lang w:val="en-US" w:eastAsia="zh-CN" w:bidi="ar"/>
                    </w:rPr>
                    <w:t>占地面积</w:t>
                  </w:r>
                  <w:r>
                    <w:rPr>
                      <w:rFonts w:hint="eastAsia" w:ascii="Times New Roman" w:hAnsi="Times New Roman" w:eastAsia="宋体"/>
                      <w:color w:val="auto"/>
                      <w:sz w:val="21"/>
                      <w:szCs w:val="32"/>
                    </w:rPr>
                    <w:t>21.77</w:t>
                  </w:r>
                  <w:r>
                    <w:rPr>
                      <w:rFonts w:hint="default" w:ascii="Times New Roman" w:hAnsi="Times New Roman" w:eastAsia="宋体" w:cs="var(--dsw-font-markdown-table)"/>
                      <w:color w:val="auto"/>
                      <w:kern w:val="0"/>
                      <w:sz w:val="21"/>
                      <w:szCs w:val="24"/>
                      <w:lang w:val="en-US" w:eastAsia="zh-CN" w:bidi="ar"/>
                    </w:rPr>
                    <w:t>m²，建筑面积</w:t>
                  </w:r>
                  <w:r>
                    <w:rPr>
                      <w:rFonts w:hint="eastAsia" w:ascii="Times New Roman" w:hAnsi="Times New Roman" w:eastAsia="宋体"/>
                      <w:color w:val="auto"/>
                      <w:sz w:val="21"/>
                      <w:szCs w:val="32"/>
                    </w:rPr>
                    <w:t>21.77</w:t>
                  </w:r>
                  <w:r>
                    <w:rPr>
                      <w:rFonts w:hint="default" w:ascii="Times New Roman" w:hAnsi="Times New Roman" w:eastAsia="宋体" w:cs="var(--dsw-font-markdown-table)"/>
                      <w:color w:val="auto"/>
                      <w:kern w:val="0"/>
                      <w:sz w:val="21"/>
                      <w:szCs w:val="24"/>
                      <w:lang w:val="en-US" w:eastAsia="zh-CN" w:bidi="ar"/>
                    </w:rPr>
                    <w:t>m²</w:t>
                  </w:r>
                  <w:r>
                    <w:rPr>
                      <w:rFonts w:hint="eastAsia" w:ascii="Times New Roman" w:hAnsi="Times New Roman" w:eastAsia="宋体" w:cs="var(--dsw-font-markdown-table)"/>
                      <w:color w:val="auto"/>
                      <w:kern w:val="0"/>
                      <w:sz w:val="21"/>
                      <w:szCs w:val="24"/>
                      <w:lang w:val="en-US" w:eastAsia="zh-CN" w:bidi="ar"/>
                    </w:rPr>
                    <w:t>，高3.15m；</w:t>
                  </w:r>
                </w:p>
              </w:tc>
            </w:tr>
            <w:tr w14:paraId="3D6D0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248" w:type="dxa"/>
                  <w:vMerge w:val="continue"/>
                  <w:vAlign w:val="center"/>
                </w:tcPr>
                <w:p w14:paraId="055A950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eastAsia="宋体"/>
                      <w:color w:val="auto"/>
                      <w:sz w:val="21"/>
                      <w:vertAlign w:val="baseline"/>
                    </w:rPr>
                  </w:pPr>
                </w:p>
              </w:tc>
              <w:tc>
                <w:tcPr>
                  <w:tcW w:w="1179" w:type="dxa"/>
                  <w:vAlign w:val="center"/>
                </w:tcPr>
                <w:p w14:paraId="28EA3CA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eastAsia="宋体"/>
                      <w:color w:val="auto"/>
                      <w:sz w:val="21"/>
                      <w:vertAlign w:val="baseline"/>
                    </w:rPr>
                  </w:pPr>
                  <w:r>
                    <w:rPr>
                      <w:rFonts w:hint="default" w:ascii="Times New Roman" w:hAnsi="Times New Roman" w:eastAsia="宋体" w:cs="var(--dsw-font-markdown-table)"/>
                      <w:color w:val="auto"/>
                      <w:kern w:val="0"/>
                      <w:sz w:val="21"/>
                      <w:szCs w:val="24"/>
                      <w:lang w:val="en-US" w:eastAsia="zh-CN" w:bidi="ar"/>
                    </w:rPr>
                    <w:t>7#仓库</w:t>
                  </w:r>
                </w:p>
              </w:tc>
              <w:tc>
                <w:tcPr>
                  <w:tcW w:w="7551" w:type="dxa"/>
                  <w:vAlign w:val="center"/>
                </w:tcPr>
                <w:p w14:paraId="4F85903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1幢1层砖混结构，占地面积48.58m²，建筑面积48.58m²，高5.15m，用作危险废物暂存间。</w:t>
                  </w:r>
                </w:p>
              </w:tc>
            </w:tr>
            <w:tr w14:paraId="6B3BC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1248" w:type="dxa"/>
                  <w:vMerge w:val="restart"/>
                  <w:vAlign w:val="center"/>
                </w:tcPr>
                <w:p w14:paraId="176BF18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eastAsia="宋体"/>
                      <w:color w:val="auto"/>
                      <w:sz w:val="21"/>
                      <w:vertAlign w:val="baseline"/>
                    </w:rPr>
                  </w:pPr>
                  <w:r>
                    <w:rPr>
                      <w:rFonts w:hint="default" w:ascii="Times New Roman" w:hAnsi="Times New Roman" w:eastAsia="宋体" w:cs="var(--dsw-font-markdown-table)"/>
                      <w:color w:val="auto"/>
                      <w:kern w:val="0"/>
                      <w:sz w:val="21"/>
                      <w:szCs w:val="24"/>
                      <w:lang w:val="en-US" w:eastAsia="zh-CN" w:bidi="ar"/>
                    </w:rPr>
                    <w:t>公用工程</w:t>
                  </w:r>
                </w:p>
              </w:tc>
              <w:tc>
                <w:tcPr>
                  <w:tcW w:w="1179" w:type="dxa"/>
                  <w:vAlign w:val="center"/>
                </w:tcPr>
                <w:p w14:paraId="67966A9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eastAsia="宋体"/>
                      <w:color w:val="auto"/>
                      <w:sz w:val="21"/>
                      <w:vertAlign w:val="baseline"/>
                    </w:rPr>
                  </w:pPr>
                  <w:r>
                    <w:rPr>
                      <w:rFonts w:hint="default" w:ascii="Times New Roman" w:hAnsi="Times New Roman" w:eastAsia="宋体" w:cs="var(--dsw-font-markdown-table)"/>
                      <w:color w:val="auto"/>
                      <w:kern w:val="0"/>
                      <w:sz w:val="21"/>
                      <w:szCs w:val="24"/>
                      <w:lang w:val="en-US" w:eastAsia="zh-CN" w:bidi="ar"/>
                    </w:rPr>
                    <w:t>供水</w:t>
                  </w:r>
                </w:p>
              </w:tc>
              <w:tc>
                <w:tcPr>
                  <w:tcW w:w="7551" w:type="dxa"/>
                  <w:vAlign w:val="center"/>
                </w:tcPr>
                <w:p w14:paraId="144B62A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color w:val="auto"/>
                      <w:sz w:val="21"/>
                      <w:vertAlign w:val="baseline"/>
                    </w:rPr>
                  </w:pPr>
                  <w:r>
                    <w:rPr>
                      <w:rFonts w:hint="default" w:ascii="Times New Roman" w:hAnsi="Times New Roman" w:eastAsia="宋体" w:cs="var(--dsw-font-markdown-table)"/>
                      <w:color w:val="auto"/>
                      <w:kern w:val="0"/>
                      <w:sz w:val="21"/>
                      <w:szCs w:val="24"/>
                      <w:lang w:val="en-US" w:eastAsia="zh-CN" w:bidi="ar"/>
                    </w:rPr>
                    <w:t>由市政管网供给</w:t>
                  </w:r>
                </w:p>
              </w:tc>
            </w:tr>
            <w:tr w14:paraId="30310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1248" w:type="dxa"/>
                  <w:vMerge w:val="continue"/>
                  <w:vAlign w:val="center"/>
                </w:tcPr>
                <w:p w14:paraId="5483B31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var(--dsw-font-markdown-table)"/>
                      <w:color w:val="auto"/>
                      <w:kern w:val="0"/>
                      <w:sz w:val="21"/>
                      <w:szCs w:val="24"/>
                      <w:lang w:val="en-US" w:eastAsia="zh-CN" w:bidi="ar"/>
                    </w:rPr>
                  </w:pPr>
                </w:p>
              </w:tc>
              <w:tc>
                <w:tcPr>
                  <w:tcW w:w="1179" w:type="dxa"/>
                  <w:vAlign w:val="center"/>
                </w:tcPr>
                <w:p w14:paraId="3984273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供电</w:t>
                  </w:r>
                </w:p>
              </w:tc>
              <w:tc>
                <w:tcPr>
                  <w:tcW w:w="7551" w:type="dxa"/>
                  <w:vAlign w:val="center"/>
                </w:tcPr>
                <w:p w14:paraId="001D522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由市政电网供给</w:t>
                  </w:r>
                </w:p>
              </w:tc>
            </w:tr>
            <w:tr w14:paraId="4F45F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248" w:type="dxa"/>
                  <w:vMerge w:val="restart"/>
                  <w:vAlign w:val="center"/>
                </w:tcPr>
                <w:p w14:paraId="2451B9B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环保工程</w:t>
                  </w:r>
                </w:p>
              </w:tc>
              <w:tc>
                <w:tcPr>
                  <w:tcW w:w="1179" w:type="dxa"/>
                  <w:vMerge w:val="restart"/>
                  <w:vAlign w:val="center"/>
                </w:tcPr>
                <w:p w14:paraId="3545316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废气</w:t>
                  </w:r>
                </w:p>
              </w:tc>
              <w:tc>
                <w:tcPr>
                  <w:tcW w:w="7551" w:type="dxa"/>
                  <w:vAlign w:val="center"/>
                </w:tcPr>
                <w:p w14:paraId="0F88FA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①</w:t>
                  </w:r>
                  <w:r>
                    <w:rPr>
                      <w:rFonts w:hint="default" w:ascii="Times New Roman" w:hAnsi="Times New Roman" w:eastAsia="宋体" w:cs="Segoe UI"/>
                      <w:b w:val="0"/>
                      <w:bCs w:val="0"/>
                      <w:i w:val="0"/>
                      <w:iCs w:val="0"/>
                      <w:caps w:val="0"/>
                      <w:color w:val="auto"/>
                      <w:spacing w:val="0"/>
                      <w:sz w:val="21"/>
                      <w:szCs w:val="24"/>
                      <w:shd w:val="clear" w:fill="FFFFFF"/>
                    </w:rPr>
                    <w:t>拌料、发泡、打粗</w:t>
                  </w:r>
                  <w:r>
                    <w:rPr>
                      <w:rFonts w:hint="eastAsia" w:ascii="Times New Roman" w:hAnsi="Times New Roman" w:cs="Segoe UI"/>
                      <w:b w:val="0"/>
                      <w:bCs w:val="0"/>
                      <w:i w:val="0"/>
                      <w:iCs w:val="0"/>
                      <w:caps w:val="0"/>
                      <w:color w:val="auto"/>
                      <w:spacing w:val="0"/>
                      <w:sz w:val="21"/>
                      <w:szCs w:val="24"/>
                      <w:shd w:val="clear" w:fill="FFFFFF"/>
                      <w:lang w:eastAsia="zh-CN"/>
                    </w:rPr>
                    <w:t>、</w:t>
                  </w:r>
                  <w:r>
                    <w:rPr>
                      <w:rFonts w:hint="default" w:ascii="Times New Roman" w:hAnsi="Times New Roman" w:eastAsia="宋体" w:cs="Segoe UI"/>
                      <w:b w:val="0"/>
                      <w:bCs w:val="0"/>
                      <w:i w:val="0"/>
                      <w:iCs w:val="0"/>
                      <w:caps w:val="0"/>
                      <w:color w:val="auto"/>
                      <w:spacing w:val="0"/>
                      <w:sz w:val="21"/>
                      <w:szCs w:val="24"/>
                      <w:shd w:val="clear" w:fill="FFFFFF"/>
                    </w:rPr>
                    <w:t>刷处理剂、</w:t>
                  </w:r>
                  <w:r>
                    <w:rPr>
                      <w:rFonts w:hint="eastAsia" w:cs="Segoe UI"/>
                      <w:b w:val="0"/>
                      <w:bCs w:val="0"/>
                      <w:i w:val="0"/>
                      <w:iCs w:val="0"/>
                      <w:caps w:val="0"/>
                      <w:color w:val="auto"/>
                      <w:spacing w:val="0"/>
                      <w:sz w:val="21"/>
                      <w:szCs w:val="24"/>
                      <w:shd w:val="clear" w:fill="FFFFFF"/>
                      <w:lang w:val="en-US" w:eastAsia="zh-CN"/>
                    </w:rPr>
                    <w:t>清洁、</w:t>
                  </w:r>
                  <w:r>
                    <w:rPr>
                      <w:rFonts w:hint="default" w:ascii="Times New Roman" w:hAnsi="Times New Roman" w:eastAsia="宋体" w:cs="Segoe UI"/>
                      <w:b w:val="0"/>
                      <w:bCs w:val="0"/>
                      <w:i w:val="0"/>
                      <w:iCs w:val="0"/>
                      <w:caps w:val="0"/>
                      <w:color w:val="auto"/>
                      <w:spacing w:val="0"/>
                      <w:sz w:val="21"/>
                      <w:szCs w:val="24"/>
                      <w:shd w:val="clear" w:fill="FFFFFF"/>
                    </w:rPr>
                    <w:t>刷胶</w:t>
                  </w:r>
                  <w:r>
                    <w:rPr>
                      <w:rFonts w:hint="eastAsia" w:ascii="Times New Roman" w:hAnsi="Times New Roman" w:cs="Segoe UI"/>
                      <w:b w:val="0"/>
                      <w:bCs w:val="0"/>
                      <w:i w:val="0"/>
                      <w:iCs w:val="0"/>
                      <w:caps w:val="0"/>
                      <w:color w:val="auto"/>
                      <w:spacing w:val="0"/>
                      <w:sz w:val="21"/>
                      <w:szCs w:val="24"/>
                      <w:shd w:val="clear" w:fill="FFFFFF"/>
                      <w:lang w:val="en-US" w:eastAsia="zh-CN"/>
                    </w:rPr>
                    <w:t>工序</w:t>
                  </w:r>
                  <w:r>
                    <w:rPr>
                      <w:rFonts w:hint="eastAsia" w:cs="Segoe UI"/>
                      <w:b w:val="0"/>
                      <w:bCs w:val="0"/>
                      <w:i w:val="0"/>
                      <w:iCs w:val="0"/>
                      <w:caps w:val="0"/>
                      <w:color w:val="auto"/>
                      <w:spacing w:val="0"/>
                      <w:sz w:val="21"/>
                      <w:szCs w:val="24"/>
                      <w:shd w:val="clear" w:fill="FFFFFF"/>
                      <w:lang w:val="en-US" w:eastAsia="zh-CN"/>
                    </w:rPr>
                    <w:t>及烘干</w:t>
                  </w:r>
                  <w:r>
                    <w:rPr>
                      <w:rFonts w:hint="default" w:ascii="Times New Roman" w:hAnsi="Times New Roman" w:eastAsia="宋体" w:cs="Segoe UI"/>
                      <w:b w:val="0"/>
                      <w:bCs w:val="0"/>
                      <w:i w:val="0"/>
                      <w:iCs w:val="0"/>
                      <w:caps w:val="0"/>
                      <w:color w:val="auto"/>
                      <w:spacing w:val="0"/>
                      <w:sz w:val="21"/>
                      <w:szCs w:val="24"/>
                      <w:shd w:val="clear" w:fill="FFFFFF"/>
                    </w:rPr>
                    <w:t>通过外部集气罩进行收集</w:t>
                  </w:r>
                  <w:r>
                    <w:rPr>
                      <w:rFonts w:hint="eastAsia" w:cs="Segoe UI"/>
                      <w:b w:val="0"/>
                      <w:bCs w:val="0"/>
                      <w:i w:val="0"/>
                      <w:iCs w:val="0"/>
                      <w:caps w:val="0"/>
                      <w:color w:val="auto"/>
                      <w:spacing w:val="0"/>
                      <w:sz w:val="21"/>
                      <w:szCs w:val="24"/>
                      <w:shd w:val="clear" w:fill="FFFFFF"/>
                      <w:lang w:eastAsia="zh-CN"/>
                    </w:rPr>
                    <w:t>，</w:t>
                  </w:r>
                  <w:r>
                    <w:rPr>
                      <w:rFonts w:hint="default" w:ascii="Times New Roman" w:hAnsi="Times New Roman" w:eastAsia="宋体" w:cs="var(--dsw-font-markdown-table)"/>
                      <w:b w:val="0"/>
                      <w:bCs w:val="0"/>
                      <w:color w:val="auto"/>
                      <w:kern w:val="0"/>
                      <w:sz w:val="21"/>
                      <w:szCs w:val="24"/>
                      <w:lang w:val="en-US" w:eastAsia="zh-CN" w:bidi="ar"/>
                    </w:rPr>
                    <w:t>废气统一引入一套“滤筒除尘器+二级活性炭吸附装置”处理后经50m高排气筒（G1）排放</w:t>
                  </w:r>
                </w:p>
              </w:tc>
            </w:tr>
            <w:tr w14:paraId="23C36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248" w:type="dxa"/>
                  <w:vMerge w:val="continue"/>
                  <w:vAlign w:val="center"/>
                </w:tcPr>
                <w:p w14:paraId="4E97DEF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1179" w:type="dxa"/>
                  <w:vMerge w:val="continue"/>
                  <w:vAlign w:val="center"/>
                </w:tcPr>
                <w:p w14:paraId="6917A2C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7551" w:type="dxa"/>
                  <w:shd w:val="clear" w:color="auto" w:fill="auto"/>
                  <w:vAlign w:val="center"/>
                </w:tcPr>
                <w:p w14:paraId="1C3DC0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b w:val="0"/>
                      <w:bCs w:val="0"/>
                      <w:color w:val="auto"/>
                      <w:kern w:val="2"/>
                      <w:sz w:val="21"/>
                      <w:szCs w:val="24"/>
                      <w:vertAlign w:val="baseline"/>
                      <w:lang w:val="en-US" w:eastAsia="zh-CN" w:bidi="ar-SA"/>
                    </w:rPr>
                  </w:pPr>
                  <w:r>
                    <w:rPr>
                      <w:rFonts w:hint="eastAsia" w:cs="var(--dsw-font-markdown-table)"/>
                      <w:b w:val="0"/>
                      <w:bCs w:val="0"/>
                      <w:color w:val="auto"/>
                      <w:kern w:val="0"/>
                      <w:sz w:val="21"/>
                      <w:szCs w:val="24"/>
                      <w:lang w:val="en-US" w:eastAsia="zh-CN" w:bidi="ar"/>
                    </w:rPr>
                    <w:t>②</w:t>
                  </w:r>
                  <w:r>
                    <w:rPr>
                      <w:rFonts w:hint="default" w:ascii="Times New Roman" w:hAnsi="Times New Roman" w:eastAsia="宋体" w:cs="var(--dsw-font-markdown-table)"/>
                      <w:b w:val="0"/>
                      <w:bCs w:val="0"/>
                      <w:color w:val="auto"/>
                      <w:kern w:val="0"/>
                      <w:sz w:val="21"/>
                      <w:szCs w:val="24"/>
                      <w:lang w:val="en-US" w:eastAsia="zh-CN" w:bidi="ar"/>
                    </w:rPr>
                    <w:t>刷处理剂、</w:t>
                  </w:r>
                  <w:r>
                    <w:rPr>
                      <w:rFonts w:hint="eastAsia" w:cs="var(--dsw-font-markdown-table)"/>
                      <w:b w:val="0"/>
                      <w:bCs w:val="0"/>
                      <w:color w:val="auto"/>
                      <w:kern w:val="0"/>
                      <w:sz w:val="21"/>
                      <w:szCs w:val="24"/>
                      <w:lang w:val="en-US" w:eastAsia="zh-CN" w:bidi="ar"/>
                    </w:rPr>
                    <w:t>清洁、</w:t>
                  </w:r>
                  <w:r>
                    <w:rPr>
                      <w:rFonts w:hint="default" w:ascii="Times New Roman" w:hAnsi="Times New Roman" w:eastAsia="宋体" w:cs="var(--dsw-font-markdown-table)"/>
                      <w:b w:val="0"/>
                      <w:bCs w:val="0"/>
                      <w:color w:val="auto"/>
                      <w:kern w:val="0"/>
                      <w:sz w:val="21"/>
                      <w:szCs w:val="24"/>
                      <w:lang w:val="en-US" w:eastAsia="zh-CN" w:bidi="ar"/>
                    </w:rPr>
                    <w:t>刷胶工序废气经工位集气罩收集后引入“二级活性炭吸附装置”处理，分别经50m高排气筒（</w:t>
                  </w:r>
                  <w:r>
                    <w:rPr>
                      <w:rFonts w:hint="eastAsia" w:cs="var(--dsw-font-markdown-table)"/>
                      <w:b w:val="0"/>
                      <w:bCs w:val="0"/>
                      <w:color w:val="auto"/>
                      <w:kern w:val="0"/>
                      <w:sz w:val="21"/>
                      <w:szCs w:val="24"/>
                      <w:lang w:val="en-US" w:eastAsia="zh-CN" w:bidi="ar"/>
                    </w:rPr>
                    <w:t>G2~G7</w:t>
                  </w:r>
                  <w:r>
                    <w:rPr>
                      <w:rFonts w:hint="default" w:ascii="Times New Roman" w:hAnsi="Times New Roman" w:eastAsia="宋体" w:cs="var(--dsw-font-markdown-table)"/>
                      <w:b w:val="0"/>
                      <w:bCs w:val="0"/>
                      <w:color w:val="auto"/>
                      <w:kern w:val="0"/>
                      <w:sz w:val="21"/>
                      <w:szCs w:val="24"/>
                      <w:lang w:val="en-US" w:eastAsia="zh-CN" w:bidi="ar"/>
                    </w:rPr>
                    <w:t>）排放</w:t>
                  </w:r>
                  <w:r>
                    <w:rPr>
                      <w:rFonts w:hint="eastAsia" w:cs="var(--dsw-font-markdown-table)"/>
                      <w:b w:val="0"/>
                      <w:bCs w:val="0"/>
                      <w:color w:val="auto"/>
                      <w:kern w:val="0"/>
                      <w:sz w:val="21"/>
                      <w:szCs w:val="24"/>
                      <w:lang w:val="en-US" w:eastAsia="zh-CN" w:bidi="ar"/>
                    </w:rPr>
                    <w:t>；</w:t>
                  </w:r>
                </w:p>
              </w:tc>
            </w:tr>
            <w:tr w14:paraId="5426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248" w:type="dxa"/>
                  <w:vMerge w:val="continue"/>
                  <w:vAlign w:val="center"/>
                </w:tcPr>
                <w:p w14:paraId="261F631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1179" w:type="dxa"/>
                  <w:vMerge w:val="continue"/>
                  <w:vAlign w:val="center"/>
                </w:tcPr>
                <w:p w14:paraId="297C201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7551" w:type="dxa"/>
                  <w:shd w:val="clear" w:color="auto" w:fill="auto"/>
                  <w:vAlign w:val="center"/>
                </w:tcPr>
                <w:p w14:paraId="664331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③鞋面制造工序（UV打印、打转印纸）</w:t>
                  </w:r>
                  <w:r>
                    <w:rPr>
                      <w:rFonts w:hint="eastAsia" w:ascii="Times New Roman" w:hAnsi="Times New Roman" w:eastAsia="宋体" w:cs="var(--dsw-font-markdown-table)"/>
                      <w:b w:val="0"/>
                      <w:bCs w:val="0"/>
                      <w:color w:val="auto"/>
                      <w:kern w:val="0"/>
                      <w:sz w:val="21"/>
                      <w:szCs w:val="24"/>
                      <w:lang w:val="en-US" w:eastAsia="zh-CN" w:bidi="ar"/>
                    </w:rPr>
                    <w:t>工序废气</w:t>
                  </w:r>
                  <w:r>
                    <w:rPr>
                      <w:rFonts w:hint="default" w:ascii="Times New Roman" w:hAnsi="Times New Roman" w:eastAsia="宋体" w:cs="var(--dsw-font-markdown-table)"/>
                      <w:b w:val="0"/>
                      <w:bCs w:val="0"/>
                      <w:color w:val="auto"/>
                      <w:kern w:val="0"/>
                      <w:sz w:val="21"/>
                      <w:szCs w:val="24"/>
                      <w:lang w:val="en-US" w:eastAsia="zh-CN" w:bidi="ar"/>
                    </w:rPr>
                    <w:t>经</w:t>
                  </w:r>
                  <w:r>
                    <w:rPr>
                      <w:rFonts w:hint="eastAsia" w:ascii="Times New Roman" w:hAnsi="Times New Roman" w:eastAsia="宋体" w:cs="Segoe UI"/>
                      <w:b w:val="0"/>
                      <w:bCs w:val="0"/>
                      <w:i w:val="0"/>
                      <w:iCs w:val="0"/>
                      <w:caps w:val="0"/>
                      <w:strike w:val="0"/>
                      <w:color w:val="auto"/>
                      <w:spacing w:val="0"/>
                      <w:sz w:val="21"/>
                      <w:szCs w:val="24"/>
                      <w:u w:val="none"/>
                      <w:lang w:val="en-US" w:eastAsia="zh-CN"/>
                    </w:rPr>
                    <w:t>车间密闭收集</w:t>
                  </w:r>
                  <w:r>
                    <w:rPr>
                      <w:rFonts w:hint="default" w:ascii="Times New Roman" w:hAnsi="Times New Roman" w:eastAsia="宋体" w:cs="var(--dsw-font-markdown-table)"/>
                      <w:b w:val="0"/>
                      <w:bCs w:val="0"/>
                      <w:color w:val="auto"/>
                      <w:kern w:val="0"/>
                      <w:sz w:val="21"/>
                      <w:szCs w:val="24"/>
                      <w:lang w:val="en-US" w:eastAsia="zh-CN" w:bidi="ar"/>
                    </w:rPr>
                    <w:t>后引入“二级活性炭吸附装置”处理，经50m高排气筒（</w:t>
                  </w:r>
                  <w:r>
                    <w:rPr>
                      <w:rFonts w:hint="eastAsia" w:cs="var(--dsw-font-markdown-table)"/>
                      <w:b w:val="0"/>
                      <w:bCs w:val="0"/>
                      <w:color w:val="auto"/>
                      <w:kern w:val="0"/>
                      <w:sz w:val="21"/>
                      <w:szCs w:val="24"/>
                      <w:lang w:val="en-US" w:eastAsia="zh-CN" w:bidi="ar"/>
                    </w:rPr>
                    <w:t>G9</w:t>
                  </w:r>
                  <w:r>
                    <w:rPr>
                      <w:rFonts w:hint="default" w:ascii="Times New Roman" w:hAnsi="Times New Roman" w:eastAsia="宋体" w:cs="var(--dsw-font-markdown-table)"/>
                      <w:b w:val="0"/>
                      <w:bCs w:val="0"/>
                      <w:color w:val="auto"/>
                      <w:kern w:val="0"/>
                      <w:sz w:val="21"/>
                      <w:szCs w:val="24"/>
                      <w:lang w:val="en-US" w:eastAsia="zh-CN" w:bidi="ar"/>
                    </w:rPr>
                    <w:t>）排放</w:t>
                  </w:r>
                  <w:r>
                    <w:rPr>
                      <w:rFonts w:hint="eastAsia" w:cs="var(--dsw-font-markdown-table)"/>
                      <w:b w:val="0"/>
                      <w:bCs w:val="0"/>
                      <w:color w:val="auto"/>
                      <w:kern w:val="0"/>
                      <w:sz w:val="21"/>
                      <w:szCs w:val="24"/>
                      <w:lang w:val="en-US" w:eastAsia="zh-CN" w:bidi="ar"/>
                    </w:rPr>
                    <w:t>；</w:t>
                  </w:r>
                </w:p>
              </w:tc>
            </w:tr>
            <w:tr w14:paraId="40469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248" w:type="dxa"/>
                  <w:vMerge w:val="continue"/>
                  <w:vAlign w:val="center"/>
                </w:tcPr>
                <w:p w14:paraId="58A4E22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1179" w:type="dxa"/>
                  <w:vMerge w:val="continue"/>
                  <w:vAlign w:val="center"/>
                </w:tcPr>
                <w:p w14:paraId="58D8E7C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7551" w:type="dxa"/>
                  <w:vAlign w:val="center"/>
                </w:tcPr>
                <w:p w14:paraId="2E4F45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④鞋面制造工序（激光切割、丝印、热转印/高频/热压/熔断/烫布标）</w:t>
                  </w:r>
                  <w:r>
                    <w:rPr>
                      <w:rFonts w:hint="eastAsia" w:cs="var(--dsw-font-markdown-table)"/>
                      <w:b w:val="0"/>
                      <w:bCs w:val="0"/>
                      <w:color w:val="auto"/>
                      <w:kern w:val="0"/>
                      <w:sz w:val="21"/>
                      <w:szCs w:val="24"/>
                      <w:lang w:val="en-US" w:eastAsia="zh-CN" w:bidi="ar"/>
                    </w:rPr>
                    <w:t>产生的废气量</w:t>
                  </w:r>
                  <w:r>
                    <w:rPr>
                      <w:rFonts w:hint="default" w:ascii="Times New Roman" w:hAnsi="Times New Roman" w:eastAsia="宋体" w:cs="var(--dsw-font-markdown-table)"/>
                      <w:b w:val="0"/>
                      <w:bCs w:val="0"/>
                      <w:color w:val="auto"/>
                      <w:kern w:val="0"/>
                      <w:sz w:val="21"/>
                      <w:szCs w:val="24"/>
                      <w:lang w:val="en-US" w:eastAsia="zh-CN" w:bidi="ar"/>
                    </w:rPr>
                    <w:t>极少，经加强车间通风换气后以无组织形式排放。</w:t>
                  </w:r>
                </w:p>
              </w:tc>
            </w:tr>
            <w:tr w14:paraId="2ACB8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248" w:type="dxa"/>
                  <w:vMerge w:val="continue"/>
                  <w:vAlign w:val="center"/>
                </w:tcPr>
                <w:p w14:paraId="2831817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1179" w:type="dxa"/>
                  <w:vMerge w:val="continue"/>
                  <w:vAlign w:val="center"/>
                </w:tcPr>
                <w:p w14:paraId="7870B86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7551" w:type="dxa"/>
                  <w:vAlign w:val="center"/>
                </w:tcPr>
                <w:p w14:paraId="593C4A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eastAsia" w:ascii="微软雅黑" w:hAnsi="微软雅黑" w:eastAsia="微软雅黑" w:cs="微软雅黑"/>
                      <w:b w:val="0"/>
                      <w:bCs w:val="0"/>
                      <w:color w:val="auto"/>
                      <w:kern w:val="0"/>
                      <w:sz w:val="21"/>
                      <w:szCs w:val="24"/>
                      <w:lang w:val="en-US" w:eastAsia="zh-CN" w:bidi="ar"/>
                    </w:rPr>
                    <w:t>⑤</w:t>
                  </w:r>
                  <w:r>
                    <w:rPr>
                      <w:rFonts w:hint="default" w:ascii="Times New Roman" w:hAnsi="Times New Roman" w:eastAsia="宋体" w:cs="var(--dsw-font-markdown-table)"/>
                      <w:b w:val="0"/>
                      <w:bCs w:val="0"/>
                      <w:color w:val="auto"/>
                      <w:kern w:val="0"/>
                      <w:sz w:val="21"/>
                      <w:szCs w:val="24"/>
                      <w:lang w:val="en-US" w:eastAsia="zh-CN" w:bidi="ar"/>
                    </w:rPr>
                    <w:t>食堂油烟：食堂烹饪油烟经运水烟罩+静电油烟净化器处理后，引至3#宿舍楼楼顶高空排放（</w:t>
                  </w:r>
                  <w:r>
                    <w:rPr>
                      <w:rFonts w:hint="eastAsia" w:cs="var(--dsw-font-markdown-table)"/>
                      <w:b w:val="0"/>
                      <w:bCs w:val="0"/>
                      <w:color w:val="auto"/>
                      <w:kern w:val="0"/>
                      <w:sz w:val="21"/>
                      <w:szCs w:val="24"/>
                      <w:lang w:val="en-US" w:eastAsia="zh-CN" w:bidi="ar"/>
                    </w:rPr>
                    <w:t>G8</w:t>
                  </w:r>
                  <w:r>
                    <w:rPr>
                      <w:rFonts w:hint="default" w:ascii="Times New Roman" w:hAnsi="Times New Roman" w:eastAsia="宋体" w:cs="var(--dsw-font-markdown-table)"/>
                      <w:b w:val="0"/>
                      <w:bCs w:val="0"/>
                      <w:color w:val="auto"/>
                      <w:kern w:val="0"/>
                      <w:sz w:val="21"/>
                      <w:szCs w:val="24"/>
                      <w:lang w:val="en-US" w:eastAsia="zh-CN" w:bidi="ar"/>
                    </w:rPr>
                    <w:t>）。</w:t>
                  </w:r>
                </w:p>
              </w:tc>
            </w:tr>
            <w:tr w14:paraId="0FA7E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248" w:type="dxa"/>
                  <w:vMerge w:val="continue"/>
                  <w:vAlign w:val="center"/>
                </w:tcPr>
                <w:p w14:paraId="50EDAD1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1179" w:type="dxa"/>
                  <w:vMerge w:val="continue"/>
                  <w:vAlign w:val="center"/>
                </w:tcPr>
                <w:p w14:paraId="0DB3138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7551" w:type="dxa"/>
                  <w:vAlign w:val="center"/>
                </w:tcPr>
                <w:p w14:paraId="4ACF53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b w:val="0"/>
                      <w:bCs w:val="0"/>
                      <w:color w:val="auto"/>
                      <w:kern w:val="0"/>
                      <w:sz w:val="21"/>
                      <w:szCs w:val="24"/>
                      <w:lang w:val="en-US" w:eastAsia="zh-CN" w:bidi="ar"/>
                    </w:rPr>
                  </w:pPr>
                  <w:r>
                    <w:rPr>
                      <w:rFonts w:hint="eastAsia" w:ascii="微软雅黑" w:hAnsi="微软雅黑" w:eastAsia="微软雅黑" w:cs="微软雅黑"/>
                      <w:b w:val="0"/>
                      <w:bCs w:val="0"/>
                      <w:color w:val="auto"/>
                      <w:kern w:val="0"/>
                      <w:sz w:val="21"/>
                      <w:szCs w:val="24"/>
                      <w:lang w:val="en-US" w:eastAsia="zh-CN" w:bidi="ar"/>
                    </w:rPr>
                    <w:t>⑥</w:t>
                  </w:r>
                  <w:r>
                    <w:rPr>
                      <w:rFonts w:hint="default" w:ascii="Times New Roman" w:hAnsi="Times New Roman" w:eastAsia="宋体" w:cs="var(--dsw-font-markdown-table)"/>
                      <w:b w:val="0"/>
                      <w:bCs w:val="0"/>
                      <w:color w:val="auto"/>
                      <w:kern w:val="0"/>
                      <w:sz w:val="21"/>
                      <w:szCs w:val="24"/>
                      <w:lang w:val="en-US" w:eastAsia="zh-CN" w:bidi="ar"/>
                    </w:rPr>
                    <w:t>成品组装工序（补胶、打粗、加热定型）加强车间通风换气，无组织排放</w:t>
                  </w:r>
                </w:p>
              </w:tc>
            </w:tr>
            <w:tr w14:paraId="44907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248" w:type="dxa"/>
                  <w:vMerge w:val="continue"/>
                  <w:vAlign w:val="center"/>
                </w:tcPr>
                <w:p w14:paraId="1150BB5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var(--dsw-font-markdown-table)"/>
                      <w:color w:val="auto"/>
                      <w:kern w:val="0"/>
                      <w:sz w:val="21"/>
                      <w:szCs w:val="24"/>
                      <w:lang w:val="en-US" w:eastAsia="zh-CN" w:bidi="ar"/>
                    </w:rPr>
                  </w:pPr>
                </w:p>
              </w:tc>
              <w:tc>
                <w:tcPr>
                  <w:tcW w:w="1179" w:type="dxa"/>
                  <w:vAlign w:val="center"/>
                </w:tcPr>
                <w:p w14:paraId="59547F2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废水</w:t>
                  </w:r>
                </w:p>
              </w:tc>
              <w:tc>
                <w:tcPr>
                  <w:tcW w:w="7551" w:type="dxa"/>
                  <w:vAlign w:val="center"/>
                </w:tcPr>
                <w:p w14:paraId="0131EBE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eastAsia"/>
                      <w:color w:val="auto"/>
                      <w:kern w:val="0"/>
                      <w:sz w:val="21"/>
                      <w:szCs w:val="21"/>
                      <w:highlight w:val="none"/>
                      <w:lang w:val="en-US" w:eastAsia="zh-CN"/>
                    </w:rPr>
                    <w:t>生</w:t>
                  </w:r>
                  <w:r>
                    <w:rPr>
                      <w:rFonts w:hint="default" w:eastAsia="宋体"/>
                      <w:color w:val="auto"/>
                      <w:kern w:val="0"/>
                      <w:sz w:val="21"/>
                      <w:szCs w:val="21"/>
                      <w:highlight w:val="none"/>
                    </w:rPr>
                    <w:t>活污水经三级化粪池预处理达标后排入中山市污水处理有限公司集中处理，生产废水</w:t>
                  </w:r>
                  <w:r>
                    <w:rPr>
                      <w:rFonts w:hint="default" w:eastAsia="宋体"/>
                      <w:color w:val="auto"/>
                      <w:sz w:val="21"/>
                      <w:szCs w:val="21"/>
                      <w:highlight w:val="none"/>
                    </w:rPr>
                    <w:t>委托给有处理能力的废水处理机构处理</w:t>
                  </w:r>
                </w:p>
              </w:tc>
            </w:tr>
            <w:tr w14:paraId="069AE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1248" w:type="dxa"/>
                  <w:vMerge w:val="continue"/>
                  <w:vAlign w:val="center"/>
                </w:tcPr>
                <w:p w14:paraId="219D680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var(--dsw-font-markdown-table)"/>
                      <w:color w:val="auto"/>
                      <w:kern w:val="0"/>
                      <w:sz w:val="21"/>
                      <w:szCs w:val="24"/>
                      <w:lang w:val="en-US" w:eastAsia="zh-CN" w:bidi="ar"/>
                    </w:rPr>
                  </w:pPr>
                </w:p>
              </w:tc>
              <w:tc>
                <w:tcPr>
                  <w:tcW w:w="1179" w:type="dxa"/>
                  <w:vAlign w:val="center"/>
                </w:tcPr>
                <w:p w14:paraId="2C28A27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噪声</w:t>
                  </w:r>
                </w:p>
              </w:tc>
              <w:tc>
                <w:tcPr>
                  <w:tcW w:w="7551" w:type="dxa"/>
                  <w:vAlign w:val="center"/>
                </w:tcPr>
                <w:p w14:paraId="71F5A78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经减震、墙体隔声措施；合理布局车间高噪声设备</w:t>
                  </w:r>
                </w:p>
              </w:tc>
            </w:tr>
            <w:tr w14:paraId="19A56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248" w:type="dxa"/>
                  <w:vMerge w:val="continue"/>
                  <w:vAlign w:val="center"/>
                </w:tcPr>
                <w:p w14:paraId="3137505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var(--dsw-font-markdown-table)"/>
                      <w:color w:val="auto"/>
                      <w:kern w:val="0"/>
                      <w:sz w:val="21"/>
                      <w:szCs w:val="24"/>
                      <w:lang w:val="en-US" w:eastAsia="zh-CN" w:bidi="ar"/>
                    </w:rPr>
                  </w:pPr>
                </w:p>
              </w:tc>
              <w:tc>
                <w:tcPr>
                  <w:tcW w:w="1179" w:type="dxa"/>
                  <w:vAlign w:val="center"/>
                </w:tcPr>
                <w:p w14:paraId="24A8B36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固废</w:t>
                  </w:r>
                </w:p>
              </w:tc>
              <w:tc>
                <w:tcPr>
                  <w:tcW w:w="7551" w:type="dxa"/>
                  <w:vAlign w:val="center"/>
                </w:tcPr>
                <w:p w14:paraId="4C3BA57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一般固废收集后交</w:t>
                  </w:r>
                  <w:r>
                    <w:rPr>
                      <w:rFonts w:hint="eastAsia" w:cs="var(--dsw-font-markdown-table)"/>
                      <w:color w:val="auto"/>
                      <w:kern w:val="0"/>
                      <w:sz w:val="21"/>
                      <w:szCs w:val="24"/>
                      <w:lang w:val="en-US" w:eastAsia="zh-CN" w:bidi="ar"/>
                    </w:rPr>
                    <w:t>由具</w:t>
                  </w:r>
                  <w:r>
                    <w:rPr>
                      <w:rFonts w:hint="default" w:ascii="Times New Roman" w:hAnsi="Times New Roman" w:eastAsia="宋体" w:cs="var(--dsw-font-markdown-table)"/>
                      <w:color w:val="auto"/>
                      <w:kern w:val="0"/>
                      <w:sz w:val="21"/>
                      <w:szCs w:val="24"/>
                      <w:lang w:val="en-US" w:eastAsia="zh-CN" w:bidi="ar"/>
                    </w:rPr>
                    <w:t>有一般工业固废处理能力的单位处理；危险废物收集后交由具有相关危险废物经营许可证的单位处理</w:t>
                  </w:r>
                </w:p>
              </w:tc>
            </w:tr>
          </w:tbl>
          <w:p w14:paraId="28851E80">
            <w:pPr>
              <w:pStyle w:val="5"/>
              <w:keepNext w:val="0"/>
              <w:keepLines w:val="0"/>
              <w:pageBreakBefore w:val="0"/>
              <w:widowControl/>
              <w:suppressLineNumbers w:val="0"/>
              <w:shd w:val="clear" w:fill="FFFFFF"/>
              <w:kinsoku/>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3、产品产量</w:t>
            </w:r>
          </w:p>
          <w:p w14:paraId="7C88E553">
            <w:pPr>
              <w:pStyle w:val="9"/>
              <w:numPr>
                <w:ilvl w:val="0"/>
                <w:numId w:val="8"/>
              </w:numPr>
              <w:suppressLineNumbers w:val="0"/>
              <w:spacing w:before="0" w:beforeAutospacing="0" w:after="0" w:afterAutospacing="0" w:line="240" w:lineRule="auto"/>
              <w:ind w:right="0"/>
              <w:jc w:val="center"/>
              <w:rPr>
                <w:rFonts w:hint="default" w:ascii="Times New Roman" w:hAnsi="Times New Roman" w:eastAsia="宋体"/>
                <w:b/>
                <w:color w:val="auto"/>
                <w:sz w:val="21"/>
                <w:szCs w:val="24"/>
              </w:rPr>
            </w:pPr>
            <w:r>
              <w:rPr>
                <w:rFonts w:hint="default" w:ascii="Times New Roman" w:hAnsi="Times New Roman" w:eastAsia="宋体"/>
                <w:b/>
                <w:color w:val="auto"/>
                <w:sz w:val="21"/>
                <w:szCs w:val="24"/>
              </w:rPr>
              <w:t>项目产品及产能一览表</w:t>
            </w:r>
          </w:p>
          <w:tbl>
            <w:tblPr>
              <w:tblStyle w:val="49"/>
              <w:tblW w:w="97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1350"/>
              <w:gridCol w:w="6992"/>
            </w:tblGrid>
            <w:tr w14:paraId="36BB4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vAlign w:val="center"/>
                </w:tcPr>
                <w:p w14:paraId="35C0718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color w:val="auto"/>
                      <w:sz w:val="21"/>
                      <w:szCs w:val="24"/>
                      <w:vertAlign w:val="baseline"/>
                    </w:rPr>
                  </w:pPr>
                  <w:r>
                    <w:rPr>
                      <w:rFonts w:hint="default" w:ascii="Times New Roman" w:hAnsi="Times New Roman" w:eastAsia="宋体" w:cs="var(--dsw-font-markdown-table-h"/>
                      <w:b/>
                      <w:bCs/>
                      <w:color w:val="auto"/>
                      <w:kern w:val="0"/>
                      <w:sz w:val="21"/>
                      <w:szCs w:val="24"/>
                      <w:lang w:val="en-US" w:eastAsia="zh-CN" w:bidi="ar"/>
                    </w:rPr>
                    <w:t>产品名称</w:t>
                  </w:r>
                </w:p>
              </w:tc>
              <w:tc>
                <w:tcPr>
                  <w:tcW w:w="1350" w:type="dxa"/>
                  <w:vAlign w:val="center"/>
                </w:tcPr>
                <w:p w14:paraId="3C5DF1D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color w:val="auto"/>
                      <w:sz w:val="21"/>
                      <w:szCs w:val="24"/>
                      <w:vertAlign w:val="baseline"/>
                    </w:rPr>
                  </w:pPr>
                  <w:r>
                    <w:rPr>
                      <w:rFonts w:hint="default" w:ascii="Times New Roman" w:hAnsi="Times New Roman" w:eastAsia="宋体" w:cs="var(--dsw-font-markdown-table-h"/>
                      <w:b/>
                      <w:bCs/>
                      <w:color w:val="auto"/>
                      <w:kern w:val="0"/>
                      <w:sz w:val="21"/>
                      <w:szCs w:val="24"/>
                      <w:lang w:val="en-US" w:eastAsia="zh-CN" w:bidi="ar"/>
                    </w:rPr>
                    <w:t>年产量</w:t>
                  </w:r>
                </w:p>
              </w:tc>
              <w:tc>
                <w:tcPr>
                  <w:tcW w:w="6992" w:type="dxa"/>
                  <w:vAlign w:val="center"/>
                </w:tcPr>
                <w:p w14:paraId="4EC072E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color w:val="auto"/>
                      <w:sz w:val="21"/>
                      <w:szCs w:val="24"/>
                      <w:vertAlign w:val="baseline"/>
                    </w:rPr>
                  </w:pPr>
                  <w:r>
                    <w:rPr>
                      <w:rFonts w:hint="default" w:ascii="Times New Roman" w:hAnsi="Times New Roman" w:eastAsia="宋体" w:cs="var(--dsw-font-markdown-table-h"/>
                      <w:b/>
                      <w:bCs/>
                      <w:color w:val="auto"/>
                      <w:kern w:val="0"/>
                      <w:sz w:val="21"/>
                      <w:szCs w:val="24"/>
                      <w:lang w:val="en-US" w:eastAsia="zh-CN" w:bidi="ar"/>
                    </w:rPr>
                    <w:t>产品规格</w:t>
                  </w:r>
                </w:p>
              </w:tc>
            </w:tr>
            <w:tr w14:paraId="09DB4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vAlign w:val="center"/>
                </w:tcPr>
                <w:p w14:paraId="6305E08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儿童运动鞋</w:t>
                  </w:r>
                </w:p>
              </w:tc>
              <w:tc>
                <w:tcPr>
                  <w:tcW w:w="1350" w:type="dxa"/>
                  <w:vAlign w:val="center"/>
                </w:tcPr>
                <w:p w14:paraId="5E6AEAD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500万双</w:t>
                  </w:r>
                </w:p>
              </w:tc>
              <w:tc>
                <w:tcPr>
                  <w:tcW w:w="6992" w:type="dxa"/>
                  <w:vAlign w:val="center"/>
                </w:tcPr>
                <w:p w14:paraId="5D2330B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鞋码为25</w:t>
                  </w:r>
                  <w:r>
                    <w:rPr>
                      <w:rFonts w:hint="eastAsia" w:cs="var(--dsw-font-markdown-table)"/>
                      <w:color w:val="auto"/>
                      <w:kern w:val="0"/>
                      <w:sz w:val="21"/>
                      <w:szCs w:val="24"/>
                      <w:lang w:val="en-US" w:eastAsia="zh-CN" w:bidi="ar"/>
                    </w:rPr>
                    <w:t>-</w:t>
                  </w:r>
                  <w:r>
                    <w:rPr>
                      <w:rFonts w:hint="default" w:ascii="Times New Roman" w:hAnsi="Times New Roman" w:eastAsia="宋体" w:cs="var(--dsw-font-markdown-table)"/>
                      <w:color w:val="auto"/>
                      <w:kern w:val="0"/>
                      <w:sz w:val="21"/>
                      <w:szCs w:val="24"/>
                      <w:lang w:val="en-US" w:eastAsia="zh-CN" w:bidi="ar"/>
                    </w:rPr>
                    <w:t>40EU，整鞋重量为150</w:t>
                  </w:r>
                  <w:r>
                    <w:rPr>
                      <w:rFonts w:hint="eastAsia" w:cs="var(--dsw-font-markdown-table)"/>
                      <w:color w:val="auto"/>
                      <w:kern w:val="0"/>
                      <w:sz w:val="21"/>
                      <w:szCs w:val="24"/>
                      <w:lang w:val="en-US" w:eastAsia="zh-CN" w:bidi="ar"/>
                    </w:rPr>
                    <w:t>-</w:t>
                  </w:r>
                  <w:r>
                    <w:rPr>
                      <w:rFonts w:hint="default" w:ascii="Times New Roman" w:hAnsi="Times New Roman" w:eastAsia="宋体" w:cs="var(--dsw-font-markdown-table)"/>
                      <w:color w:val="auto"/>
                      <w:kern w:val="0"/>
                      <w:sz w:val="21"/>
                      <w:szCs w:val="24"/>
                      <w:lang w:val="en-US" w:eastAsia="zh-CN" w:bidi="ar"/>
                    </w:rPr>
                    <w:t>300g，包含针织PU鞋面32</w:t>
                  </w:r>
                  <w:r>
                    <w:rPr>
                      <w:rFonts w:hint="eastAsia" w:cs="var(--dsw-font-markdown-table)"/>
                      <w:color w:val="auto"/>
                      <w:kern w:val="0"/>
                      <w:sz w:val="21"/>
                      <w:szCs w:val="24"/>
                      <w:lang w:val="en-US" w:eastAsia="zh-CN" w:bidi="ar"/>
                    </w:rPr>
                    <w:t>-</w:t>
                  </w:r>
                  <w:r>
                    <w:rPr>
                      <w:rFonts w:hint="default" w:ascii="Times New Roman" w:hAnsi="Times New Roman" w:eastAsia="宋体" w:cs="var(--dsw-font-markdown-table)"/>
                      <w:color w:val="auto"/>
                      <w:kern w:val="0"/>
                      <w:sz w:val="21"/>
                      <w:szCs w:val="24"/>
                      <w:lang w:val="en-US" w:eastAsia="zh-CN" w:bidi="ar"/>
                    </w:rPr>
                    <w:t>68g、</w:t>
                  </w:r>
                  <w:r>
                    <w:rPr>
                      <w:rFonts w:hint="eastAsia" w:cs="var(--dsw-font-markdown-table)"/>
                      <w:color w:val="auto"/>
                      <w:kern w:val="0"/>
                      <w:sz w:val="21"/>
                      <w:szCs w:val="24"/>
                      <w:lang w:val="en-US" w:eastAsia="zh-CN" w:bidi="ar"/>
                    </w:rPr>
                    <w:t>100万双</w:t>
                  </w:r>
                  <w:r>
                    <w:rPr>
                      <w:rFonts w:hint="default" w:ascii="Times New Roman" w:hAnsi="Times New Roman" w:eastAsia="宋体" w:cs="var(--dsw-font-markdown-table)"/>
                      <w:color w:val="auto"/>
                      <w:kern w:val="0"/>
                      <w:sz w:val="21"/>
                      <w:szCs w:val="24"/>
                      <w:lang w:val="en-US" w:eastAsia="zh-CN" w:bidi="ar"/>
                    </w:rPr>
                    <w:t>EVA</w:t>
                  </w:r>
                  <w:r>
                    <w:rPr>
                      <w:rFonts w:hint="eastAsia" w:cs="var(--dsw-font-markdown-table)"/>
                      <w:color w:val="auto"/>
                      <w:kern w:val="0"/>
                      <w:sz w:val="21"/>
                      <w:szCs w:val="24"/>
                      <w:lang w:val="en-US" w:eastAsia="zh-CN" w:bidi="ar"/>
                    </w:rPr>
                    <w:t>鞋底</w:t>
                  </w:r>
                  <w:r>
                    <w:rPr>
                      <w:rFonts w:hint="default" w:ascii="Times New Roman" w:hAnsi="Times New Roman" w:eastAsia="宋体" w:cs="var(--dsw-font-markdown-table)"/>
                      <w:color w:val="auto"/>
                      <w:kern w:val="0"/>
                      <w:sz w:val="21"/>
                      <w:szCs w:val="24"/>
                      <w:lang w:val="en-US" w:eastAsia="zh-CN" w:bidi="ar"/>
                    </w:rPr>
                    <w:t>20</w:t>
                  </w:r>
                  <w:r>
                    <w:rPr>
                      <w:rFonts w:hint="eastAsia" w:cs="var(--dsw-font-markdown-table)"/>
                      <w:color w:val="auto"/>
                      <w:kern w:val="0"/>
                      <w:sz w:val="21"/>
                      <w:szCs w:val="24"/>
                      <w:lang w:val="en-US" w:eastAsia="zh-CN" w:bidi="ar"/>
                    </w:rPr>
                    <w:t>-55</w:t>
                  </w:r>
                  <w:r>
                    <w:rPr>
                      <w:rFonts w:hint="default" w:ascii="Times New Roman" w:hAnsi="Times New Roman" w:eastAsia="宋体" w:cs="var(--dsw-font-markdown-table)"/>
                      <w:color w:val="auto"/>
                      <w:kern w:val="0"/>
                      <w:sz w:val="21"/>
                      <w:szCs w:val="24"/>
                      <w:lang w:val="en-US" w:eastAsia="zh-CN" w:bidi="ar"/>
                    </w:rPr>
                    <w:t>g、</w:t>
                  </w:r>
                  <w:r>
                    <w:rPr>
                      <w:rFonts w:hint="eastAsia" w:cs="var(--dsw-font-markdown-table)"/>
                      <w:color w:val="auto"/>
                      <w:kern w:val="0"/>
                      <w:sz w:val="21"/>
                      <w:szCs w:val="24"/>
                      <w:lang w:val="en-US" w:eastAsia="zh-CN" w:bidi="ar"/>
                    </w:rPr>
                    <w:t>400万双复合</w:t>
                  </w:r>
                  <w:r>
                    <w:rPr>
                      <w:rFonts w:hint="default" w:ascii="Times New Roman" w:hAnsi="Times New Roman" w:eastAsia="宋体" w:cs="var(--dsw-font-markdown-table)"/>
                      <w:color w:val="auto"/>
                      <w:kern w:val="0"/>
                      <w:sz w:val="21"/>
                      <w:szCs w:val="24"/>
                      <w:lang w:val="en-US" w:eastAsia="zh-CN" w:bidi="ar"/>
                    </w:rPr>
                    <w:t>鞋底90</w:t>
                  </w:r>
                  <w:r>
                    <w:rPr>
                      <w:rFonts w:hint="eastAsia" w:cs="var(--dsw-font-markdown-table)"/>
                      <w:color w:val="auto"/>
                      <w:kern w:val="0"/>
                      <w:sz w:val="21"/>
                      <w:szCs w:val="24"/>
                      <w:lang w:val="en-US" w:eastAsia="zh-CN" w:bidi="ar"/>
                    </w:rPr>
                    <w:t>-</w:t>
                  </w:r>
                  <w:r>
                    <w:rPr>
                      <w:rFonts w:hint="default" w:ascii="Times New Roman" w:hAnsi="Times New Roman" w:eastAsia="宋体" w:cs="var(--dsw-font-markdown-table)"/>
                      <w:color w:val="auto"/>
                      <w:kern w:val="0"/>
                      <w:sz w:val="21"/>
                      <w:szCs w:val="24"/>
                      <w:lang w:val="en-US" w:eastAsia="zh-CN" w:bidi="ar"/>
                    </w:rPr>
                    <w:t>180g</w:t>
                  </w:r>
                  <w:r>
                    <w:rPr>
                      <w:rFonts w:hint="eastAsia" w:cs="var(--dsw-font-markdown-table)"/>
                      <w:color w:val="auto"/>
                      <w:kern w:val="0"/>
                      <w:sz w:val="21"/>
                      <w:szCs w:val="24"/>
                      <w:lang w:val="en-US" w:eastAsia="zh-CN" w:bidi="ar"/>
                    </w:rPr>
                    <w:t>（其中橡胶鞋底70-125g）</w:t>
                  </w:r>
                  <w:r>
                    <w:rPr>
                      <w:rFonts w:hint="default" w:ascii="Times New Roman" w:hAnsi="Times New Roman" w:eastAsia="宋体" w:cs="var(--dsw-font-markdown-table)"/>
                      <w:color w:val="auto"/>
                      <w:kern w:val="0"/>
                      <w:sz w:val="21"/>
                      <w:szCs w:val="24"/>
                      <w:lang w:val="en-US" w:eastAsia="zh-CN" w:bidi="ar"/>
                    </w:rPr>
                    <w:t>，鞋带8</w:t>
                  </w:r>
                  <w:r>
                    <w:rPr>
                      <w:rFonts w:hint="eastAsia" w:cs="var(--dsw-font-markdown-table)"/>
                      <w:color w:val="auto"/>
                      <w:kern w:val="0"/>
                      <w:sz w:val="21"/>
                      <w:szCs w:val="24"/>
                      <w:lang w:val="en-US" w:eastAsia="zh-CN" w:bidi="ar"/>
                    </w:rPr>
                    <w:t>-</w:t>
                  </w:r>
                  <w:r>
                    <w:rPr>
                      <w:rFonts w:hint="default" w:ascii="Times New Roman" w:hAnsi="Times New Roman" w:eastAsia="宋体" w:cs="var(--dsw-font-markdown-table)"/>
                      <w:color w:val="auto"/>
                      <w:kern w:val="0"/>
                      <w:sz w:val="21"/>
                      <w:szCs w:val="24"/>
                      <w:lang w:val="en-US" w:eastAsia="zh-CN" w:bidi="ar"/>
                    </w:rPr>
                    <w:t>12g</w:t>
                  </w:r>
                </w:p>
              </w:tc>
            </w:tr>
          </w:tbl>
          <w:p w14:paraId="13FEABE5">
            <w:pPr>
              <w:pStyle w:val="5"/>
              <w:keepNext w:val="0"/>
              <w:keepLines w:val="0"/>
              <w:pageBreakBefore w:val="0"/>
              <w:widowControl/>
              <w:suppressLineNumbers w:val="0"/>
              <w:shd w:val="clear" w:fill="FFFFFF"/>
              <w:kinsoku/>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4、主要原辅材料</w:t>
            </w:r>
          </w:p>
          <w:p w14:paraId="287BF487">
            <w:pPr>
              <w:pStyle w:val="9"/>
              <w:numPr>
                <w:ilvl w:val="0"/>
                <w:numId w:val="8"/>
              </w:numPr>
              <w:suppressLineNumbers w:val="0"/>
              <w:spacing w:before="0" w:beforeAutospacing="0" w:after="0" w:afterAutospacing="0" w:line="240" w:lineRule="auto"/>
              <w:ind w:right="0"/>
              <w:jc w:val="center"/>
              <w:rPr>
                <w:rFonts w:hint="default" w:ascii="Times New Roman" w:hAnsi="Times New Roman" w:eastAsia="宋体"/>
                <w:b/>
                <w:color w:val="auto"/>
                <w:sz w:val="21"/>
                <w:szCs w:val="24"/>
              </w:rPr>
            </w:pPr>
            <w:r>
              <w:rPr>
                <w:rFonts w:hint="default" w:ascii="Times New Roman" w:hAnsi="Times New Roman" w:eastAsia="宋体"/>
                <w:b/>
                <w:color w:val="auto"/>
                <w:sz w:val="21"/>
                <w:szCs w:val="24"/>
              </w:rPr>
              <w:t>项目主要原辅材料及用量一览表</w:t>
            </w:r>
          </w:p>
          <w:tbl>
            <w:tblPr>
              <w:tblStyle w:val="49"/>
              <w:tblW w:w="98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873"/>
              <w:gridCol w:w="1062"/>
              <w:gridCol w:w="1219"/>
              <w:gridCol w:w="1082"/>
              <w:gridCol w:w="1324"/>
              <w:gridCol w:w="1405"/>
              <w:gridCol w:w="1058"/>
            </w:tblGrid>
            <w:tr w14:paraId="5C6F9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trPr>
              <w:tc>
                <w:tcPr>
                  <w:tcW w:w="813" w:type="dxa"/>
                  <w:vAlign w:val="center"/>
                </w:tcPr>
                <w:p w14:paraId="462705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b/>
                      <w:color w:val="auto"/>
                      <w:sz w:val="21"/>
                      <w:szCs w:val="24"/>
                      <w:vertAlign w:val="baseline"/>
                      <w:lang w:val="en-US" w:eastAsia="zh-CN"/>
                    </w:rPr>
                  </w:pPr>
                  <w:r>
                    <w:rPr>
                      <w:rFonts w:hint="default" w:ascii="Times New Roman" w:hAnsi="Times New Roman" w:eastAsia="宋体" w:cs="var(--dsw-font-markdown-table-h"/>
                      <w:b/>
                      <w:bCs/>
                      <w:color w:val="auto"/>
                      <w:kern w:val="0"/>
                      <w:sz w:val="21"/>
                      <w:szCs w:val="24"/>
                      <w:lang w:val="en-US" w:eastAsia="zh-CN" w:bidi="ar"/>
                    </w:rPr>
                    <w:t>序号</w:t>
                  </w:r>
                </w:p>
              </w:tc>
              <w:tc>
                <w:tcPr>
                  <w:tcW w:w="1873" w:type="dxa"/>
                  <w:vAlign w:val="center"/>
                </w:tcPr>
                <w:p w14:paraId="15479D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color w:val="auto"/>
                      <w:sz w:val="21"/>
                      <w:szCs w:val="24"/>
                      <w:vertAlign w:val="baseline"/>
                    </w:rPr>
                  </w:pPr>
                  <w:r>
                    <w:rPr>
                      <w:rFonts w:hint="default" w:ascii="Times New Roman" w:hAnsi="Times New Roman" w:eastAsia="宋体" w:cs="var(--dsw-font-markdown-table-h"/>
                      <w:b/>
                      <w:bCs/>
                      <w:color w:val="auto"/>
                      <w:kern w:val="0"/>
                      <w:sz w:val="21"/>
                      <w:szCs w:val="24"/>
                      <w:lang w:val="en-US" w:eastAsia="zh-CN" w:bidi="ar"/>
                    </w:rPr>
                    <w:t>名称</w:t>
                  </w:r>
                </w:p>
              </w:tc>
              <w:tc>
                <w:tcPr>
                  <w:tcW w:w="1062" w:type="dxa"/>
                  <w:vAlign w:val="center"/>
                </w:tcPr>
                <w:p w14:paraId="30AAC5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color w:val="auto"/>
                      <w:sz w:val="21"/>
                      <w:szCs w:val="24"/>
                      <w:vertAlign w:val="baseline"/>
                    </w:rPr>
                  </w:pPr>
                  <w:r>
                    <w:rPr>
                      <w:rFonts w:hint="default" w:ascii="Times New Roman" w:hAnsi="Times New Roman" w:eastAsia="宋体" w:cs="var(--dsw-font-markdown-table-h"/>
                      <w:b/>
                      <w:bCs/>
                      <w:color w:val="auto"/>
                      <w:kern w:val="0"/>
                      <w:sz w:val="21"/>
                      <w:szCs w:val="24"/>
                      <w:lang w:val="en-US" w:eastAsia="zh-CN" w:bidi="ar"/>
                    </w:rPr>
                    <w:t>物态</w:t>
                  </w:r>
                </w:p>
              </w:tc>
              <w:tc>
                <w:tcPr>
                  <w:tcW w:w="1219" w:type="dxa"/>
                  <w:vAlign w:val="center"/>
                </w:tcPr>
                <w:p w14:paraId="664C1A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color w:val="auto"/>
                      <w:sz w:val="21"/>
                      <w:szCs w:val="24"/>
                      <w:vertAlign w:val="baseline"/>
                    </w:rPr>
                  </w:pPr>
                  <w:r>
                    <w:rPr>
                      <w:rFonts w:hint="default" w:ascii="Times New Roman" w:hAnsi="Times New Roman" w:eastAsia="宋体" w:cs="var(--dsw-font-markdown-table-h"/>
                      <w:b/>
                      <w:bCs/>
                      <w:color w:val="auto"/>
                      <w:kern w:val="0"/>
                      <w:sz w:val="21"/>
                      <w:szCs w:val="24"/>
                      <w:lang w:val="en-US" w:eastAsia="zh-CN" w:bidi="ar"/>
                    </w:rPr>
                    <w:t>年用量（t/a）</w:t>
                  </w:r>
                </w:p>
              </w:tc>
              <w:tc>
                <w:tcPr>
                  <w:tcW w:w="1082" w:type="dxa"/>
                  <w:vAlign w:val="center"/>
                </w:tcPr>
                <w:p w14:paraId="796753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color w:val="auto"/>
                      <w:sz w:val="21"/>
                      <w:szCs w:val="24"/>
                      <w:vertAlign w:val="baseline"/>
                    </w:rPr>
                  </w:pPr>
                  <w:r>
                    <w:rPr>
                      <w:rFonts w:hint="default" w:ascii="Times New Roman" w:hAnsi="Times New Roman" w:eastAsia="宋体" w:cs="var(--dsw-font-markdown-table-h"/>
                      <w:b/>
                      <w:bCs/>
                      <w:color w:val="auto"/>
                      <w:kern w:val="0"/>
                      <w:sz w:val="21"/>
                      <w:szCs w:val="24"/>
                      <w:lang w:val="en-US" w:eastAsia="zh-CN" w:bidi="ar"/>
                    </w:rPr>
                    <w:t>最大储存量（t）</w:t>
                  </w:r>
                </w:p>
              </w:tc>
              <w:tc>
                <w:tcPr>
                  <w:tcW w:w="1324" w:type="dxa"/>
                  <w:vAlign w:val="center"/>
                </w:tcPr>
                <w:p w14:paraId="047763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color w:val="auto"/>
                      <w:sz w:val="21"/>
                      <w:szCs w:val="24"/>
                      <w:vertAlign w:val="baseline"/>
                    </w:rPr>
                  </w:pPr>
                  <w:r>
                    <w:rPr>
                      <w:rFonts w:hint="default" w:ascii="Times New Roman" w:hAnsi="Times New Roman" w:eastAsia="宋体" w:cs="var(--dsw-font-markdown-table-h"/>
                      <w:b/>
                      <w:bCs/>
                      <w:color w:val="auto"/>
                      <w:kern w:val="0"/>
                      <w:sz w:val="21"/>
                      <w:szCs w:val="24"/>
                      <w:lang w:val="en-US" w:eastAsia="zh-CN" w:bidi="ar"/>
                    </w:rPr>
                    <w:t>包装方式</w:t>
                  </w:r>
                </w:p>
              </w:tc>
              <w:tc>
                <w:tcPr>
                  <w:tcW w:w="1405" w:type="dxa"/>
                  <w:vAlign w:val="center"/>
                </w:tcPr>
                <w:p w14:paraId="573855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color w:val="auto"/>
                      <w:sz w:val="21"/>
                      <w:szCs w:val="24"/>
                      <w:vertAlign w:val="baseline"/>
                    </w:rPr>
                  </w:pPr>
                  <w:r>
                    <w:rPr>
                      <w:rFonts w:hint="default" w:ascii="Times New Roman" w:hAnsi="Times New Roman" w:eastAsia="宋体" w:cs="var(--dsw-font-markdown-table-h"/>
                      <w:b/>
                      <w:bCs/>
                      <w:color w:val="auto"/>
                      <w:kern w:val="0"/>
                      <w:sz w:val="21"/>
                      <w:szCs w:val="24"/>
                      <w:lang w:val="en-US" w:eastAsia="zh-CN" w:bidi="ar"/>
                    </w:rPr>
                    <w:t>所在工序</w:t>
                  </w:r>
                </w:p>
              </w:tc>
              <w:tc>
                <w:tcPr>
                  <w:tcW w:w="1058" w:type="dxa"/>
                  <w:vAlign w:val="center"/>
                </w:tcPr>
                <w:p w14:paraId="2C0B1B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color w:val="auto"/>
                      <w:sz w:val="21"/>
                      <w:szCs w:val="24"/>
                      <w:vertAlign w:val="baseline"/>
                    </w:rPr>
                  </w:pPr>
                  <w:r>
                    <w:rPr>
                      <w:rFonts w:hint="default" w:ascii="Times New Roman" w:hAnsi="Times New Roman" w:eastAsia="宋体" w:cs="var(--dsw-font-markdown-table-h"/>
                      <w:b/>
                      <w:bCs/>
                      <w:color w:val="auto"/>
                      <w:kern w:val="0"/>
                      <w:sz w:val="21"/>
                      <w:szCs w:val="24"/>
                      <w:lang w:val="en-US" w:eastAsia="zh-CN" w:bidi="ar"/>
                    </w:rPr>
                    <w:t>是否属于环境风险物质</w:t>
                  </w:r>
                </w:p>
              </w:tc>
            </w:tr>
            <w:tr w14:paraId="18720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3" w:type="dxa"/>
                  <w:vAlign w:val="center"/>
                </w:tcPr>
                <w:p w14:paraId="7D019A0C">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kern w:val="2"/>
                      <w:sz w:val="21"/>
                      <w:szCs w:val="24"/>
                      <w:lang w:val="en-US" w:eastAsia="zh-CN" w:bidi="ar-SA"/>
                    </w:rPr>
                  </w:pPr>
                </w:p>
              </w:tc>
              <w:tc>
                <w:tcPr>
                  <w:tcW w:w="1873" w:type="dxa"/>
                  <w:vAlign w:val="center"/>
                </w:tcPr>
                <w:p w14:paraId="65CF06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EVA颗粒</w:t>
                  </w:r>
                </w:p>
              </w:tc>
              <w:tc>
                <w:tcPr>
                  <w:tcW w:w="1062" w:type="dxa"/>
                  <w:vAlign w:val="center"/>
                </w:tcPr>
                <w:p w14:paraId="78BDE6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颗粒状</w:t>
                  </w:r>
                </w:p>
              </w:tc>
              <w:tc>
                <w:tcPr>
                  <w:tcW w:w="1219" w:type="dxa"/>
                  <w:vAlign w:val="center"/>
                </w:tcPr>
                <w:p w14:paraId="39164F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1</w:t>
                  </w:r>
                  <w:r>
                    <w:rPr>
                      <w:rFonts w:hint="eastAsia" w:cs="var(--dsw-font-markdown-table)"/>
                      <w:b w:val="0"/>
                      <w:bCs w:val="0"/>
                      <w:color w:val="auto"/>
                      <w:kern w:val="0"/>
                      <w:sz w:val="21"/>
                      <w:szCs w:val="24"/>
                      <w:lang w:val="en-US" w:eastAsia="zh-CN" w:bidi="ar"/>
                    </w:rPr>
                    <w:t>53</w:t>
                  </w:r>
                </w:p>
              </w:tc>
              <w:tc>
                <w:tcPr>
                  <w:tcW w:w="1082" w:type="dxa"/>
                  <w:vAlign w:val="center"/>
                </w:tcPr>
                <w:p w14:paraId="724128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10</w:t>
                  </w:r>
                </w:p>
              </w:tc>
              <w:tc>
                <w:tcPr>
                  <w:tcW w:w="1324" w:type="dxa"/>
                  <w:vAlign w:val="center"/>
                </w:tcPr>
                <w:p w14:paraId="63B7E6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1t/袋</w:t>
                  </w:r>
                </w:p>
              </w:tc>
              <w:tc>
                <w:tcPr>
                  <w:tcW w:w="1405" w:type="dxa"/>
                  <w:vMerge w:val="restart"/>
                  <w:vAlign w:val="center"/>
                </w:tcPr>
                <w:p w14:paraId="7D6F8D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鞋底制造</w:t>
                  </w:r>
                </w:p>
              </w:tc>
              <w:tc>
                <w:tcPr>
                  <w:tcW w:w="1058" w:type="dxa"/>
                  <w:shd w:val="clear" w:color="auto" w:fill="auto"/>
                  <w:vAlign w:val="center"/>
                </w:tcPr>
                <w:p w14:paraId="51DE92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4"/>
                      <w:vertAlign w:val="baseline"/>
                      <w:lang w:val="en-US" w:eastAsia="zh-CN" w:bidi="ar-SA"/>
                    </w:rPr>
                  </w:pPr>
                  <w:r>
                    <w:rPr>
                      <w:rFonts w:hint="default" w:ascii="Times New Roman" w:hAnsi="Times New Roman" w:eastAsia="宋体" w:cs="var(--dsw-font-markdown-table)"/>
                      <w:b w:val="0"/>
                      <w:bCs w:val="0"/>
                      <w:color w:val="auto"/>
                      <w:kern w:val="0"/>
                      <w:sz w:val="21"/>
                      <w:szCs w:val="24"/>
                      <w:lang w:val="en-US" w:eastAsia="zh-CN" w:bidi="ar"/>
                    </w:rPr>
                    <w:t>否</w:t>
                  </w:r>
                </w:p>
              </w:tc>
            </w:tr>
            <w:tr w14:paraId="1BC5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3" w:type="dxa"/>
                  <w:vAlign w:val="center"/>
                </w:tcPr>
                <w:p w14:paraId="66BED932">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kern w:val="2"/>
                      <w:sz w:val="21"/>
                      <w:szCs w:val="24"/>
                      <w:lang w:val="en-US" w:eastAsia="zh-CN" w:bidi="ar-SA"/>
                    </w:rPr>
                  </w:pPr>
                </w:p>
              </w:tc>
              <w:tc>
                <w:tcPr>
                  <w:tcW w:w="1873" w:type="dxa"/>
                  <w:vAlign w:val="center"/>
                </w:tcPr>
                <w:p w14:paraId="0F56B4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AC</w:t>
                  </w:r>
                  <w:r>
                    <w:rPr>
                      <w:rFonts w:hint="default" w:ascii="Times New Roman" w:hAnsi="Times New Roman" w:eastAsia="宋体" w:cs="var(--dsw-font-markdown-table)"/>
                      <w:b w:val="0"/>
                      <w:bCs w:val="0"/>
                      <w:color w:val="auto"/>
                      <w:kern w:val="0"/>
                      <w:sz w:val="21"/>
                      <w:szCs w:val="24"/>
                      <w:lang w:val="en-US" w:eastAsia="zh-CN" w:bidi="ar"/>
                    </w:rPr>
                    <w:t>发泡剂</w:t>
                  </w:r>
                </w:p>
              </w:tc>
              <w:tc>
                <w:tcPr>
                  <w:tcW w:w="1062" w:type="dxa"/>
                  <w:vAlign w:val="center"/>
                </w:tcPr>
                <w:p w14:paraId="19E3C0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粉状</w:t>
                  </w:r>
                </w:p>
              </w:tc>
              <w:tc>
                <w:tcPr>
                  <w:tcW w:w="1219" w:type="dxa"/>
                  <w:vAlign w:val="center"/>
                </w:tcPr>
                <w:p w14:paraId="62193B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8</w:t>
                  </w:r>
                </w:p>
              </w:tc>
              <w:tc>
                <w:tcPr>
                  <w:tcW w:w="1082" w:type="dxa"/>
                  <w:vAlign w:val="center"/>
                </w:tcPr>
                <w:p w14:paraId="0E6D5B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0.5</w:t>
                  </w:r>
                </w:p>
              </w:tc>
              <w:tc>
                <w:tcPr>
                  <w:tcW w:w="1324" w:type="dxa"/>
                  <w:vAlign w:val="center"/>
                </w:tcPr>
                <w:p w14:paraId="28F06C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25kg/袋</w:t>
                  </w:r>
                </w:p>
              </w:tc>
              <w:tc>
                <w:tcPr>
                  <w:tcW w:w="1405" w:type="dxa"/>
                  <w:vMerge w:val="continue"/>
                  <w:vAlign w:val="center"/>
                </w:tcPr>
                <w:p w14:paraId="5DA0CD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p>
              </w:tc>
              <w:tc>
                <w:tcPr>
                  <w:tcW w:w="1058" w:type="dxa"/>
                  <w:shd w:val="clear" w:color="auto" w:fill="auto"/>
                  <w:vAlign w:val="center"/>
                </w:tcPr>
                <w:p w14:paraId="2B0A37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4"/>
                      <w:vertAlign w:val="baseline"/>
                      <w:lang w:val="en-US" w:eastAsia="zh-CN" w:bidi="ar-SA"/>
                    </w:rPr>
                  </w:pPr>
                  <w:r>
                    <w:rPr>
                      <w:rFonts w:hint="default" w:ascii="Times New Roman" w:hAnsi="Times New Roman" w:eastAsia="宋体" w:cs="var(--dsw-font-markdown-table)"/>
                      <w:b w:val="0"/>
                      <w:bCs w:val="0"/>
                      <w:color w:val="auto"/>
                      <w:kern w:val="0"/>
                      <w:sz w:val="21"/>
                      <w:szCs w:val="24"/>
                      <w:lang w:val="en-US" w:eastAsia="zh-CN" w:bidi="ar"/>
                    </w:rPr>
                    <w:t>否</w:t>
                  </w:r>
                </w:p>
              </w:tc>
            </w:tr>
            <w:tr w14:paraId="4550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3" w:type="dxa"/>
                  <w:vAlign w:val="center"/>
                </w:tcPr>
                <w:p w14:paraId="5B3A1E65">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kern w:val="2"/>
                      <w:sz w:val="21"/>
                      <w:szCs w:val="24"/>
                      <w:lang w:val="en-US" w:eastAsia="zh-CN" w:bidi="ar-SA"/>
                    </w:rPr>
                  </w:pPr>
                </w:p>
              </w:tc>
              <w:tc>
                <w:tcPr>
                  <w:tcW w:w="1873" w:type="dxa"/>
                  <w:vAlign w:val="center"/>
                </w:tcPr>
                <w:p w14:paraId="4F388E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滑石粉</w:t>
                  </w:r>
                </w:p>
              </w:tc>
              <w:tc>
                <w:tcPr>
                  <w:tcW w:w="1062" w:type="dxa"/>
                  <w:vAlign w:val="center"/>
                </w:tcPr>
                <w:p w14:paraId="34D3DD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粉状</w:t>
                  </w:r>
                </w:p>
              </w:tc>
              <w:tc>
                <w:tcPr>
                  <w:tcW w:w="1219" w:type="dxa"/>
                  <w:vAlign w:val="center"/>
                </w:tcPr>
                <w:p w14:paraId="4AFBCA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32</w:t>
                  </w:r>
                </w:p>
              </w:tc>
              <w:tc>
                <w:tcPr>
                  <w:tcW w:w="1082" w:type="dxa"/>
                  <w:vAlign w:val="center"/>
                </w:tcPr>
                <w:p w14:paraId="0A84A7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1</w:t>
                  </w:r>
                </w:p>
              </w:tc>
              <w:tc>
                <w:tcPr>
                  <w:tcW w:w="1324" w:type="dxa"/>
                  <w:vAlign w:val="center"/>
                </w:tcPr>
                <w:p w14:paraId="763C80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25kg/袋</w:t>
                  </w:r>
                </w:p>
              </w:tc>
              <w:tc>
                <w:tcPr>
                  <w:tcW w:w="1405" w:type="dxa"/>
                  <w:vMerge w:val="continue"/>
                  <w:vAlign w:val="center"/>
                </w:tcPr>
                <w:p w14:paraId="55772D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p>
              </w:tc>
              <w:tc>
                <w:tcPr>
                  <w:tcW w:w="1058" w:type="dxa"/>
                  <w:shd w:val="clear" w:color="auto" w:fill="auto"/>
                  <w:vAlign w:val="center"/>
                </w:tcPr>
                <w:p w14:paraId="3019F8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4"/>
                      <w:vertAlign w:val="baseline"/>
                      <w:lang w:val="en-US" w:eastAsia="zh-CN" w:bidi="ar-SA"/>
                    </w:rPr>
                  </w:pPr>
                  <w:r>
                    <w:rPr>
                      <w:rFonts w:hint="default" w:ascii="Times New Roman" w:hAnsi="Times New Roman" w:eastAsia="宋体" w:cs="var(--dsw-font-markdown-table)"/>
                      <w:b w:val="0"/>
                      <w:bCs w:val="0"/>
                      <w:color w:val="auto"/>
                      <w:kern w:val="0"/>
                      <w:sz w:val="21"/>
                      <w:szCs w:val="24"/>
                      <w:lang w:val="en-US" w:eastAsia="zh-CN" w:bidi="ar"/>
                    </w:rPr>
                    <w:t>否</w:t>
                  </w:r>
                </w:p>
              </w:tc>
            </w:tr>
            <w:tr w14:paraId="2CCDF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3" w:type="dxa"/>
                  <w:vAlign w:val="center"/>
                </w:tcPr>
                <w:p w14:paraId="502FE6FA">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kern w:val="2"/>
                      <w:sz w:val="21"/>
                      <w:szCs w:val="24"/>
                      <w:lang w:val="en-US" w:eastAsia="zh-CN" w:bidi="ar-SA"/>
                    </w:rPr>
                  </w:pPr>
                </w:p>
              </w:tc>
              <w:tc>
                <w:tcPr>
                  <w:tcW w:w="1873" w:type="dxa"/>
                  <w:vAlign w:val="center"/>
                </w:tcPr>
                <w:p w14:paraId="620B0B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橡胶片</w:t>
                  </w:r>
                </w:p>
              </w:tc>
              <w:tc>
                <w:tcPr>
                  <w:tcW w:w="1062" w:type="dxa"/>
                  <w:vAlign w:val="center"/>
                </w:tcPr>
                <w:p w14:paraId="692B15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片状</w:t>
                  </w:r>
                </w:p>
              </w:tc>
              <w:tc>
                <w:tcPr>
                  <w:tcW w:w="1219" w:type="dxa"/>
                  <w:vAlign w:val="center"/>
                </w:tcPr>
                <w:p w14:paraId="18A023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800万片</w:t>
                  </w:r>
                </w:p>
              </w:tc>
              <w:tc>
                <w:tcPr>
                  <w:tcW w:w="1082" w:type="dxa"/>
                  <w:vAlign w:val="center"/>
                </w:tcPr>
                <w:p w14:paraId="051FB2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5000</w:t>
                  </w:r>
                </w:p>
              </w:tc>
              <w:tc>
                <w:tcPr>
                  <w:tcW w:w="1324" w:type="dxa"/>
                  <w:vAlign w:val="center"/>
                </w:tcPr>
                <w:p w14:paraId="1747D0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100片/袋</w:t>
                  </w:r>
                </w:p>
              </w:tc>
              <w:tc>
                <w:tcPr>
                  <w:tcW w:w="1405" w:type="dxa"/>
                  <w:vMerge w:val="continue"/>
                  <w:vAlign w:val="center"/>
                </w:tcPr>
                <w:p w14:paraId="667073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p>
              </w:tc>
              <w:tc>
                <w:tcPr>
                  <w:tcW w:w="1058" w:type="dxa"/>
                  <w:shd w:val="clear" w:color="auto" w:fill="auto"/>
                  <w:vAlign w:val="center"/>
                </w:tcPr>
                <w:p w14:paraId="15DF02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p>
              </w:tc>
            </w:tr>
            <w:tr w14:paraId="5889B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3" w:type="dxa"/>
                  <w:vAlign w:val="center"/>
                </w:tcPr>
                <w:p w14:paraId="2C75552F">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b w:val="0"/>
                      <w:bCs w:val="0"/>
                      <w:color w:val="auto"/>
                      <w:sz w:val="21"/>
                      <w:szCs w:val="24"/>
                      <w:vertAlign w:val="baseline"/>
                    </w:rPr>
                  </w:pPr>
                </w:p>
              </w:tc>
              <w:tc>
                <w:tcPr>
                  <w:tcW w:w="1873" w:type="dxa"/>
                  <w:vAlign w:val="center"/>
                </w:tcPr>
                <w:p w14:paraId="6A36D2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机油</w:t>
                  </w:r>
                </w:p>
              </w:tc>
              <w:tc>
                <w:tcPr>
                  <w:tcW w:w="1062" w:type="dxa"/>
                  <w:vAlign w:val="center"/>
                </w:tcPr>
                <w:p w14:paraId="739A4B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液态</w:t>
                  </w:r>
                </w:p>
              </w:tc>
              <w:tc>
                <w:tcPr>
                  <w:tcW w:w="1219" w:type="dxa"/>
                  <w:vAlign w:val="center"/>
                </w:tcPr>
                <w:p w14:paraId="34D05F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0.5</w:t>
                  </w:r>
                </w:p>
              </w:tc>
              <w:tc>
                <w:tcPr>
                  <w:tcW w:w="1082" w:type="dxa"/>
                  <w:vAlign w:val="center"/>
                </w:tcPr>
                <w:p w14:paraId="75B44B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0.1</w:t>
                  </w:r>
                </w:p>
              </w:tc>
              <w:tc>
                <w:tcPr>
                  <w:tcW w:w="1324" w:type="dxa"/>
                  <w:vAlign w:val="center"/>
                </w:tcPr>
                <w:p w14:paraId="72FE93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100kg/桶</w:t>
                  </w:r>
                </w:p>
              </w:tc>
              <w:tc>
                <w:tcPr>
                  <w:tcW w:w="1405" w:type="dxa"/>
                  <w:vAlign w:val="center"/>
                </w:tcPr>
                <w:p w14:paraId="7735E0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设备维护</w:t>
                  </w:r>
                </w:p>
              </w:tc>
              <w:tc>
                <w:tcPr>
                  <w:tcW w:w="1058" w:type="dxa"/>
                  <w:vAlign w:val="center"/>
                </w:tcPr>
                <w:p w14:paraId="06AC03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是</w:t>
                  </w:r>
                </w:p>
              </w:tc>
            </w:tr>
            <w:tr w14:paraId="78CDF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3" w:type="dxa"/>
                  <w:vAlign w:val="center"/>
                </w:tcPr>
                <w:p w14:paraId="3CCD3ABF">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b w:val="0"/>
                      <w:bCs w:val="0"/>
                      <w:color w:val="auto"/>
                      <w:sz w:val="21"/>
                      <w:szCs w:val="24"/>
                      <w:vertAlign w:val="baseline"/>
                    </w:rPr>
                  </w:pPr>
                </w:p>
              </w:tc>
              <w:tc>
                <w:tcPr>
                  <w:tcW w:w="1873" w:type="dxa"/>
                  <w:shd w:val="clear" w:color="auto" w:fill="auto"/>
                  <w:vAlign w:val="center"/>
                </w:tcPr>
                <w:p w14:paraId="0630A5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水性PU胶</w:t>
                  </w:r>
                </w:p>
              </w:tc>
              <w:tc>
                <w:tcPr>
                  <w:tcW w:w="1062" w:type="dxa"/>
                  <w:shd w:val="clear" w:color="auto" w:fill="auto"/>
                  <w:vAlign w:val="center"/>
                </w:tcPr>
                <w:p w14:paraId="179283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液态</w:t>
                  </w:r>
                </w:p>
              </w:tc>
              <w:tc>
                <w:tcPr>
                  <w:tcW w:w="1219" w:type="dxa"/>
                  <w:shd w:val="clear" w:color="auto" w:fill="auto"/>
                  <w:vAlign w:val="center"/>
                </w:tcPr>
                <w:p w14:paraId="7B125C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lang w:val="en-US"/>
                    </w:rPr>
                  </w:pPr>
                  <w:r>
                    <w:rPr>
                      <w:rFonts w:hint="eastAsia" w:cs="var(--dsw-font-markdown-table)"/>
                      <w:b w:val="0"/>
                      <w:bCs w:val="0"/>
                      <w:color w:val="auto"/>
                      <w:kern w:val="0"/>
                      <w:sz w:val="21"/>
                      <w:szCs w:val="24"/>
                      <w:lang w:val="en-US" w:eastAsia="zh-CN" w:bidi="ar"/>
                    </w:rPr>
                    <w:t>60</w:t>
                  </w:r>
                </w:p>
              </w:tc>
              <w:tc>
                <w:tcPr>
                  <w:tcW w:w="1082" w:type="dxa"/>
                  <w:shd w:val="clear" w:color="auto" w:fill="auto"/>
                  <w:vAlign w:val="center"/>
                </w:tcPr>
                <w:p w14:paraId="41C82E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1.5</w:t>
                  </w:r>
                </w:p>
              </w:tc>
              <w:tc>
                <w:tcPr>
                  <w:tcW w:w="1324" w:type="dxa"/>
                  <w:shd w:val="clear" w:color="auto" w:fill="auto"/>
                  <w:vAlign w:val="center"/>
                </w:tcPr>
                <w:p w14:paraId="6749B7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20kg/桶</w:t>
                  </w:r>
                </w:p>
              </w:tc>
              <w:tc>
                <w:tcPr>
                  <w:tcW w:w="1405" w:type="dxa"/>
                  <w:shd w:val="clear" w:color="auto" w:fill="auto"/>
                  <w:vAlign w:val="center"/>
                </w:tcPr>
                <w:p w14:paraId="5BA071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刷胶</w:t>
                  </w:r>
                </w:p>
              </w:tc>
              <w:tc>
                <w:tcPr>
                  <w:tcW w:w="1058" w:type="dxa"/>
                  <w:shd w:val="clear" w:color="auto" w:fill="auto"/>
                  <w:vAlign w:val="center"/>
                </w:tcPr>
                <w:p w14:paraId="3E47F9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否</w:t>
                  </w:r>
                </w:p>
              </w:tc>
            </w:tr>
            <w:tr w14:paraId="3FA3C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3" w:type="dxa"/>
                  <w:vAlign w:val="center"/>
                </w:tcPr>
                <w:p w14:paraId="39E1D141">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b w:val="0"/>
                      <w:bCs w:val="0"/>
                      <w:color w:val="auto"/>
                      <w:sz w:val="21"/>
                      <w:szCs w:val="24"/>
                      <w:vertAlign w:val="baseline"/>
                    </w:rPr>
                  </w:pPr>
                </w:p>
              </w:tc>
              <w:tc>
                <w:tcPr>
                  <w:tcW w:w="1873" w:type="dxa"/>
                  <w:vAlign w:val="center"/>
                </w:tcPr>
                <w:p w14:paraId="0FF763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eastAsia" w:cs="var(--dsw-font-markdown-table)"/>
                      <w:b w:val="0"/>
                      <w:bCs w:val="0"/>
                      <w:color w:val="auto"/>
                      <w:kern w:val="0"/>
                      <w:sz w:val="21"/>
                      <w:szCs w:val="24"/>
                      <w:lang w:val="en-US" w:eastAsia="zh-CN" w:bidi="ar"/>
                    </w:rPr>
                    <w:t>水性</w:t>
                  </w:r>
                  <w:r>
                    <w:rPr>
                      <w:rFonts w:hint="default" w:ascii="Times New Roman" w:hAnsi="Times New Roman" w:eastAsia="宋体" w:cs="var(--dsw-font-markdown-table)"/>
                      <w:b w:val="0"/>
                      <w:bCs w:val="0"/>
                      <w:color w:val="auto"/>
                      <w:kern w:val="0"/>
                      <w:sz w:val="21"/>
                      <w:szCs w:val="24"/>
                      <w:lang w:val="en-US" w:eastAsia="zh-CN" w:bidi="ar"/>
                    </w:rPr>
                    <w:t>橡胶处理剂</w:t>
                  </w:r>
                </w:p>
              </w:tc>
              <w:tc>
                <w:tcPr>
                  <w:tcW w:w="1062" w:type="dxa"/>
                  <w:vAlign w:val="center"/>
                </w:tcPr>
                <w:p w14:paraId="3F9C77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液态</w:t>
                  </w:r>
                </w:p>
              </w:tc>
              <w:tc>
                <w:tcPr>
                  <w:tcW w:w="1219" w:type="dxa"/>
                  <w:vAlign w:val="center"/>
                </w:tcPr>
                <w:p w14:paraId="3CD71B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eastAsia" w:cs="var(--dsw-font-markdown-table)"/>
                      <w:b w:val="0"/>
                      <w:bCs w:val="0"/>
                      <w:color w:val="auto"/>
                      <w:kern w:val="0"/>
                      <w:sz w:val="21"/>
                      <w:szCs w:val="24"/>
                      <w:lang w:val="en-US" w:eastAsia="zh-CN" w:bidi="ar"/>
                    </w:rPr>
                    <w:t>4</w:t>
                  </w:r>
                </w:p>
              </w:tc>
              <w:tc>
                <w:tcPr>
                  <w:tcW w:w="1082" w:type="dxa"/>
                  <w:vAlign w:val="center"/>
                </w:tcPr>
                <w:p w14:paraId="340FC6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1</w:t>
                  </w:r>
                </w:p>
              </w:tc>
              <w:tc>
                <w:tcPr>
                  <w:tcW w:w="1324" w:type="dxa"/>
                  <w:vAlign w:val="center"/>
                </w:tcPr>
                <w:p w14:paraId="727E02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5kg/桶</w:t>
                  </w:r>
                </w:p>
              </w:tc>
              <w:tc>
                <w:tcPr>
                  <w:tcW w:w="1405" w:type="dxa"/>
                  <w:vAlign w:val="center"/>
                </w:tcPr>
                <w:p w14:paraId="467409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刷处理剂</w:t>
                  </w:r>
                </w:p>
              </w:tc>
              <w:tc>
                <w:tcPr>
                  <w:tcW w:w="1058" w:type="dxa"/>
                  <w:vAlign w:val="center"/>
                </w:tcPr>
                <w:p w14:paraId="424E5D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否</w:t>
                  </w:r>
                </w:p>
              </w:tc>
            </w:tr>
            <w:tr w14:paraId="1A21E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3" w:type="dxa"/>
                  <w:vAlign w:val="center"/>
                </w:tcPr>
                <w:p w14:paraId="515EE6E3">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b w:val="0"/>
                      <w:bCs w:val="0"/>
                      <w:color w:val="auto"/>
                      <w:sz w:val="21"/>
                      <w:szCs w:val="24"/>
                      <w:vertAlign w:val="baseline"/>
                    </w:rPr>
                  </w:pPr>
                </w:p>
              </w:tc>
              <w:tc>
                <w:tcPr>
                  <w:tcW w:w="1873" w:type="dxa"/>
                  <w:vAlign w:val="center"/>
                </w:tcPr>
                <w:p w14:paraId="1E4F14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lang w:val="en-US"/>
                    </w:rPr>
                  </w:pPr>
                  <w:r>
                    <w:rPr>
                      <w:rFonts w:hint="eastAsia" w:cs="var(--dsw-font-markdown-table)"/>
                      <w:b w:val="0"/>
                      <w:bCs w:val="0"/>
                      <w:color w:val="auto"/>
                      <w:kern w:val="0"/>
                      <w:sz w:val="21"/>
                      <w:szCs w:val="24"/>
                      <w:lang w:val="en-US" w:eastAsia="zh-CN" w:bidi="ar"/>
                    </w:rPr>
                    <w:t>清洁剂</w:t>
                  </w:r>
                </w:p>
              </w:tc>
              <w:tc>
                <w:tcPr>
                  <w:tcW w:w="1062" w:type="dxa"/>
                  <w:vAlign w:val="center"/>
                </w:tcPr>
                <w:p w14:paraId="6379EA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液态</w:t>
                  </w:r>
                </w:p>
              </w:tc>
              <w:tc>
                <w:tcPr>
                  <w:tcW w:w="1219" w:type="dxa"/>
                  <w:vAlign w:val="center"/>
                </w:tcPr>
                <w:p w14:paraId="4D8C0B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lang w:val="en-US"/>
                    </w:rPr>
                  </w:pPr>
                  <w:r>
                    <w:rPr>
                      <w:rFonts w:hint="eastAsia" w:cs="var(--dsw-font-markdown-table)"/>
                      <w:b w:val="0"/>
                      <w:bCs w:val="0"/>
                      <w:color w:val="auto"/>
                      <w:kern w:val="0"/>
                      <w:sz w:val="21"/>
                      <w:szCs w:val="24"/>
                      <w:lang w:val="en-US" w:eastAsia="zh-CN" w:bidi="ar"/>
                    </w:rPr>
                    <w:t>4.5</w:t>
                  </w:r>
                </w:p>
              </w:tc>
              <w:tc>
                <w:tcPr>
                  <w:tcW w:w="1082" w:type="dxa"/>
                  <w:vAlign w:val="center"/>
                </w:tcPr>
                <w:p w14:paraId="7722F2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1</w:t>
                  </w:r>
                </w:p>
              </w:tc>
              <w:tc>
                <w:tcPr>
                  <w:tcW w:w="1324" w:type="dxa"/>
                  <w:vAlign w:val="center"/>
                </w:tcPr>
                <w:p w14:paraId="1E34E1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5kg/桶</w:t>
                  </w:r>
                </w:p>
              </w:tc>
              <w:tc>
                <w:tcPr>
                  <w:tcW w:w="1405" w:type="dxa"/>
                  <w:vAlign w:val="center"/>
                </w:tcPr>
                <w:p w14:paraId="409829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lang w:val="en-US"/>
                    </w:rPr>
                  </w:pPr>
                  <w:r>
                    <w:rPr>
                      <w:rFonts w:hint="eastAsia" w:cs="var(--dsw-font-markdown-table)"/>
                      <w:b w:val="0"/>
                      <w:bCs w:val="0"/>
                      <w:color w:val="auto"/>
                      <w:kern w:val="0"/>
                      <w:sz w:val="21"/>
                      <w:szCs w:val="24"/>
                      <w:lang w:val="en-US" w:eastAsia="zh-CN" w:bidi="ar"/>
                    </w:rPr>
                    <w:t>清洁</w:t>
                  </w:r>
                </w:p>
              </w:tc>
              <w:tc>
                <w:tcPr>
                  <w:tcW w:w="1058" w:type="dxa"/>
                  <w:vAlign w:val="center"/>
                </w:tcPr>
                <w:p w14:paraId="0C1809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eastAsia" w:cs="var(--dsw-font-markdown-table)"/>
                      <w:b w:val="0"/>
                      <w:bCs w:val="0"/>
                      <w:color w:val="auto"/>
                      <w:kern w:val="0"/>
                      <w:sz w:val="21"/>
                      <w:szCs w:val="24"/>
                      <w:lang w:val="en-US" w:eastAsia="zh-CN" w:bidi="ar"/>
                    </w:rPr>
                    <w:t>否</w:t>
                  </w:r>
                </w:p>
              </w:tc>
            </w:tr>
            <w:tr w14:paraId="75A6C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3" w:type="dxa"/>
                  <w:vAlign w:val="center"/>
                </w:tcPr>
                <w:p w14:paraId="1317E69B">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b w:val="0"/>
                      <w:bCs w:val="0"/>
                      <w:color w:val="auto"/>
                      <w:sz w:val="21"/>
                      <w:szCs w:val="24"/>
                      <w:vertAlign w:val="baseline"/>
                    </w:rPr>
                  </w:pPr>
                </w:p>
              </w:tc>
              <w:tc>
                <w:tcPr>
                  <w:tcW w:w="1873" w:type="dxa"/>
                  <w:vAlign w:val="center"/>
                </w:tcPr>
                <w:p w14:paraId="39BBD7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丝印油墨</w:t>
                  </w:r>
                </w:p>
              </w:tc>
              <w:tc>
                <w:tcPr>
                  <w:tcW w:w="1062" w:type="dxa"/>
                  <w:vAlign w:val="center"/>
                </w:tcPr>
                <w:p w14:paraId="6BC74D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液态</w:t>
                  </w:r>
                </w:p>
              </w:tc>
              <w:tc>
                <w:tcPr>
                  <w:tcW w:w="1219" w:type="dxa"/>
                  <w:vAlign w:val="center"/>
                </w:tcPr>
                <w:p w14:paraId="65E3E8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lang w:val="en-US" w:eastAsia="zh-CN"/>
                    </w:rPr>
                  </w:pPr>
                  <w:r>
                    <w:rPr>
                      <w:rFonts w:hint="eastAsia"/>
                      <w:b w:val="0"/>
                      <w:bCs w:val="0"/>
                      <w:color w:val="auto"/>
                      <w:sz w:val="21"/>
                      <w:szCs w:val="24"/>
                      <w:vertAlign w:val="baseline"/>
                      <w:lang w:val="en-US" w:eastAsia="zh-CN"/>
                    </w:rPr>
                    <w:t>1.5</w:t>
                  </w:r>
                </w:p>
              </w:tc>
              <w:tc>
                <w:tcPr>
                  <w:tcW w:w="1082" w:type="dxa"/>
                  <w:vAlign w:val="center"/>
                </w:tcPr>
                <w:p w14:paraId="40C543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0.2</w:t>
                  </w:r>
                </w:p>
              </w:tc>
              <w:tc>
                <w:tcPr>
                  <w:tcW w:w="1324" w:type="dxa"/>
                  <w:vAlign w:val="center"/>
                </w:tcPr>
                <w:p w14:paraId="016E44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5kg/桶</w:t>
                  </w:r>
                </w:p>
              </w:tc>
              <w:tc>
                <w:tcPr>
                  <w:tcW w:w="1405" w:type="dxa"/>
                  <w:vAlign w:val="center"/>
                </w:tcPr>
                <w:p w14:paraId="300D2E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丝印</w:t>
                  </w:r>
                </w:p>
              </w:tc>
              <w:tc>
                <w:tcPr>
                  <w:tcW w:w="1058" w:type="dxa"/>
                  <w:vAlign w:val="center"/>
                </w:tcPr>
                <w:p w14:paraId="0400A7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否</w:t>
                  </w:r>
                </w:p>
              </w:tc>
            </w:tr>
            <w:tr w14:paraId="0BBF0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3" w:type="dxa"/>
                  <w:vAlign w:val="center"/>
                </w:tcPr>
                <w:p w14:paraId="6C31B539">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b w:val="0"/>
                      <w:bCs w:val="0"/>
                      <w:color w:val="auto"/>
                      <w:sz w:val="21"/>
                      <w:szCs w:val="24"/>
                      <w:vertAlign w:val="baseline"/>
                    </w:rPr>
                  </w:pPr>
                </w:p>
              </w:tc>
              <w:tc>
                <w:tcPr>
                  <w:tcW w:w="1873" w:type="dxa"/>
                  <w:vAlign w:val="center"/>
                </w:tcPr>
                <w:p w14:paraId="4F15D9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UV油墨</w:t>
                  </w:r>
                </w:p>
              </w:tc>
              <w:tc>
                <w:tcPr>
                  <w:tcW w:w="1062" w:type="dxa"/>
                  <w:vAlign w:val="center"/>
                </w:tcPr>
                <w:p w14:paraId="4835F1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液态</w:t>
                  </w:r>
                </w:p>
              </w:tc>
              <w:tc>
                <w:tcPr>
                  <w:tcW w:w="1219" w:type="dxa"/>
                  <w:vAlign w:val="center"/>
                </w:tcPr>
                <w:p w14:paraId="2147C8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lang w:val="en-US"/>
                    </w:rPr>
                  </w:pPr>
                  <w:r>
                    <w:rPr>
                      <w:rFonts w:hint="eastAsia" w:cs="var(--dsw-font-markdown-table)"/>
                      <w:b w:val="0"/>
                      <w:bCs w:val="0"/>
                      <w:color w:val="auto"/>
                      <w:kern w:val="0"/>
                      <w:sz w:val="21"/>
                      <w:szCs w:val="24"/>
                      <w:lang w:val="en-US" w:eastAsia="zh-CN" w:bidi="ar"/>
                    </w:rPr>
                    <w:t>0.3</w:t>
                  </w:r>
                </w:p>
              </w:tc>
              <w:tc>
                <w:tcPr>
                  <w:tcW w:w="1082" w:type="dxa"/>
                  <w:vAlign w:val="center"/>
                </w:tcPr>
                <w:p w14:paraId="0578C4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0.05</w:t>
                  </w:r>
                </w:p>
              </w:tc>
              <w:tc>
                <w:tcPr>
                  <w:tcW w:w="1324" w:type="dxa"/>
                  <w:vAlign w:val="center"/>
                </w:tcPr>
                <w:p w14:paraId="53AF62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5kg/桶</w:t>
                  </w:r>
                </w:p>
              </w:tc>
              <w:tc>
                <w:tcPr>
                  <w:tcW w:w="1405" w:type="dxa"/>
                  <w:vAlign w:val="center"/>
                </w:tcPr>
                <w:p w14:paraId="0AF0D2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UV打印</w:t>
                  </w:r>
                </w:p>
              </w:tc>
              <w:tc>
                <w:tcPr>
                  <w:tcW w:w="1058" w:type="dxa"/>
                  <w:vAlign w:val="center"/>
                </w:tcPr>
                <w:p w14:paraId="23DF3B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否</w:t>
                  </w:r>
                </w:p>
              </w:tc>
            </w:tr>
            <w:tr w14:paraId="00E41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3" w:type="dxa"/>
                  <w:shd w:val="clear" w:color="auto" w:fill="auto"/>
                  <w:vAlign w:val="center"/>
                </w:tcPr>
                <w:p w14:paraId="6EE93EC2">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b w:val="0"/>
                      <w:bCs w:val="0"/>
                      <w:color w:val="auto"/>
                      <w:sz w:val="21"/>
                      <w:szCs w:val="24"/>
                      <w:vertAlign w:val="baseline"/>
                    </w:rPr>
                  </w:pPr>
                </w:p>
              </w:tc>
              <w:tc>
                <w:tcPr>
                  <w:tcW w:w="1873" w:type="dxa"/>
                  <w:shd w:val="clear" w:color="auto" w:fill="auto"/>
                  <w:vAlign w:val="center"/>
                </w:tcPr>
                <w:p w14:paraId="696C76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eastAsia" w:ascii="Times New Roman" w:hAnsi="Times New Roman" w:eastAsia="宋体" w:cs="var(--dsw-font-markdown-table)"/>
                      <w:color w:val="auto"/>
                      <w:kern w:val="0"/>
                      <w:sz w:val="21"/>
                      <w:szCs w:val="24"/>
                      <w:lang w:val="en-US" w:eastAsia="zh-CN" w:bidi="ar"/>
                    </w:rPr>
                    <w:t>转印油墨</w:t>
                  </w:r>
                </w:p>
              </w:tc>
              <w:tc>
                <w:tcPr>
                  <w:tcW w:w="1062" w:type="dxa"/>
                  <w:shd w:val="clear" w:color="auto" w:fill="auto"/>
                  <w:vAlign w:val="center"/>
                </w:tcPr>
                <w:p w14:paraId="33838E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液态</w:t>
                  </w:r>
                </w:p>
              </w:tc>
              <w:tc>
                <w:tcPr>
                  <w:tcW w:w="1219" w:type="dxa"/>
                  <w:shd w:val="clear" w:color="auto" w:fill="auto"/>
                  <w:vAlign w:val="center"/>
                </w:tcPr>
                <w:p w14:paraId="566D22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0.4</w:t>
                  </w:r>
                </w:p>
              </w:tc>
              <w:tc>
                <w:tcPr>
                  <w:tcW w:w="1082" w:type="dxa"/>
                  <w:shd w:val="clear" w:color="auto" w:fill="auto"/>
                  <w:vAlign w:val="center"/>
                </w:tcPr>
                <w:p w14:paraId="1159FE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0.05</w:t>
                  </w:r>
                </w:p>
              </w:tc>
              <w:tc>
                <w:tcPr>
                  <w:tcW w:w="1324" w:type="dxa"/>
                  <w:shd w:val="clear" w:color="auto" w:fill="auto"/>
                  <w:vAlign w:val="center"/>
                </w:tcPr>
                <w:p w14:paraId="2CD540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5kg/桶</w:t>
                  </w:r>
                </w:p>
              </w:tc>
              <w:tc>
                <w:tcPr>
                  <w:tcW w:w="1405" w:type="dxa"/>
                  <w:shd w:val="clear" w:color="auto" w:fill="auto"/>
                  <w:vAlign w:val="center"/>
                </w:tcPr>
                <w:p w14:paraId="77ED48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转印</w:t>
                  </w:r>
                </w:p>
              </w:tc>
              <w:tc>
                <w:tcPr>
                  <w:tcW w:w="1058" w:type="dxa"/>
                  <w:shd w:val="clear" w:color="auto" w:fill="auto"/>
                  <w:vAlign w:val="center"/>
                </w:tcPr>
                <w:p w14:paraId="6EF37F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否</w:t>
                  </w:r>
                </w:p>
              </w:tc>
            </w:tr>
            <w:tr w14:paraId="1C194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3" w:type="dxa"/>
                  <w:vAlign w:val="center"/>
                </w:tcPr>
                <w:p w14:paraId="09C6D551">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b w:val="0"/>
                      <w:bCs w:val="0"/>
                      <w:color w:val="auto"/>
                      <w:sz w:val="21"/>
                      <w:szCs w:val="24"/>
                      <w:vertAlign w:val="baseline"/>
                    </w:rPr>
                  </w:pPr>
                </w:p>
              </w:tc>
              <w:tc>
                <w:tcPr>
                  <w:tcW w:w="1873" w:type="dxa"/>
                  <w:shd w:val="clear" w:color="auto" w:fill="auto"/>
                  <w:vAlign w:val="center"/>
                </w:tcPr>
                <w:p w14:paraId="6BF6D3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highlight w:val="none"/>
                      <w:vertAlign w:val="baseline"/>
                    </w:rPr>
                  </w:pPr>
                  <w:r>
                    <w:rPr>
                      <w:rFonts w:hint="default" w:ascii="Times New Roman" w:hAnsi="Times New Roman" w:eastAsia="宋体" w:cs="var(--dsw-font-markdown-table)"/>
                      <w:b w:val="0"/>
                      <w:bCs w:val="0"/>
                      <w:color w:val="auto"/>
                      <w:kern w:val="0"/>
                      <w:sz w:val="21"/>
                      <w:szCs w:val="24"/>
                      <w:highlight w:val="none"/>
                      <w:lang w:val="en-US" w:eastAsia="zh-CN" w:bidi="ar"/>
                    </w:rPr>
                    <w:t>感光胶</w:t>
                  </w:r>
                </w:p>
              </w:tc>
              <w:tc>
                <w:tcPr>
                  <w:tcW w:w="1062" w:type="dxa"/>
                  <w:shd w:val="clear" w:color="auto" w:fill="auto"/>
                  <w:vAlign w:val="center"/>
                </w:tcPr>
                <w:p w14:paraId="7DD5A3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highlight w:val="none"/>
                      <w:vertAlign w:val="baseline"/>
                    </w:rPr>
                  </w:pPr>
                  <w:r>
                    <w:rPr>
                      <w:rFonts w:hint="default" w:ascii="Times New Roman" w:hAnsi="Times New Roman" w:eastAsia="宋体" w:cs="var(--dsw-font-markdown-table)"/>
                      <w:b w:val="0"/>
                      <w:bCs w:val="0"/>
                      <w:color w:val="auto"/>
                      <w:kern w:val="0"/>
                      <w:sz w:val="21"/>
                      <w:szCs w:val="24"/>
                      <w:highlight w:val="none"/>
                      <w:lang w:val="en-US" w:eastAsia="zh-CN" w:bidi="ar"/>
                    </w:rPr>
                    <w:t>液态</w:t>
                  </w:r>
                </w:p>
              </w:tc>
              <w:tc>
                <w:tcPr>
                  <w:tcW w:w="1219" w:type="dxa"/>
                  <w:shd w:val="clear" w:color="auto" w:fill="auto"/>
                  <w:vAlign w:val="center"/>
                </w:tcPr>
                <w:p w14:paraId="039C00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highlight w:val="none"/>
                      <w:vertAlign w:val="baseline"/>
                    </w:rPr>
                  </w:pPr>
                  <w:r>
                    <w:rPr>
                      <w:rFonts w:hint="default" w:ascii="Times New Roman" w:hAnsi="Times New Roman" w:eastAsia="宋体" w:cs="var(--dsw-font-markdown-table)"/>
                      <w:b w:val="0"/>
                      <w:bCs w:val="0"/>
                      <w:color w:val="auto"/>
                      <w:kern w:val="0"/>
                      <w:sz w:val="21"/>
                      <w:szCs w:val="24"/>
                      <w:highlight w:val="none"/>
                      <w:lang w:val="en-US" w:eastAsia="zh-CN" w:bidi="ar"/>
                    </w:rPr>
                    <w:t>0.2</w:t>
                  </w:r>
                </w:p>
              </w:tc>
              <w:tc>
                <w:tcPr>
                  <w:tcW w:w="1082" w:type="dxa"/>
                  <w:shd w:val="clear" w:color="auto" w:fill="auto"/>
                  <w:vAlign w:val="center"/>
                </w:tcPr>
                <w:p w14:paraId="505215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highlight w:val="none"/>
                      <w:vertAlign w:val="baseline"/>
                    </w:rPr>
                  </w:pPr>
                  <w:r>
                    <w:rPr>
                      <w:rFonts w:hint="default" w:ascii="Times New Roman" w:hAnsi="Times New Roman" w:eastAsia="宋体" w:cs="var(--dsw-font-markdown-table)"/>
                      <w:b w:val="0"/>
                      <w:bCs w:val="0"/>
                      <w:color w:val="auto"/>
                      <w:kern w:val="0"/>
                      <w:sz w:val="21"/>
                      <w:szCs w:val="24"/>
                      <w:highlight w:val="none"/>
                      <w:lang w:val="en-US" w:eastAsia="zh-CN" w:bidi="ar"/>
                    </w:rPr>
                    <w:t>0.02</w:t>
                  </w:r>
                </w:p>
              </w:tc>
              <w:tc>
                <w:tcPr>
                  <w:tcW w:w="1324" w:type="dxa"/>
                  <w:shd w:val="clear" w:color="auto" w:fill="auto"/>
                  <w:vAlign w:val="center"/>
                </w:tcPr>
                <w:p w14:paraId="66E4AD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highlight w:val="none"/>
                      <w:vertAlign w:val="baseline"/>
                    </w:rPr>
                  </w:pPr>
                  <w:r>
                    <w:rPr>
                      <w:rFonts w:hint="default" w:ascii="Times New Roman" w:hAnsi="Times New Roman" w:eastAsia="宋体" w:cs="var(--dsw-font-markdown-table)"/>
                      <w:b w:val="0"/>
                      <w:bCs w:val="0"/>
                      <w:color w:val="auto"/>
                      <w:kern w:val="0"/>
                      <w:sz w:val="21"/>
                      <w:szCs w:val="24"/>
                      <w:highlight w:val="none"/>
                      <w:lang w:val="en-US" w:eastAsia="zh-CN" w:bidi="ar"/>
                    </w:rPr>
                    <w:t>5kg/桶</w:t>
                  </w:r>
                </w:p>
              </w:tc>
              <w:tc>
                <w:tcPr>
                  <w:tcW w:w="1405" w:type="dxa"/>
                  <w:shd w:val="clear" w:color="auto" w:fill="auto"/>
                  <w:vAlign w:val="center"/>
                </w:tcPr>
                <w:p w14:paraId="091CBF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highlight w:val="none"/>
                      <w:vertAlign w:val="baseline"/>
                    </w:rPr>
                  </w:pPr>
                  <w:r>
                    <w:rPr>
                      <w:rFonts w:hint="eastAsia" w:ascii="Calibri" w:hAnsi="Calibri" w:eastAsia="宋体" w:cs="Times New Roman"/>
                      <w:b w:val="0"/>
                      <w:bCs w:val="0"/>
                      <w:color w:val="auto"/>
                      <w:kern w:val="2"/>
                      <w:sz w:val="21"/>
                      <w:szCs w:val="21"/>
                      <w:highlight w:val="none"/>
                      <w:lang w:val="en-US" w:eastAsia="zh-CN" w:bidi="ar-SA"/>
                    </w:rPr>
                    <w:t>制版</w:t>
                  </w:r>
                </w:p>
              </w:tc>
              <w:tc>
                <w:tcPr>
                  <w:tcW w:w="1058" w:type="dxa"/>
                  <w:shd w:val="clear" w:color="auto" w:fill="auto"/>
                  <w:vAlign w:val="center"/>
                </w:tcPr>
                <w:p w14:paraId="53DD6B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highlight w:val="none"/>
                      <w:vertAlign w:val="baseline"/>
                    </w:rPr>
                  </w:pPr>
                  <w:r>
                    <w:rPr>
                      <w:rFonts w:hint="default" w:ascii="Times New Roman" w:hAnsi="Times New Roman" w:eastAsia="宋体" w:cs="var(--dsw-font-markdown-table)"/>
                      <w:b w:val="0"/>
                      <w:bCs w:val="0"/>
                      <w:color w:val="auto"/>
                      <w:kern w:val="0"/>
                      <w:sz w:val="21"/>
                      <w:szCs w:val="24"/>
                      <w:highlight w:val="none"/>
                      <w:lang w:val="en-US" w:eastAsia="zh-CN" w:bidi="ar"/>
                    </w:rPr>
                    <w:t>否</w:t>
                  </w:r>
                </w:p>
              </w:tc>
            </w:tr>
            <w:tr w14:paraId="00E74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3" w:type="dxa"/>
                  <w:vAlign w:val="center"/>
                </w:tcPr>
                <w:p w14:paraId="5027115A">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b w:val="0"/>
                      <w:bCs w:val="0"/>
                      <w:color w:val="auto"/>
                      <w:sz w:val="21"/>
                      <w:szCs w:val="24"/>
                      <w:vertAlign w:val="baseline"/>
                    </w:rPr>
                  </w:pPr>
                </w:p>
              </w:tc>
              <w:tc>
                <w:tcPr>
                  <w:tcW w:w="1873" w:type="dxa"/>
                  <w:shd w:val="clear" w:color="auto" w:fill="auto"/>
                  <w:vAlign w:val="center"/>
                </w:tcPr>
                <w:p w14:paraId="773C31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highlight w:val="none"/>
                      <w:vertAlign w:val="baseline"/>
                    </w:rPr>
                  </w:pPr>
                  <w:r>
                    <w:rPr>
                      <w:rFonts w:hint="default" w:ascii="Times New Roman" w:hAnsi="Times New Roman" w:eastAsia="宋体" w:cs="var(--dsw-font-markdown-table)"/>
                      <w:b w:val="0"/>
                      <w:bCs w:val="0"/>
                      <w:color w:val="auto"/>
                      <w:kern w:val="0"/>
                      <w:sz w:val="21"/>
                      <w:szCs w:val="24"/>
                      <w:highlight w:val="none"/>
                      <w:lang w:val="en-US" w:eastAsia="zh-CN" w:bidi="ar"/>
                    </w:rPr>
                    <w:t>网版</w:t>
                  </w:r>
                </w:p>
              </w:tc>
              <w:tc>
                <w:tcPr>
                  <w:tcW w:w="1062" w:type="dxa"/>
                  <w:shd w:val="clear" w:color="auto" w:fill="auto"/>
                  <w:vAlign w:val="center"/>
                </w:tcPr>
                <w:p w14:paraId="08B2E4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highlight w:val="none"/>
                      <w:vertAlign w:val="baseline"/>
                    </w:rPr>
                  </w:pPr>
                  <w:r>
                    <w:rPr>
                      <w:rFonts w:hint="default" w:ascii="Times New Roman" w:hAnsi="Times New Roman" w:eastAsia="宋体" w:cs="var(--dsw-font-markdown-table)"/>
                      <w:b w:val="0"/>
                      <w:bCs w:val="0"/>
                      <w:color w:val="auto"/>
                      <w:kern w:val="0"/>
                      <w:sz w:val="21"/>
                      <w:szCs w:val="24"/>
                      <w:highlight w:val="none"/>
                      <w:lang w:val="en-US" w:eastAsia="zh-CN" w:bidi="ar"/>
                    </w:rPr>
                    <w:t>固态</w:t>
                  </w:r>
                </w:p>
              </w:tc>
              <w:tc>
                <w:tcPr>
                  <w:tcW w:w="1219" w:type="dxa"/>
                  <w:shd w:val="clear" w:color="auto" w:fill="auto"/>
                  <w:vAlign w:val="center"/>
                </w:tcPr>
                <w:p w14:paraId="741D8F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highlight w:val="none"/>
                      <w:vertAlign w:val="baseline"/>
                    </w:rPr>
                  </w:pPr>
                  <w:r>
                    <w:rPr>
                      <w:rFonts w:hint="default" w:ascii="Times New Roman" w:hAnsi="Times New Roman" w:eastAsia="宋体" w:cs="var(--dsw-font-markdown-table)"/>
                      <w:b w:val="0"/>
                      <w:bCs w:val="0"/>
                      <w:color w:val="auto"/>
                      <w:kern w:val="0"/>
                      <w:sz w:val="21"/>
                      <w:szCs w:val="24"/>
                      <w:highlight w:val="none"/>
                      <w:lang w:val="en-US" w:eastAsia="zh-CN" w:bidi="ar"/>
                    </w:rPr>
                    <w:t>100块</w:t>
                  </w:r>
                </w:p>
              </w:tc>
              <w:tc>
                <w:tcPr>
                  <w:tcW w:w="1082" w:type="dxa"/>
                  <w:shd w:val="clear" w:color="auto" w:fill="auto"/>
                  <w:vAlign w:val="center"/>
                </w:tcPr>
                <w:p w14:paraId="3B499F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highlight w:val="none"/>
                      <w:vertAlign w:val="baseline"/>
                    </w:rPr>
                  </w:pPr>
                  <w:r>
                    <w:rPr>
                      <w:rFonts w:hint="default" w:ascii="Times New Roman" w:hAnsi="Times New Roman" w:eastAsia="宋体" w:cs="var(--dsw-font-markdown-table)"/>
                      <w:b w:val="0"/>
                      <w:bCs w:val="0"/>
                      <w:color w:val="auto"/>
                      <w:kern w:val="0"/>
                      <w:sz w:val="21"/>
                      <w:szCs w:val="24"/>
                      <w:highlight w:val="none"/>
                      <w:lang w:val="en-US" w:eastAsia="zh-CN" w:bidi="ar"/>
                    </w:rPr>
                    <w:t>100块</w:t>
                  </w:r>
                </w:p>
              </w:tc>
              <w:tc>
                <w:tcPr>
                  <w:tcW w:w="1324" w:type="dxa"/>
                  <w:shd w:val="clear" w:color="auto" w:fill="auto"/>
                  <w:vAlign w:val="center"/>
                </w:tcPr>
                <w:p w14:paraId="792676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highlight w:val="none"/>
                      <w:vertAlign w:val="baseline"/>
                      <w:lang w:val="en-US" w:eastAsia="zh-CN"/>
                    </w:rPr>
                  </w:pPr>
                  <w:r>
                    <w:rPr>
                      <w:rFonts w:hint="eastAsia" w:ascii="Times New Roman" w:hAnsi="Times New Roman" w:eastAsia="宋体" w:cs="var(--dsw-font-markdown-table)"/>
                      <w:b w:val="0"/>
                      <w:bCs w:val="0"/>
                      <w:color w:val="auto"/>
                      <w:kern w:val="0"/>
                      <w:sz w:val="21"/>
                      <w:szCs w:val="24"/>
                      <w:highlight w:val="none"/>
                      <w:lang w:val="en-US" w:eastAsia="zh-CN" w:bidi="ar"/>
                    </w:rPr>
                    <w:t>100块</w:t>
                  </w:r>
                </w:p>
              </w:tc>
              <w:tc>
                <w:tcPr>
                  <w:tcW w:w="1405" w:type="dxa"/>
                  <w:shd w:val="clear" w:color="auto" w:fill="auto"/>
                  <w:vAlign w:val="center"/>
                </w:tcPr>
                <w:p w14:paraId="0CD273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highlight w:val="none"/>
                      <w:vertAlign w:val="baseline"/>
                    </w:rPr>
                  </w:pPr>
                  <w:r>
                    <w:rPr>
                      <w:rFonts w:hint="eastAsia" w:ascii="Calibri" w:hAnsi="Calibri" w:eastAsia="宋体" w:cs="Times New Roman"/>
                      <w:b w:val="0"/>
                      <w:bCs w:val="0"/>
                      <w:color w:val="auto"/>
                      <w:kern w:val="2"/>
                      <w:sz w:val="21"/>
                      <w:szCs w:val="21"/>
                      <w:highlight w:val="none"/>
                      <w:lang w:val="en-US" w:eastAsia="zh-CN" w:bidi="ar-SA"/>
                    </w:rPr>
                    <w:t>制版</w:t>
                  </w:r>
                </w:p>
              </w:tc>
              <w:tc>
                <w:tcPr>
                  <w:tcW w:w="1058" w:type="dxa"/>
                  <w:shd w:val="clear" w:color="auto" w:fill="auto"/>
                  <w:vAlign w:val="center"/>
                </w:tcPr>
                <w:p w14:paraId="3331E5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highlight w:val="none"/>
                      <w:vertAlign w:val="baseline"/>
                    </w:rPr>
                  </w:pPr>
                  <w:r>
                    <w:rPr>
                      <w:rFonts w:hint="default" w:ascii="Times New Roman" w:hAnsi="Times New Roman" w:eastAsia="宋体" w:cs="var(--dsw-font-markdown-table)"/>
                      <w:b w:val="0"/>
                      <w:bCs w:val="0"/>
                      <w:color w:val="auto"/>
                      <w:kern w:val="0"/>
                      <w:sz w:val="21"/>
                      <w:szCs w:val="24"/>
                      <w:highlight w:val="none"/>
                      <w:lang w:val="en-US" w:eastAsia="zh-CN" w:bidi="ar"/>
                    </w:rPr>
                    <w:t>否</w:t>
                  </w:r>
                </w:p>
              </w:tc>
            </w:tr>
            <w:tr w14:paraId="29E34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3" w:type="dxa"/>
                  <w:vAlign w:val="center"/>
                </w:tcPr>
                <w:p w14:paraId="3407DFA1">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b w:val="0"/>
                      <w:bCs w:val="0"/>
                      <w:color w:val="auto"/>
                      <w:sz w:val="21"/>
                      <w:szCs w:val="24"/>
                      <w:vertAlign w:val="baseline"/>
                    </w:rPr>
                  </w:pPr>
                </w:p>
              </w:tc>
              <w:tc>
                <w:tcPr>
                  <w:tcW w:w="1873" w:type="dxa"/>
                  <w:shd w:val="clear" w:color="auto" w:fill="auto"/>
                  <w:vAlign w:val="center"/>
                </w:tcPr>
                <w:p w14:paraId="69B553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highlight w:val="none"/>
                      <w:vertAlign w:val="baseline"/>
                    </w:rPr>
                  </w:pPr>
                  <w:r>
                    <w:rPr>
                      <w:rFonts w:hint="default" w:ascii="Times New Roman" w:hAnsi="Times New Roman" w:eastAsia="宋体" w:cs="var(--dsw-font-markdown-table)"/>
                      <w:b w:val="0"/>
                      <w:bCs w:val="0"/>
                      <w:color w:val="auto"/>
                      <w:kern w:val="0"/>
                      <w:sz w:val="21"/>
                      <w:szCs w:val="24"/>
                      <w:highlight w:val="none"/>
                      <w:lang w:val="en-US" w:eastAsia="zh-CN" w:bidi="ar"/>
                    </w:rPr>
                    <w:t>菲林片</w:t>
                  </w:r>
                </w:p>
              </w:tc>
              <w:tc>
                <w:tcPr>
                  <w:tcW w:w="1062" w:type="dxa"/>
                  <w:shd w:val="clear" w:color="auto" w:fill="auto"/>
                  <w:vAlign w:val="center"/>
                </w:tcPr>
                <w:p w14:paraId="7B8459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highlight w:val="none"/>
                      <w:vertAlign w:val="baseline"/>
                    </w:rPr>
                  </w:pPr>
                  <w:r>
                    <w:rPr>
                      <w:rFonts w:hint="default" w:ascii="Times New Roman" w:hAnsi="Times New Roman" w:eastAsia="宋体" w:cs="var(--dsw-font-markdown-table)"/>
                      <w:b w:val="0"/>
                      <w:bCs w:val="0"/>
                      <w:color w:val="auto"/>
                      <w:kern w:val="0"/>
                      <w:sz w:val="21"/>
                      <w:szCs w:val="24"/>
                      <w:highlight w:val="none"/>
                      <w:lang w:val="en-US" w:eastAsia="zh-CN" w:bidi="ar"/>
                    </w:rPr>
                    <w:t>固态</w:t>
                  </w:r>
                </w:p>
              </w:tc>
              <w:tc>
                <w:tcPr>
                  <w:tcW w:w="1219" w:type="dxa"/>
                  <w:shd w:val="clear" w:color="auto" w:fill="auto"/>
                  <w:vAlign w:val="center"/>
                </w:tcPr>
                <w:p w14:paraId="5D9FF4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highlight w:val="none"/>
                      <w:vertAlign w:val="baseline"/>
                      <w:lang w:val="en-US"/>
                    </w:rPr>
                  </w:pPr>
                  <w:r>
                    <w:rPr>
                      <w:rFonts w:hint="eastAsia" w:cs="var(--dsw-font-markdown-table)"/>
                      <w:b w:val="0"/>
                      <w:bCs w:val="0"/>
                      <w:color w:val="auto"/>
                      <w:kern w:val="0"/>
                      <w:sz w:val="21"/>
                      <w:szCs w:val="24"/>
                      <w:highlight w:val="none"/>
                      <w:lang w:val="en-US" w:eastAsia="zh-CN" w:bidi="ar"/>
                    </w:rPr>
                    <w:t>0.2吨</w:t>
                  </w:r>
                </w:p>
              </w:tc>
              <w:tc>
                <w:tcPr>
                  <w:tcW w:w="1082" w:type="dxa"/>
                  <w:shd w:val="clear" w:color="auto" w:fill="auto"/>
                  <w:vAlign w:val="center"/>
                </w:tcPr>
                <w:p w14:paraId="685D39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highlight w:val="none"/>
                      <w:vertAlign w:val="baseline"/>
                    </w:rPr>
                  </w:pPr>
                  <w:r>
                    <w:rPr>
                      <w:rFonts w:hint="eastAsia" w:cs="var(--dsw-font-markdown-table)"/>
                      <w:b w:val="0"/>
                      <w:bCs w:val="0"/>
                      <w:color w:val="auto"/>
                      <w:kern w:val="0"/>
                      <w:sz w:val="21"/>
                      <w:szCs w:val="24"/>
                      <w:highlight w:val="none"/>
                      <w:lang w:val="en-US" w:eastAsia="zh-CN" w:bidi="ar"/>
                    </w:rPr>
                    <w:t>0.02吨</w:t>
                  </w:r>
                </w:p>
              </w:tc>
              <w:tc>
                <w:tcPr>
                  <w:tcW w:w="1324" w:type="dxa"/>
                  <w:shd w:val="clear" w:color="auto" w:fill="auto"/>
                  <w:vAlign w:val="center"/>
                </w:tcPr>
                <w:p w14:paraId="3794C7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highlight w:val="none"/>
                      <w:vertAlign w:val="baseline"/>
                      <w:lang w:val="en-US"/>
                    </w:rPr>
                  </w:pPr>
                  <w:r>
                    <w:rPr>
                      <w:rFonts w:hint="eastAsia" w:cs="var(--dsw-font-markdown-table)"/>
                      <w:b w:val="0"/>
                      <w:bCs w:val="0"/>
                      <w:color w:val="auto"/>
                      <w:kern w:val="0"/>
                      <w:sz w:val="21"/>
                      <w:szCs w:val="24"/>
                      <w:highlight w:val="none"/>
                      <w:lang w:val="en-US" w:eastAsia="zh-CN" w:bidi="ar"/>
                    </w:rPr>
                    <w:t>/</w:t>
                  </w:r>
                </w:p>
              </w:tc>
              <w:tc>
                <w:tcPr>
                  <w:tcW w:w="1405" w:type="dxa"/>
                  <w:shd w:val="clear" w:color="auto" w:fill="auto"/>
                  <w:vAlign w:val="center"/>
                </w:tcPr>
                <w:p w14:paraId="609632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highlight w:val="none"/>
                      <w:vertAlign w:val="baseline"/>
                    </w:rPr>
                  </w:pPr>
                  <w:r>
                    <w:rPr>
                      <w:rFonts w:hint="eastAsia" w:ascii="Calibri" w:hAnsi="Calibri" w:eastAsia="宋体" w:cs="Times New Roman"/>
                      <w:b w:val="0"/>
                      <w:bCs w:val="0"/>
                      <w:color w:val="auto"/>
                      <w:kern w:val="2"/>
                      <w:sz w:val="21"/>
                      <w:szCs w:val="21"/>
                      <w:highlight w:val="none"/>
                      <w:lang w:val="en-US" w:eastAsia="zh-CN" w:bidi="ar-SA"/>
                    </w:rPr>
                    <w:t>曝光</w:t>
                  </w:r>
                </w:p>
              </w:tc>
              <w:tc>
                <w:tcPr>
                  <w:tcW w:w="1058" w:type="dxa"/>
                  <w:shd w:val="clear" w:color="auto" w:fill="auto"/>
                  <w:vAlign w:val="center"/>
                </w:tcPr>
                <w:p w14:paraId="1BD279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highlight w:val="none"/>
                      <w:vertAlign w:val="baseline"/>
                    </w:rPr>
                  </w:pPr>
                  <w:r>
                    <w:rPr>
                      <w:rFonts w:hint="default" w:ascii="Times New Roman" w:hAnsi="Times New Roman" w:eastAsia="宋体" w:cs="var(--dsw-font-markdown-table)"/>
                      <w:b w:val="0"/>
                      <w:bCs w:val="0"/>
                      <w:color w:val="auto"/>
                      <w:kern w:val="0"/>
                      <w:sz w:val="21"/>
                      <w:szCs w:val="24"/>
                      <w:highlight w:val="none"/>
                      <w:lang w:val="en-US" w:eastAsia="zh-CN" w:bidi="ar"/>
                    </w:rPr>
                    <w:t>否</w:t>
                  </w:r>
                </w:p>
              </w:tc>
            </w:tr>
            <w:tr w14:paraId="474E2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3" w:type="dxa"/>
                  <w:vAlign w:val="center"/>
                </w:tcPr>
                <w:p w14:paraId="38247661">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b w:val="0"/>
                      <w:bCs w:val="0"/>
                      <w:color w:val="auto"/>
                      <w:sz w:val="21"/>
                      <w:szCs w:val="24"/>
                      <w:vertAlign w:val="baseline"/>
                    </w:rPr>
                  </w:pPr>
                </w:p>
              </w:tc>
              <w:tc>
                <w:tcPr>
                  <w:tcW w:w="1873" w:type="dxa"/>
                  <w:vAlign w:val="center"/>
                </w:tcPr>
                <w:p w14:paraId="2CA699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皮革</w:t>
                  </w:r>
                </w:p>
              </w:tc>
              <w:tc>
                <w:tcPr>
                  <w:tcW w:w="1062" w:type="dxa"/>
                  <w:vAlign w:val="center"/>
                </w:tcPr>
                <w:p w14:paraId="2FA503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固态</w:t>
                  </w:r>
                </w:p>
              </w:tc>
              <w:tc>
                <w:tcPr>
                  <w:tcW w:w="1219" w:type="dxa"/>
                  <w:vAlign w:val="center"/>
                </w:tcPr>
                <w:p w14:paraId="1EF286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130</w:t>
                  </w:r>
                </w:p>
              </w:tc>
              <w:tc>
                <w:tcPr>
                  <w:tcW w:w="1082" w:type="dxa"/>
                  <w:vAlign w:val="center"/>
                </w:tcPr>
                <w:p w14:paraId="63AFAC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15</w:t>
                  </w:r>
                </w:p>
              </w:tc>
              <w:tc>
                <w:tcPr>
                  <w:tcW w:w="1324" w:type="dxa"/>
                  <w:vAlign w:val="center"/>
                </w:tcPr>
                <w:p w14:paraId="773F53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w:t>
                  </w:r>
                </w:p>
              </w:tc>
              <w:tc>
                <w:tcPr>
                  <w:tcW w:w="1405" w:type="dxa"/>
                  <w:vMerge w:val="restart"/>
                  <w:vAlign w:val="center"/>
                </w:tcPr>
                <w:p w14:paraId="120F96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鞋面制造</w:t>
                  </w:r>
                </w:p>
              </w:tc>
              <w:tc>
                <w:tcPr>
                  <w:tcW w:w="1058" w:type="dxa"/>
                  <w:vAlign w:val="center"/>
                </w:tcPr>
                <w:p w14:paraId="38A4A6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否</w:t>
                  </w:r>
                </w:p>
              </w:tc>
            </w:tr>
            <w:tr w14:paraId="62C86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3" w:type="dxa"/>
                  <w:vAlign w:val="center"/>
                </w:tcPr>
                <w:p w14:paraId="2B26C54A">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b w:val="0"/>
                      <w:bCs w:val="0"/>
                      <w:color w:val="auto"/>
                      <w:sz w:val="21"/>
                      <w:szCs w:val="24"/>
                      <w:vertAlign w:val="baseline"/>
                    </w:rPr>
                  </w:pPr>
                </w:p>
              </w:tc>
              <w:tc>
                <w:tcPr>
                  <w:tcW w:w="1873" w:type="dxa"/>
                  <w:vAlign w:val="center"/>
                </w:tcPr>
                <w:p w14:paraId="26E760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网布</w:t>
                  </w:r>
                </w:p>
              </w:tc>
              <w:tc>
                <w:tcPr>
                  <w:tcW w:w="1062" w:type="dxa"/>
                  <w:vAlign w:val="center"/>
                </w:tcPr>
                <w:p w14:paraId="12A033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固态</w:t>
                  </w:r>
                </w:p>
              </w:tc>
              <w:tc>
                <w:tcPr>
                  <w:tcW w:w="1219" w:type="dxa"/>
                  <w:vAlign w:val="center"/>
                </w:tcPr>
                <w:p w14:paraId="0D1055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130</w:t>
                  </w:r>
                </w:p>
              </w:tc>
              <w:tc>
                <w:tcPr>
                  <w:tcW w:w="1082" w:type="dxa"/>
                  <w:vAlign w:val="center"/>
                </w:tcPr>
                <w:p w14:paraId="4631C8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15</w:t>
                  </w:r>
                </w:p>
              </w:tc>
              <w:tc>
                <w:tcPr>
                  <w:tcW w:w="1324" w:type="dxa"/>
                  <w:vAlign w:val="center"/>
                </w:tcPr>
                <w:p w14:paraId="2D1F22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w:t>
                  </w:r>
                </w:p>
              </w:tc>
              <w:tc>
                <w:tcPr>
                  <w:tcW w:w="1405" w:type="dxa"/>
                  <w:vMerge w:val="continue"/>
                  <w:vAlign w:val="center"/>
                </w:tcPr>
                <w:p w14:paraId="51BC65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p>
              </w:tc>
              <w:tc>
                <w:tcPr>
                  <w:tcW w:w="1058" w:type="dxa"/>
                  <w:vAlign w:val="center"/>
                </w:tcPr>
                <w:p w14:paraId="780385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否</w:t>
                  </w:r>
                </w:p>
              </w:tc>
            </w:tr>
            <w:tr w14:paraId="046FF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3" w:type="dxa"/>
                  <w:vAlign w:val="center"/>
                </w:tcPr>
                <w:p w14:paraId="2D34EC89">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b w:val="0"/>
                      <w:bCs w:val="0"/>
                      <w:color w:val="auto"/>
                      <w:sz w:val="21"/>
                      <w:szCs w:val="24"/>
                      <w:vertAlign w:val="baseline"/>
                    </w:rPr>
                  </w:pPr>
                </w:p>
              </w:tc>
              <w:tc>
                <w:tcPr>
                  <w:tcW w:w="1873" w:type="dxa"/>
                  <w:vAlign w:val="center"/>
                </w:tcPr>
                <w:p w14:paraId="03C908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鞋带</w:t>
                  </w:r>
                </w:p>
              </w:tc>
              <w:tc>
                <w:tcPr>
                  <w:tcW w:w="1062" w:type="dxa"/>
                  <w:vAlign w:val="center"/>
                </w:tcPr>
                <w:p w14:paraId="4436EB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固态</w:t>
                  </w:r>
                </w:p>
              </w:tc>
              <w:tc>
                <w:tcPr>
                  <w:tcW w:w="1219" w:type="dxa"/>
                  <w:vAlign w:val="center"/>
                </w:tcPr>
                <w:p w14:paraId="04069C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50万双</w:t>
                  </w:r>
                </w:p>
              </w:tc>
              <w:tc>
                <w:tcPr>
                  <w:tcW w:w="1082" w:type="dxa"/>
                  <w:vAlign w:val="center"/>
                </w:tcPr>
                <w:p w14:paraId="34F05C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5万双</w:t>
                  </w:r>
                </w:p>
              </w:tc>
              <w:tc>
                <w:tcPr>
                  <w:tcW w:w="1324" w:type="dxa"/>
                  <w:vAlign w:val="center"/>
                </w:tcPr>
                <w:p w14:paraId="505FE8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w:t>
                  </w:r>
                </w:p>
              </w:tc>
              <w:tc>
                <w:tcPr>
                  <w:tcW w:w="1405" w:type="dxa"/>
                  <w:vMerge w:val="restart"/>
                  <w:vAlign w:val="center"/>
                </w:tcPr>
                <w:p w14:paraId="7E584B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组装</w:t>
                  </w:r>
                </w:p>
              </w:tc>
              <w:tc>
                <w:tcPr>
                  <w:tcW w:w="1058" w:type="dxa"/>
                  <w:vAlign w:val="center"/>
                </w:tcPr>
                <w:p w14:paraId="4B9EB3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否</w:t>
                  </w:r>
                </w:p>
              </w:tc>
            </w:tr>
            <w:tr w14:paraId="36416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3" w:type="dxa"/>
                  <w:vAlign w:val="center"/>
                </w:tcPr>
                <w:p w14:paraId="73886399">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b w:val="0"/>
                      <w:bCs w:val="0"/>
                      <w:color w:val="auto"/>
                      <w:sz w:val="21"/>
                      <w:szCs w:val="24"/>
                      <w:vertAlign w:val="baseline"/>
                    </w:rPr>
                  </w:pPr>
                </w:p>
              </w:tc>
              <w:tc>
                <w:tcPr>
                  <w:tcW w:w="1873" w:type="dxa"/>
                  <w:vAlign w:val="center"/>
                </w:tcPr>
                <w:p w14:paraId="0C27CA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鞋垫</w:t>
                  </w:r>
                </w:p>
              </w:tc>
              <w:tc>
                <w:tcPr>
                  <w:tcW w:w="1062" w:type="dxa"/>
                  <w:vAlign w:val="center"/>
                </w:tcPr>
                <w:p w14:paraId="112F84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固态</w:t>
                  </w:r>
                </w:p>
              </w:tc>
              <w:tc>
                <w:tcPr>
                  <w:tcW w:w="1219" w:type="dxa"/>
                  <w:vAlign w:val="center"/>
                </w:tcPr>
                <w:p w14:paraId="285006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150万双</w:t>
                  </w:r>
                </w:p>
              </w:tc>
              <w:tc>
                <w:tcPr>
                  <w:tcW w:w="1082" w:type="dxa"/>
                  <w:vAlign w:val="center"/>
                </w:tcPr>
                <w:p w14:paraId="62EE03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15万双</w:t>
                  </w:r>
                </w:p>
              </w:tc>
              <w:tc>
                <w:tcPr>
                  <w:tcW w:w="1324" w:type="dxa"/>
                  <w:vAlign w:val="center"/>
                </w:tcPr>
                <w:p w14:paraId="2600D6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w:t>
                  </w:r>
                </w:p>
              </w:tc>
              <w:tc>
                <w:tcPr>
                  <w:tcW w:w="1405" w:type="dxa"/>
                  <w:vMerge w:val="continue"/>
                  <w:vAlign w:val="center"/>
                </w:tcPr>
                <w:p w14:paraId="60C3E2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p>
              </w:tc>
              <w:tc>
                <w:tcPr>
                  <w:tcW w:w="1058" w:type="dxa"/>
                  <w:vAlign w:val="center"/>
                </w:tcPr>
                <w:p w14:paraId="22A2D7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否</w:t>
                  </w:r>
                </w:p>
              </w:tc>
            </w:tr>
            <w:tr w14:paraId="09A96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3" w:type="dxa"/>
                  <w:vAlign w:val="center"/>
                </w:tcPr>
                <w:p w14:paraId="134AA04D">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b w:val="0"/>
                      <w:bCs w:val="0"/>
                      <w:color w:val="auto"/>
                      <w:sz w:val="21"/>
                      <w:szCs w:val="24"/>
                      <w:vertAlign w:val="baseline"/>
                    </w:rPr>
                  </w:pPr>
                </w:p>
              </w:tc>
              <w:tc>
                <w:tcPr>
                  <w:tcW w:w="1873" w:type="dxa"/>
                  <w:vAlign w:val="center"/>
                </w:tcPr>
                <w:p w14:paraId="7070A9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针车线</w:t>
                  </w:r>
                </w:p>
              </w:tc>
              <w:tc>
                <w:tcPr>
                  <w:tcW w:w="1062" w:type="dxa"/>
                  <w:vAlign w:val="center"/>
                </w:tcPr>
                <w:p w14:paraId="07260F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固态</w:t>
                  </w:r>
                </w:p>
              </w:tc>
              <w:tc>
                <w:tcPr>
                  <w:tcW w:w="1219" w:type="dxa"/>
                  <w:vAlign w:val="center"/>
                </w:tcPr>
                <w:p w14:paraId="536C9B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10</w:t>
                  </w:r>
                </w:p>
              </w:tc>
              <w:tc>
                <w:tcPr>
                  <w:tcW w:w="1082" w:type="dxa"/>
                  <w:vAlign w:val="center"/>
                </w:tcPr>
                <w:p w14:paraId="1FDFC4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1</w:t>
                  </w:r>
                </w:p>
              </w:tc>
              <w:tc>
                <w:tcPr>
                  <w:tcW w:w="1324" w:type="dxa"/>
                  <w:vAlign w:val="center"/>
                </w:tcPr>
                <w:p w14:paraId="763923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w:t>
                  </w:r>
                </w:p>
              </w:tc>
              <w:tc>
                <w:tcPr>
                  <w:tcW w:w="1405" w:type="dxa"/>
                  <w:vAlign w:val="center"/>
                </w:tcPr>
                <w:p w14:paraId="6A8A13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针车</w:t>
                  </w:r>
                </w:p>
              </w:tc>
              <w:tc>
                <w:tcPr>
                  <w:tcW w:w="1058" w:type="dxa"/>
                  <w:vAlign w:val="center"/>
                </w:tcPr>
                <w:p w14:paraId="169B8E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val="0"/>
                      <w:bCs w:val="0"/>
                      <w:color w:val="auto"/>
                      <w:sz w:val="21"/>
                      <w:szCs w:val="24"/>
                      <w:vertAlign w:val="baseline"/>
                    </w:rPr>
                  </w:pPr>
                  <w:r>
                    <w:rPr>
                      <w:rFonts w:hint="default" w:ascii="Times New Roman" w:hAnsi="Times New Roman" w:eastAsia="宋体" w:cs="var(--dsw-font-markdown-table)"/>
                      <w:b w:val="0"/>
                      <w:bCs w:val="0"/>
                      <w:color w:val="auto"/>
                      <w:kern w:val="0"/>
                      <w:sz w:val="21"/>
                      <w:szCs w:val="24"/>
                      <w:lang w:val="en-US" w:eastAsia="zh-CN" w:bidi="ar"/>
                    </w:rPr>
                    <w:t>否</w:t>
                  </w:r>
                </w:p>
              </w:tc>
            </w:tr>
            <w:tr w14:paraId="18B97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3" w:type="dxa"/>
                  <w:vAlign w:val="center"/>
                </w:tcPr>
                <w:p w14:paraId="1C8C8756">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b w:val="0"/>
                      <w:bCs w:val="0"/>
                      <w:color w:val="auto"/>
                      <w:sz w:val="21"/>
                      <w:szCs w:val="24"/>
                      <w:vertAlign w:val="baseline"/>
                    </w:rPr>
                  </w:pPr>
                </w:p>
              </w:tc>
              <w:tc>
                <w:tcPr>
                  <w:tcW w:w="1873" w:type="dxa"/>
                  <w:vAlign w:val="center"/>
                </w:tcPr>
                <w:p w14:paraId="051114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热转印纸</w:t>
                  </w:r>
                </w:p>
              </w:tc>
              <w:tc>
                <w:tcPr>
                  <w:tcW w:w="1062" w:type="dxa"/>
                  <w:vAlign w:val="center"/>
                </w:tcPr>
                <w:p w14:paraId="754150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固态</w:t>
                  </w:r>
                </w:p>
              </w:tc>
              <w:tc>
                <w:tcPr>
                  <w:tcW w:w="1219" w:type="dxa"/>
                  <w:vAlign w:val="center"/>
                </w:tcPr>
                <w:p w14:paraId="0F7605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10</w:t>
                  </w:r>
                </w:p>
              </w:tc>
              <w:tc>
                <w:tcPr>
                  <w:tcW w:w="1082" w:type="dxa"/>
                  <w:vAlign w:val="center"/>
                </w:tcPr>
                <w:p w14:paraId="211566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1</w:t>
                  </w:r>
                </w:p>
              </w:tc>
              <w:tc>
                <w:tcPr>
                  <w:tcW w:w="1324" w:type="dxa"/>
                  <w:vAlign w:val="center"/>
                </w:tcPr>
                <w:p w14:paraId="5D2ACE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w:t>
                  </w:r>
                </w:p>
              </w:tc>
              <w:tc>
                <w:tcPr>
                  <w:tcW w:w="1405" w:type="dxa"/>
                  <w:vAlign w:val="center"/>
                </w:tcPr>
                <w:p w14:paraId="3ACADD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热转印</w:t>
                  </w:r>
                </w:p>
              </w:tc>
              <w:tc>
                <w:tcPr>
                  <w:tcW w:w="1058" w:type="dxa"/>
                  <w:vAlign w:val="center"/>
                </w:tcPr>
                <w:p w14:paraId="57C249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否</w:t>
                  </w:r>
                </w:p>
              </w:tc>
            </w:tr>
            <w:tr w14:paraId="09493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13" w:type="dxa"/>
                  <w:vAlign w:val="center"/>
                </w:tcPr>
                <w:p w14:paraId="5E2EB877">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b w:val="0"/>
                      <w:bCs w:val="0"/>
                      <w:color w:val="auto"/>
                      <w:sz w:val="21"/>
                      <w:szCs w:val="24"/>
                      <w:vertAlign w:val="baseline"/>
                    </w:rPr>
                  </w:pPr>
                </w:p>
              </w:tc>
              <w:tc>
                <w:tcPr>
                  <w:tcW w:w="1873" w:type="dxa"/>
                  <w:vAlign w:val="center"/>
                </w:tcPr>
                <w:p w14:paraId="7AD6A2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鞋盒</w:t>
                  </w:r>
                </w:p>
              </w:tc>
              <w:tc>
                <w:tcPr>
                  <w:tcW w:w="1062" w:type="dxa"/>
                  <w:vAlign w:val="center"/>
                </w:tcPr>
                <w:p w14:paraId="20352C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固态</w:t>
                  </w:r>
                </w:p>
              </w:tc>
              <w:tc>
                <w:tcPr>
                  <w:tcW w:w="1219" w:type="dxa"/>
                  <w:vAlign w:val="center"/>
                </w:tcPr>
                <w:p w14:paraId="6F34D8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500万个</w:t>
                  </w:r>
                </w:p>
              </w:tc>
              <w:tc>
                <w:tcPr>
                  <w:tcW w:w="1082" w:type="dxa"/>
                  <w:vAlign w:val="center"/>
                </w:tcPr>
                <w:p w14:paraId="5D860D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50万个</w:t>
                  </w:r>
                </w:p>
              </w:tc>
              <w:tc>
                <w:tcPr>
                  <w:tcW w:w="1324" w:type="dxa"/>
                  <w:vAlign w:val="center"/>
                </w:tcPr>
                <w:p w14:paraId="356FBC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w:t>
                  </w:r>
                </w:p>
              </w:tc>
              <w:tc>
                <w:tcPr>
                  <w:tcW w:w="1405" w:type="dxa"/>
                  <w:vAlign w:val="center"/>
                </w:tcPr>
                <w:p w14:paraId="6B1865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包装</w:t>
                  </w:r>
                </w:p>
              </w:tc>
              <w:tc>
                <w:tcPr>
                  <w:tcW w:w="1058" w:type="dxa"/>
                  <w:vAlign w:val="center"/>
                </w:tcPr>
                <w:p w14:paraId="47EDA5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否</w:t>
                  </w:r>
                </w:p>
              </w:tc>
            </w:tr>
          </w:tbl>
          <w:p w14:paraId="0235B08F">
            <w:pPr>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beforeAutospacing="0" w:after="0" w:afterAutospacing="0" w:line="360" w:lineRule="auto"/>
              <w:ind w:left="0" w:leftChars="0" w:right="0" w:rightChars="0" w:firstLine="422" w:firstLineChars="200"/>
              <w:jc w:val="left"/>
              <w:textAlignment w:val="auto"/>
              <w:rPr>
                <w:rFonts w:hint="eastAsia" w:ascii="Times New Roman" w:hAnsi="Times New Roman" w:eastAsia="宋体" w:cs="Times New Roman"/>
                <w:b/>
                <w:color w:val="auto"/>
                <w:kern w:val="2"/>
                <w:sz w:val="21"/>
                <w:szCs w:val="24"/>
                <w:lang w:val="en-US" w:eastAsia="zh-CN" w:bidi="ar-SA"/>
              </w:rPr>
            </w:pPr>
            <w:r>
              <w:rPr>
                <w:rFonts w:hint="eastAsia" w:ascii="Times New Roman" w:hAnsi="Times New Roman" w:eastAsia="宋体" w:cs="var(--dsw-font-markdown-table)"/>
                <w:b/>
                <w:color w:val="auto"/>
                <w:kern w:val="0"/>
                <w:sz w:val="21"/>
                <w:szCs w:val="24"/>
                <w:lang w:val="en-US" w:eastAsia="zh-CN" w:bidi="ar"/>
              </w:rPr>
              <w:t>注：主要原辅材料理化性质：</w:t>
            </w:r>
          </w:p>
          <w:p w14:paraId="37FD0A56">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left"/>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b w:val="0"/>
                <w:bCs w:val="0"/>
                <w:i w:val="0"/>
                <w:iCs w:val="0"/>
                <w:caps w:val="0"/>
                <w:color w:val="auto"/>
                <w:spacing w:val="0"/>
                <w:sz w:val="21"/>
                <w:szCs w:val="24"/>
                <w:shd w:val="clear" w:fill="FFFFFF"/>
              </w:rPr>
              <w:t>EVA</w:t>
            </w:r>
            <w:r>
              <w:rPr>
                <w:rFonts w:hint="eastAsia" w:cs="Segoe UI"/>
                <w:b w:val="0"/>
                <w:bCs w:val="0"/>
                <w:i w:val="0"/>
                <w:iCs w:val="0"/>
                <w:caps w:val="0"/>
                <w:color w:val="auto"/>
                <w:spacing w:val="0"/>
                <w:sz w:val="21"/>
                <w:szCs w:val="24"/>
                <w:shd w:val="clear" w:fill="FFFFFF"/>
                <w:lang w:val="en-US" w:eastAsia="zh-CN"/>
              </w:rPr>
              <w:t>颗粒</w:t>
            </w:r>
            <w:r>
              <w:rPr>
                <w:rFonts w:hint="default" w:ascii="Times New Roman" w:hAnsi="Times New Roman" w:eastAsia="宋体" w:cs="Segoe UI"/>
                <w:b w:val="0"/>
                <w:bCs w:val="0"/>
                <w:i w:val="0"/>
                <w:iCs w:val="0"/>
                <w:caps w:val="0"/>
                <w:color w:val="auto"/>
                <w:spacing w:val="0"/>
                <w:sz w:val="21"/>
                <w:szCs w:val="24"/>
                <w:shd w:val="clear" w:fill="FFFFFF"/>
              </w:rPr>
              <w:t>：</w:t>
            </w:r>
            <w:r>
              <w:rPr>
                <w:rFonts w:hint="eastAsia" w:ascii="宋体" w:hAnsi="宋体" w:eastAsia="宋体" w:cs="宋体"/>
                <w:b w:val="0"/>
                <w:bCs w:val="0"/>
                <w:color w:val="auto"/>
                <w:kern w:val="0"/>
                <w:sz w:val="21"/>
                <w:szCs w:val="21"/>
                <w:lang w:val="en-US" w:eastAsia="zh-CN" w:bidi="ar"/>
              </w:rPr>
              <w:t>颗</w:t>
            </w:r>
            <w:r>
              <w:rPr>
                <w:rFonts w:hint="eastAsia" w:ascii="宋体" w:hAnsi="宋体" w:eastAsia="宋体" w:cs="宋体"/>
                <w:color w:val="auto"/>
                <w:kern w:val="0"/>
                <w:sz w:val="21"/>
                <w:szCs w:val="21"/>
                <w:lang w:val="en-US" w:eastAsia="zh-CN" w:bidi="ar"/>
              </w:rPr>
              <w:t>粒状，是由乙烯和乙酸乙烯酯聚合制成的共聚物合成材料，具有良好的柔软性与弹性，即使在零下</w:t>
            </w:r>
            <w:r>
              <w:rPr>
                <w:rFonts w:hint="default" w:ascii="Times New Roman" w:hAnsi="Times New Roman" w:eastAsia="宋体" w:cs="Times New Roman"/>
                <w:color w:val="auto"/>
                <w:kern w:val="0"/>
                <w:sz w:val="21"/>
                <w:szCs w:val="21"/>
                <w:lang w:val="en-US" w:eastAsia="zh-CN" w:bidi="ar"/>
              </w:rPr>
              <w:t>50℃</w:t>
            </w:r>
            <w:r>
              <w:rPr>
                <w:rFonts w:hint="eastAsia" w:ascii="宋体" w:hAnsi="宋体" w:eastAsia="宋体" w:cs="宋体"/>
                <w:color w:val="auto"/>
                <w:kern w:val="0"/>
                <w:sz w:val="21"/>
                <w:szCs w:val="21"/>
                <w:lang w:val="en-US" w:eastAsia="zh-CN" w:bidi="ar"/>
              </w:rPr>
              <w:t>的低温环境下仍能保持优异的可弯曲性。该材料透明度高、表面光泽度好，且具备无毒、化学性质稳定、抗老化及耐臭氧能力强等特点。</w:t>
            </w:r>
            <w:r>
              <w:rPr>
                <w:rFonts w:hint="default" w:ascii="Times New Roman" w:hAnsi="Times New Roman" w:eastAsia="宋体" w:cs="Times New Roman"/>
                <w:color w:val="auto"/>
                <w:kern w:val="0"/>
                <w:sz w:val="21"/>
                <w:szCs w:val="21"/>
                <w:lang w:val="en-US" w:eastAsia="zh-CN" w:bidi="ar"/>
              </w:rPr>
              <w:t>EVA</w:t>
            </w:r>
            <w:r>
              <w:rPr>
                <w:rFonts w:hint="eastAsia" w:ascii="宋体" w:hAnsi="宋体" w:eastAsia="宋体" w:cs="宋体"/>
                <w:color w:val="auto"/>
                <w:kern w:val="0"/>
                <w:sz w:val="21"/>
                <w:szCs w:val="21"/>
                <w:lang w:val="en-US" w:eastAsia="zh-CN" w:bidi="ar"/>
              </w:rPr>
              <w:t>与各类填料相容性良好，易于着色和成型加工。分子式</w:t>
            </w:r>
            <w:r>
              <w:rPr>
                <w:rFonts w:hint="eastAsia" w:ascii="宋体" w:hAnsi="宋体" w:cs="宋体"/>
                <w:color w:val="auto"/>
                <w:kern w:val="0"/>
                <w:sz w:val="21"/>
                <w:szCs w:val="21"/>
                <w:lang w:val="en-US" w:eastAsia="zh-CN" w:bidi="ar"/>
              </w:rPr>
              <w:t>（</w:t>
            </w:r>
            <w:r>
              <w:rPr>
                <w:rFonts w:hint="default" w:ascii="Times New Roman" w:hAnsi="Times New Roman" w:eastAsia="宋体" w:cs="Times New Roman"/>
                <w:color w:val="auto"/>
                <w:kern w:val="0"/>
                <w:sz w:val="21"/>
                <w:szCs w:val="21"/>
                <w:lang w:val="en-US" w:eastAsia="zh-CN" w:bidi="ar"/>
              </w:rPr>
              <w:t>C4H6O2·C2H4</w:t>
            </w:r>
            <w:r>
              <w:rPr>
                <w:rFonts w:hint="eastAsia" w:cs="Times New Roman"/>
                <w:color w:val="auto"/>
                <w:kern w:val="0"/>
                <w:sz w:val="21"/>
                <w:szCs w:val="21"/>
                <w:lang w:val="en-US" w:eastAsia="zh-CN" w:bidi="ar"/>
              </w:rPr>
              <w:t>）</w:t>
            </w:r>
            <w:r>
              <w:rPr>
                <w:rFonts w:hint="default" w:ascii="Times New Roman" w:hAnsi="Times New Roman" w:eastAsia="宋体" w:cs="Times New Roman"/>
                <w:color w:val="auto"/>
                <w:kern w:val="0"/>
                <w:sz w:val="21"/>
                <w:szCs w:val="21"/>
                <w:lang w:val="en-US" w:eastAsia="zh-CN" w:bidi="ar"/>
              </w:rPr>
              <w:t>n</w:t>
            </w:r>
            <w:r>
              <w:rPr>
                <w:rFonts w:hint="eastAsia" w:ascii="宋体" w:hAnsi="宋体" w:eastAsia="宋体" w:cs="宋体"/>
                <w:color w:val="auto"/>
                <w:kern w:val="0"/>
                <w:sz w:val="21"/>
                <w:szCs w:val="21"/>
                <w:lang w:val="en-US" w:eastAsia="zh-CN" w:bidi="ar"/>
              </w:rPr>
              <w:t>，熔点</w:t>
            </w:r>
            <w:r>
              <w:rPr>
                <w:rFonts w:hint="default" w:ascii="Times New Roman" w:hAnsi="Times New Roman" w:eastAsia="宋体" w:cs="Times New Roman"/>
                <w:color w:val="auto"/>
                <w:kern w:val="0"/>
                <w:sz w:val="21"/>
                <w:szCs w:val="21"/>
                <w:lang w:val="en-US" w:eastAsia="zh-CN" w:bidi="ar"/>
              </w:rPr>
              <w:t>99℃</w:t>
            </w:r>
            <w:r>
              <w:rPr>
                <w:rFonts w:hint="eastAsia" w:ascii="宋体" w:hAnsi="宋体" w:eastAsia="宋体" w:cs="宋体"/>
                <w:color w:val="auto"/>
                <w:kern w:val="0"/>
                <w:sz w:val="21"/>
                <w:szCs w:val="21"/>
                <w:lang w:val="en-US" w:eastAsia="zh-CN" w:bidi="ar"/>
              </w:rPr>
              <w:t>，沸点</w:t>
            </w:r>
            <w:r>
              <w:rPr>
                <w:rFonts w:hint="default" w:ascii="Times New Roman" w:hAnsi="Times New Roman" w:eastAsia="宋体" w:cs="Times New Roman"/>
                <w:color w:val="auto"/>
                <w:kern w:val="0"/>
                <w:sz w:val="21"/>
                <w:szCs w:val="21"/>
                <w:lang w:val="en-US" w:eastAsia="zh-CN" w:bidi="ar"/>
              </w:rPr>
              <w:t>170.6℃</w:t>
            </w:r>
            <w:r>
              <w:rPr>
                <w:rFonts w:hint="eastAsia" w:ascii="宋体" w:hAnsi="宋体" w:eastAsia="宋体" w:cs="宋体"/>
                <w:color w:val="auto"/>
                <w:kern w:val="0"/>
                <w:sz w:val="21"/>
                <w:szCs w:val="21"/>
                <w:lang w:val="en-US" w:eastAsia="zh-CN" w:bidi="ar"/>
              </w:rPr>
              <w:t>，密度为</w:t>
            </w:r>
            <w:r>
              <w:rPr>
                <w:rFonts w:hint="default" w:ascii="Times New Roman" w:hAnsi="Times New Roman" w:eastAsia="宋体" w:cs="Times New Roman"/>
                <w:color w:val="auto"/>
                <w:kern w:val="0"/>
                <w:sz w:val="21"/>
                <w:szCs w:val="21"/>
                <w:lang w:val="en-US" w:eastAsia="zh-CN" w:bidi="ar"/>
              </w:rPr>
              <w:t>0.948g/cm</w:t>
            </w:r>
            <w:r>
              <w:rPr>
                <w:rFonts w:hint="default" w:ascii="Times New Roman" w:hAnsi="Times New Roman" w:eastAsia="宋体" w:cs="Times New Roman"/>
                <w:color w:val="auto"/>
                <w:kern w:val="0"/>
                <w:sz w:val="21"/>
                <w:szCs w:val="21"/>
                <w:vertAlign w:val="superscript"/>
                <w:lang w:val="en-US" w:eastAsia="zh-CN" w:bidi="ar"/>
              </w:rPr>
              <w:t>3</w:t>
            </w:r>
            <w:r>
              <w:rPr>
                <w:rFonts w:hint="eastAsia" w:ascii="宋体" w:hAnsi="宋体" w:eastAsia="宋体" w:cs="宋体"/>
                <w:color w:val="auto"/>
                <w:kern w:val="0"/>
                <w:sz w:val="21"/>
                <w:szCs w:val="21"/>
                <w:lang w:val="en-US" w:eastAsia="zh-CN" w:bidi="ar"/>
              </w:rPr>
              <w:t>，热分解温度＞</w:t>
            </w:r>
            <w:r>
              <w:rPr>
                <w:rFonts w:hint="default" w:ascii="Times New Roman" w:hAnsi="Times New Roman" w:eastAsia="宋体" w:cs="Times New Roman"/>
                <w:color w:val="auto"/>
                <w:kern w:val="0"/>
                <w:sz w:val="21"/>
                <w:szCs w:val="21"/>
                <w:lang w:val="en-US" w:eastAsia="zh-CN" w:bidi="ar"/>
              </w:rPr>
              <w:t>230℃</w:t>
            </w:r>
            <w:r>
              <w:rPr>
                <w:rFonts w:hint="eastAsia" w:ascii="宋体" w:hAnsi="宋体" w:eastAsia="宋体" w:cs="宋体"/>
                <w:color w:val="auto"/>
                <w:kern w:val="0"/>
                <w:sz w:val="21"/>
                <w:szCs w:val="21"/>
                <w:lang w:val="en-US" w:eastAsia="zh-CN" w:bidi="ar"/>
              </w:rPr>
              <w:t>。</w:t>
            </w:r>
          </w:p>
          <w:p w14:paraId="39DA55D6">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default" w:ascii="Times New Roman" w:hAnsi="Times New Roman" w:eastAsia="宋体" w:cs="Segoe UI"/>
                <w:i w:val="0"/>
                <w:iCs w:val="0"/>
                <w:caps w:val="0"/>
                <w:color w:val="auto"/>
                <w:spacing w:val="0"/>
                <w:kern w:val="0"/>
                <w:sz w:val="21"/>
                <w:szCs w:val="24"/>
                <w:lang w:val="en-US" w:eastAsia="zh-CN" w:bidi="ar-SA"/>
              </w:rPr>
              <w:t>AC发泡剂：主要成分为偶氮二甲酰胺，浅黄色颗粒，分解温度195℃~210℃。</w:t>
            </w:r>
          </w:p>
          <w:p w14:paraId="763E6887">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color w:val="auto"/>
              </w:rPr>
            </w:pPr>
            <w:r>
              <w:rPr>
                <w:rFonts w:hint="eastAsia" w:ascii="Times New Roman" w:hAnsi="Times New Roman" w:eastAsia="宋体" w:cs="Segoe UI"/>
                <w:i w:val="0"/>
                <w:iCs w:val="0"/>
                <w:caps w:val="0"/>
                <w:color w:val="auto"/>
                <w:spacing w:val="0"/>
                <w:kern w:val="0"/>
                <w:sz w:val="21"/>
                <w:szCs w:val="24"/>
                <w:lang w:val="en-US" w:eastAsia="zh-CN" w:bidi="ar-SA"/>
              </w:rPr>
              <w:t>滑石粉</w:t>
            </w:r>
            <w:r>
              <w:rPr>
                <w:rFonts w:hint="eastAsia" w:cs="Segoe UI"/>
                <w:i w:val="0"/>
                <w:iCs w:val="0"/>
                <w:caps w:val="0"/>
                <w:color w:val="auto"/>
                <w:spacing w:val="0"/>
                <w:kern w:val="0"/>
                <w:sz w:val="21"/>
                <w:szCs w:val="24"/>
                <w:lang w:val="en-US" w:eastAsia="zh-CN" w:bidi="ar-SA"/>
              </w:rPr>
              <w:t>：</w:t>
            </w:r>
            <w:r>
              <w:rPr>
                <w:rFonts w:hint="eastAsia" w:ascii="宋体" w:hAnsi="宋体" w:eastAsia="宋体" w:cs="宋体"/>
                <w:color w:val="auto"/>
                <w:kern w:val="0"/>
                <w:sz w:val="21"/>
                <w:szCs w:val="21"/>
                <w:lang w:val="en-US" w:eastAsia="zh-CN" w:bidi="ar"/>
              </w:rPr>
              <w:t>为白色或类白色、微细、无砂性的粉末，手摸有油腻感。无臭，无味。本品在水、稀矿酸或稀</w:t>
            </w:r>
            <w:r>
              <w:rPr>
                <w:rFonts w:hint="eastAsia" w:ascii="宋体" w:hAnsi="宋体" w:cs="宋体"/>
                <w:color w:val="auto"/>
                <w:kern w:val="0"/>
                <w:sz w:val="21"/>
                <w:szCs w:val="21"/>
                <w:lang w:val="en-US" w:eastAsia="zh-CN" w:bidi="ar"/>
              </w:rPr>
              <w:t>氢氧化钠</w:t>
            </w:r>
            <w:r>
              <w:rPr>
                <w:rFonts w:hint="eastAsia" w:ascii="宋体" w:hAnsi="宋体" w:eastAsia="宋体" w:cs="宋体"/>
                <w:color w:val="auto"/>
                <w:kern w:val="0"/>
                <w:sz w:val="21"/>
                <w:szCs w:val="21"/>
                <w:lang w:val="en-US" w:eastAsia="zh-CN" w:bidi="ar"/>
              </w:rPr>
              <w:t>溶液中均不溶解。</w:t>
            </w:r>
          </w:p>
          <w:p w14:paraId="59BB0091">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eastAsia" w:ascii="Times New Roman" w:hAnsi="Times New Roman" w:eastAsia="宋体" w:cs="Segoe UI"/>
                <w:i w:val="0"/>
                <w:iCs w:val="0"/>
                <w:caps w:val="0"/>
                <w:color w:val="auto"/>
                <w:spacing w:val="0"/>
                <w:kern w:val="0"/>
                <w:sz w:val="21"/>
                <w:szCs w:val="24"/>
                <w:lang w:val="en-US" w:eastAsia="zh-CN" w:bidi="ar-SA"/>
              </w:rPr>
              <w:t>橡胶片：属于生产配件，密度</w:t>
            </w:r>
            <w:r>
              <w:rPr>
                <w:rFonts w:hint="eastAsia" w:cs="Segoe UI"/>
                <w:i w:val="0"/>
                <w:iCs w:val="0"/>
                <w:caps w:val="0"/>
                <w:color w:val="auto"/>
                <w:spacing w:val="0"/>
                <w:kern w:val="0"/>
                <w:sz w:val="21"/>
                <w:szCs w:val="24"/>
                <w:lang w:val="en-US" w:eastAsia="zh-CN" w:bidi="ar-SA"/>
              </w:rPr>
              <w:t>在</w:t>
            </w:r>
            <w:r>
              <w:rPr>
                <w:rFonts w:hint="default" w:ascii="Times New Roman" w:hAnsi="Times New Roman" w:eastAsia="宋体" w:cs="Segoe UI"/>
                <w:i w:val="0"/>
                <w:iCs w:val="0"/>
                <w:caps w:val="0"/>
                <w:color w:val="auto"/>
                <w:spacing w:val="0"/>
                <w:kern w:val="0"/>
                <w:sz w:val="21"/>
                <w:szCs w:val="24"/>
                <w:lang w:val="en-US" w:eastAsia="zh-CN" w:bidi="ar-SA"/>
              </w:rPr>
              <w:t>0.85</w:t>
            </w:r>
            <w:r>
              <w:rPr>
                <w:rFonts w:hint="eastAsia" w:cs="Segoe UI"/>
                <w:i w:val="0"/>
                <w:iCs w:val="0"/>
                <w:caps w:val="0"/>
                <w:color w:val="auto"/>
                <w:spacing w:val="0"/>
                <w:kern w:val="0"/>
                <w:sz w:val="21"/>
                <w:szCs w:val="24"/>
                <w:lang w:val="en-US" w:eastAsia="zh-CN" w:bidi="ar-SA"/>
              </w:rPr>
              <w:t>-</w:t>
            </w:r>
            <w:r>
              <w:rPr>
                <w:rFonts w:hint="default" w:ascii="Times New Roman" w:hAnsi="Times New Roman" w:eastAsia="宋体" w:cs="Segoe UI"/>
                <w:i w:val="0"/>
                <w:iCs w:val="0"/>
                <w:caps w:val="0"/>
                <w:color w:val="auto"/>
                <w:spacing w:val="0"/>
                <w:kern w:val="0"/>
                <w:sz w:val="21"/>
                <w:szCs w:val="24"/>
                <w:lang w:val="en-US" w:eastAsia="zh-CN" w:bidi="ar-SA"/>
              </w:rPr>
              <w:t>1.25</w:t>
            </w:r>
            <w:r>
              <w:rPr>
                <w:rFonts w:hint="default" w:ascii="Times New Roman" w:hAnsi="Times New Roman" w:eastAsia="宋体" w:cs="Times New Roman"/>
                <w:color w:val="auto"/>
                <w:kern w:val="0"/>
                <w:sz w:val="21"/>
                <w:szCs w:val="21"/>
                <w:lang w:val="en-US" w:eastAsia="zh-CN" w:bidi="ar"/>
              </w:rPr>
              <w:t>g/cm</w:t>
            </w:r>
            <w:r>
              <w:rPr>
                <w:rFonts w:hint="default" w:ascii="Times New Roman" w:hAnsi="Times New Roman" w:eastAsia="宋体" w:cs="Times New Roman"/>
                <w:color w:val="auto"/>
                <w:kern w:val="0"/>
                <w:sz w:val="21"/>
                <w:szCs w:val="21"/>
                <w:vertAlign w:val="superscript"/>
                <w:lang w:val="en-US" w:eastAsia="zh-CN" w:bidi="ar"/>
              </w:rPr>
              <w:t>3</w:t>
            </w:r>
            <w:r>
              <w:rPr>
                <w:rFonts w:hint="eastAsia" w:ascii="Times New Roman" w:hAnsi="Times New Roman" w:eastAsia="宋体" w:cs="Segoe UI"/>
                <w:i w:val="0"/>
                <w:iCs w:val="0"/>
                <w:caps w:val="0"/>
                <w:color w:val="auto"/>
                <w:spacing w:val="0"/>
                <w:kern w:val="0"/>
                <w:sz w:val="21"/>
                <w:szCs w:val="24"/>
                <w:lang w:val="en-US" w:eastAsia="zh-CN" w:bidi="ar-SA"/>
              </w:rPr>
              <w:t>之间，工作温度范围在</w:t>
            </w:r>
            <w:r>
              <w:rPr>
                <w:rFonts w:hint="default" w:ascii="Times New Roman" w:hAnsi="Times New Roman" w:eastAsia="宋体" w:cs="Segoe UI"/>
                <w:i w:val="0"/>
                <w:iCs w:val="0"/>
                <w:caps w:val="0"/>
                <w:color w:val="auto"/>
                <w:spacing w:val="0"/>
                <w:kern w:val="0"/>
                <w:sz w:val="21"/>
                <w:szCs w:val="24"/>
                <w:lang w:val="en-US" w:eastAsia="zh-CN" w:bidi="ar-SA"/>
              </w:rPr>
              <w:t>100</w:t>
            </w:r>
            <w:r>
              <w:rPr>
                <w:rFonts w:hint="eastAsia" w:cs="Segoe UI"/>
                <w:i w:val="0"/>
                <w:iCs w:val="0"/>
                <w:caps w:val="0"/>
                <w:color w:val="auto"/>
                <w:spacing w:val="0"/>
                <w:kern w:val="0"/>
                <w:sz w:val="21"/>
                <w:szCs w:val="24"/>
                <w:lang w:val="en-US" w:eastAsia="zh-CN" w:bidi="ar-SA"/>
              </w:rPr>
              <w:t>-</w:t>
            </w:r>
            <w:r>
              <w:rPr>
                <w:rFonts w:hint="default" w:ascii="Times New Roman" w:hAnsi="Times New Roman" w:eastAsia="宋体" w:cs="Segoe UI"/>
                <w:i w:val="0"/>
                <w:iCs w:val="0"/>
                <w:caps w:val="0"/>
                <w:color w:val="auto"/>
                <w:spacing w:val="0"/>
                <w:kern w:val="0"/>
                <w:sz w:val="21"/>
                <w:szCs w:val="24"/>
                <w:lang w:val="en-US" w:eastAsia="zh-CN" w:bidi="ar-SA"/>
              </w:rPr>
              <w:t>200</w:t>
            </w:r>
            <w:r>
              <w:rPr>
                <w:rFonts w:hint="eastAsia" w:ascii="Times New Roman" w:hAnsi="Times New Roman" w:eastAsia="宋体" w:cs="Segoe UI"/>
                <w:i w:val="0"/>
                <w:iCs w:val="0"/>
                <w:caps w:val="0"/>
                <w:color w:val="auto"/>
                <w:spacing w:val="0"/>
                <w:kern w:val="0"/>
                <w:sz w:val="21"/>
                <w:szCs w:val="24"/>
                <w:lang w:val="en-US" w:eastAsia="zh-CN" w:bidi="ar-SA"/>
              </w:rPr>
              <w:t>℃之间，与</w:t>
            </w:r>
            <w:r>
              <w:rPr>
                <w:rFonts w:hint="default" w:ascii="Times New Roman" w:hAnsi="Times New Roman" w:eastAsia="宋体" w:cs="Segoe UI"/>
                <w:i w:val="0"/>
                <w:iCs w:val="0"/>
                <w:caps w:val="0"/>
                <w:color w:val="auto"/>
                <w:spacing w:val="0"/>
                <w:kern w:val="0"/>
                <w:sz w:val="21"/>
                <w:szCs w:val="24"/>
                <w:lang w:val="en-US" w:eastAsia="zh-CN" w:bidi="ar-SA"/>
              </w:rPr>
              <w:t>EVA</w:t>
            </w:r>
            <w:r>
              <w:rPr>
                <w:rFonts w:hint="eastAsia" w:ascii="Times New Roman" w:hAnsi="Times New Roman" w:eastAsia="宋体" w:cs="Segoe UI"/>
                <w:i w:val="0"/>
                <w:iCs w:val="0"/>
                <w:caps w:val="0"/>
                <w:color w:val="auto"/>
                <w:spacing w:val="0"/>
                <w:kern w:val="0"/>
                <w:sz w:val="21"/>
                <w:szCs w:val="24"/>
                <w:lang w:val="en-US" w:eastAsia="zh-CN" w:bidi="ar-SA"/>
              </w:rPr>
              <w:t>鞋底组合后，具有高耐磨、高弹性、防滑的作用</w:t>
            </w:r>
          </w:p>
          <w:p w14:paraId="49A0C6B0">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eastAsia" w:ascii="Times New Roman" w:hAnsi="Times New Roman" w:eastAsia="宋体" w:cs="Segoe UI"/>
                <w:i w:val="0"/>
                <w:iCs w:val="0"/>
                <w:caps w:val="0"/>
                <w:color w:val="auto"/>
                <w:spacing w:val="0"/>
                <w:kern w:val="0"/>
                <w:sz w:val="21"/>
                <w:szCs w:val="24"/>
                <w:lang w:val="en-US" w:eastAsia="zh-CN" w:bidi="ar-SA"/>
              </w:rPr>
              <w:t>人造</w:t>
            </w:r>
            <w:r>
              <w:rPr>
                <w:rFonts w:hint="default" w:ascii="Times New Roman" w:hAnsi="Times New Roman" w:eastAsia="宋体" w:cs="Segoe UI"/>
                <w:i w:val="0"/>
                <w:iCs w:val="0"/>
                <w:caps w:val="0"/>
                <w:color w:val="auto"/>
                <w:spacing w:val="0"/>
                <w:kern w:val="0"/>
                <w:sz w:val="21"/>
                <w:szCs w:val="24"/>
                <w:lang w:val="en-US" w:eastAsia="zh-CN" w:bidi="ar-SA"/>
              </w:rPr>
              <w:t>皮革：皮革是经脱毛和鞣制等物理、化学加工所得到的已经变性不易腐烂的动物皮。革是由天然蛋白质纤维在三维空间紧密编织构成的，其表面有一种特殊的粒面层，具有自然的粒纹和光泽，手感舒适。</w:t>
            </w:r>
          </w:p>
          <w:p w14:paraId="60391739">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default" w:ascii="Times New Roman" w:hAnsi="Times New Roman" w:eastAsia="宋体" w:cs="Segoe UI"/>
                <w:i w:val="0"/>
                <w:iCs w:val="0"/>
                <w:caps w:val="0"/>
                <w:color w:val="auto"/>
                <w:spacing w:val="0"/>
                <w:kern w:val="0"/>
                <w:sz w:val="21"/>
                <w:szCs w:val="24"/>
                <w:lang w:val="en-US" w:eastAsia="zh-CN" w:bidi="ar-SA"/>
              </w:rPr>
              <w:t>网布：具有网孔的织物即网布</w:t>
            </w:r>
            <w:r>
              <w:rPr>
                <w:rFonts w:hint="eastAsia" w:ascii="Times New Roman" w:hAnsi="Times New Roman" w:eastAsia="宋体" w:cs="Segoe UI"/>
                <w:i w:val="0"/>
                <w:iCs w:val="0"/>
                <w:caps w:val="0"/>
                <w:color w:val="auto"/>
                <w:spacing w:val="0"/>
                <w:kern w:val="0"/>
                <w:sz w:val="21"/>
                <w:szCs w:val="24"/>
                <w:lang w:val="en-US" w:eastAsia="zh-CN" w:bidi="ar-SA"/>
              </w:rPr>
              <w:t>。分为</w:t>
            </w:r>
            <w:r>
              <w:rPr>
                <w:rFonts w:hint="default" w:ascii="Times New Roman" w:hAnsi="Times New Roman" w:eastAsia="宋体" w:cs="Segoe UI"/>
                <w:i w:val="0"/>
                <w:iCs w:val="0"/>
                <w:caps w:val="0"/>
                <w:color w:val="auto"/>
                <w:spacing w:val="0"/>
                <w:kern w:val="0"/>
                <w:sz w:val="21"/>
                <w:szCs w:val="24"/>
                <w:lang w:val="en-US" w:eastAsia="zh-CN" w:bidi="ar-SA"/>
              </w:rPr>
              <w:t>机织网布和针织网布（目前还有非织造）</w:t>
            </w:r>
            <w:r>
              <w:rPr>
                <w:rFonts w:hint="eastAsia" w:ascii="Times New Roman" w:hAnsi="Times New Roman" w:eastAsia="宋体" w:cs="Segoe UI"/>
                <w:i w:val="0"/>
                <w:iCs w:val="0"/>
                <w:caps w:val="0"/>
                <w:color w:val="auto"/>
                <w:spacing w:val="0"/>
                <w:kern w:val="0"/>
                <w:sz w:val="21"/>
                <w:szCs w:val="24"/>
                <w:lang w:val="en-US" w:eastAsia="zh-CN" w:bidi="ar-SA"/>
              </w:rPr>
              <w:t>，</w:t>
            </w:r>
            <w:r>
              <w:rPr>
                <w:rFonts w:hint="default" w:ascii="Times New Roman" w:hAnsi="Times New Roman" w:eastAsia="宋体" w:cs="Segoe UI"/>
                <w:i w:val="0"/>
                <w:iCs w:val="0"/>
                <w:caps w:val="0"/>
                <w:color w:val="auto"/>
                <w:spacing w:val="0"/>
                <w:kern w:val="0"/>
                <w:sz w:val="21"/>
                <w:szCs w:val="24"/>
                <w:lang w:val="en-US" w:eastAsia="zh-CN" w:bidi="ar-SA"/>
              </w:rPr>
              <w:t>其中机织网布有白织或色织</w:t>
            </w:r>
            <w:r>
              <w:rPr>
                <w:rFonts w:hint="eastAsia" w:ascii="Times New Roman" w:hAnsi="Times New Roman" w:eastAsia="宋体" w:cs="Segoe UI"/>
                <w:i w:val="0"/>
                <w:iCs w:val="0"/>
                <w:caps w:val="0"/>
                <w:color w:val="auto"/>
                <w:spacing w:val="0"/>
                <w:kern w:val="0"/>
                <w:sz w:val="21"/>
                <w:szCs w:val="24"/>
                <w:lang w:val="en-US" w:eastAsia="zh-CN" w:bidi="ar-SA"/>
              </w:rPr>
              <w:t>；</w:t>
            </w:r>
            <w:r>
              <w:rPr>
                <w:rFonts w:hint="default" w:ascii="Times New Roman" w:hAnsi="Times New Roman" w:eastAsia="宋体" w:cs="Segoe UI"/>
                <w:i w:val="0"/>
                <w:iCs w:val="0"/>
                <w:caps w:val="0"/>
                <w:color w:val="auto"/>
                <w:spacing w:val="0"/>
                <w:kern w:val="0"/>
                <w:sz w:val="21"/>
                <w:szCs w:val="24"/>
                <w:lang w:val="en-US" w:eastAsia="zh-CN" w:bidi="ar-SA"/>
              </w:rPr>
              <w:t>针织网布也</w:t>
            </w:r>
            <w:r>
              <w:rPr>
                <w:rFonts w:hint="eastAsia" w:ascii="Times New Roman" w:hAnsi="Times New Roman" w:eastAsia="宋体" w:cs="Segoe UI"/>
                <w:i w:val="0"/>
                <w:iCs w:val="0"/>
                <w:caps w:val="0"/>
                <w:color w:val="auto"/>
                <w:spacing w:val="0"/>
                <w:kern w:val="0"/>
                <w:sz w:val="21"/>
                <w:szCs w:val="24"/>
                <w:lang w:val="en-US" w:eastAsia="zh-CN" w:bidi="ar-SA"/>
              </w:rPr>
              <w:t>分为</w:t>
            </w:r>
            <w:r>
              <w:rPr>
                <w:rFonts w:hint="default" w:ascii="Times New Roman" w:hAnsi="Times New Roman" w:eastAsia="宋体" w:cs="Segoe UI"/>
                <w:i w:val="0"/>
                <w:iCs w:val="0"/>
                <w:caps w:val="0"/>
                <w:color w:val="auto"/>
                <w:spacing w:val="0"/>
                <w:kern w:val="0"/>
                <w:sz w:val="21"/>
                <w:szCs w:val="24"/>
                <w:lang w:val="en-US" w:eastAsia="zh-CN" w:bidi="ar-SA"/>
              </w:rPr>
              <w:t>编针织网布和</w:t>
            </w:r>
            <w:r>
              <w:rPr>
                <w:rFonts w:hint="eastAsia" w:cs="Segoe UI"/>
                <w:i w:val="0"/>
                <w:iCs w:val="0"/>
                <w:caps w:val="0"/>
                <w:color w:val="auto"/>
                <w:spacing w:val="0"/>
                <w:kern w:val="0"/>
                <w:sz w:val="21"/>
                <w:szCs w:val="24"/>
                <w:lang w:val="en-US" w:eastAsia="zh-CN" w:bidi="ar-SA"/>
              </w:rPr>
              <w:t>经编织</w:t>
            </w:r>
            <w:r>
              <w:rPr>
                <w:rFonts w:hint="default" w:ascii="Times New Roman" w:hAnsi="Times New Roman" w:eastAsia="宋体" w:cs="Segoe UI"/>
                <w:i w:val="0"/>
                <w:iCs w:val="0"/>
                <w:caps w:val="0"/>
                <w:color w:val="auto"/>
                <w:spacing w:val="0"/>
                <w:kern w:val="0"/>
                <w:sz w:val="21"/>
                <w:szCs w:val="24"/>
                <w:lang w:val="en-US" w:eastAsia="zh-CN" w:bidi="ar-SA"/>
              </w:rPr>
              <w:t>网布</w:t>
            </w:r>
            <w:r>
              <w:rPr>
                <w:rFonts w:hint="eastAsia" w:ascii="Times New Roman" w:hAnsi="Times New Roman" w:eastAsia="宋体" w:cs="Segoe UI"/>
                <w:i w:val="0"/>
                <w:iCs w:val="0"/>
                <w:caps w:val="0"/>
                <w:color w:val="auto"/>
                <w:spacing w:val="0"/>
                <w:kern w:val="0"/>
                <w:sz w:val="21"/>
                <w:szCs w:val="24"/>
                <w:lang w:val="en-US" w:eastAsia="zh-CN" w:bidi="ar-SA"/>
              </w:rPr>
              <w:t>两种，</w:t>
            </w:r>
            <w:r>
              <w:rPr>
                <w:rFonts w:hint="default" w:ascii="Times New Roman" w:hAnsi="Times New Roman" w:eastAsia="宋体" w:cs="Segoe UI"/>
                <w:i w:val="0"/>
                <w:iCs w:val="0"/>
                <w:caps w:val="0"/>
                <w:color w:val="auto"/>
                <w:spacing w:val="0"/>
                <w:kern w:val="0"/>
                <w:sz w:val="21"/>
                <w:szCs w:val="24"/>
                <w:lang w:val="en-US" w:eastAsia="zh-CN" w:bidi="ar-SA"/>
              </w:rPr>
              <w:t>原料一般为锦纶、涤纶、氨纶等。</w:t>
            </w:r>
          </w:p>
          <w:p w14:paraId="5E414873">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sz w:val="21"/>
                <w:szCs w:val="24"/>
              </w:rPr>
            </w:pPr>
            <w:r>
              <w:rPr>
                <w:rFonts w:hint="eastAsia" w:eastAsia="宋体" w:cs="var(--dsw-font-markdown-table)"/>
                <w:color w:val="auto"/>
                <w:kern w:val="0"/>
                <w:sz w:val="21"/>
                <w:szCs w:val="24"/>
                <w:lang w:val="en-US" w:eastAsia="zh-CN" w:bidi="ar"/>
              </w:rPr>
              <w:t>水性</w:t>
            </w:r>
            <w:r>
              <w:rPr>
                <w:rFonts w:hint="default" w:ascii="Times New Roman" w:hAnsi="Times New Roman" w:eastAsia="宋体" w:cs="var(--dsw-font-markdown-table)"/>
                <w:color w:val="auto"/>
                <w:kern w:val="0"/>
                <w:sz w:val="21"/>
                <w:szCs w:val="24"/>
                <w:lang w:val="en-US" w:eastAsia="zh-CN" w:bidi="ar"/>
              </w:rPr>
              <w:t>橡胶处理剂</w:t>
            </w:r>
            <w:r>
              <w:rPr>
                <w:rFonts w:hint="eastAsia" w:eastAsia="宋体" w:cs="var(--dsw-font-markdown-table)"/>
                <w:color w:val="auto"/>
                <w:kern w:val="0"/>
                <w:sz w:val="21"/>
                <w:szCs w:val="24"/>
                <w:lang w:val="en-US" w:eastAsia="zh-CN" w:bidi="ar"/>
              </w:rPr>
              <w:t>：</w:t>
            </w:r>
            <w:r>
              <w:rPr>
                <w:rFonts w:hint="default" w:ascii="Times New Roman" w:hAnsi="Times New Roman" w:eastAsia="宋体" w:cs="Segoe UI"/>
                <w:i w:val="0"/>
                <w:iCs w:val="0"/>
                <w:caps w:val="0"/>
                <w:color w:val="auto"/>
                <w:spacing w:val="0"/>
                <w:sz w:val="21"/>
                <w:szCs w:val="24"/>
                <w:shd w:val="clear" w:fill="FFFFFF"/>
              </w:rPr>
              <w:t>无色至微黄色液体，轻微气味，熔点</w:t>
            </w:r>
            <w:r>
              <w:rPr>
                <w:rFonts w:hint="eastAsia" w:cs="Segoe UI"/>
                <w:i w:val="0"/>
                <w:iCs w:val="0"/>
                <w:caps w:val="0"/>
                <w:color w:val="auto"/>
                <w:spacing w:val="0"/>
                <w:sz w:val="21"/>
                <w:szCs w:val="24"/>
                <w:shd w:val="clear" w:fill="FFFFFF"/>
                <w:lang w:eastAsia="zh-CN"/>
              </w:rPr>
              <w:t xml:space="preserve"> </w:t>
            </w:r>
            <w:r>
              <w:rPr>
                <w:rFonts w:hint="default" w:ascii="Times New Roman" w:hAnsi="Times New Roman" w:eastAsia="宋体" w:cs="Segoe UI"/>
                <w:i w:val="0"/>
                <w:iCs w:val="0"/>
                <w:caps w:val="0"/>
                <w:color w:val="auto"/>
                <w:spacing w:val="0"/>
                <w:sz w:val="21"/>
                <w:szCs w:val="24"/>
                <w:shd w:val="clear" w:fill="FFFFFF"/>
              </w:rPr>
              <w:t>24℃，沸点&gt;300℃，闪点226℃，相对密度（水=1）1.16，蒸气压1.8kPa（20℃），不燃，不易燃。主要</w:t>
            </w:r>
            <w:r>
              <w:rPr>
                <w:rFonts w:hint="default" w:ascii="Times New Roman" w:hAnsi="Times New Roman" w:eastAsia="宋体" w:cs="Segoe UI"/>
                <w:b w:val="0"/>
                <w:bCs w:val="0"/>
                <w:i w:val="0"/>
                <w:iCs w:val="0"/>
                <w:caps w:val="0"/>
                <w:color w:val="auto"/>
                <w:spacing w:val="0"/>
                <w:sz w:val="21"/>
                <w:szCs w:val="24"/>
                <w:shd w:val="clear" w:fill="FFFFFF"/>
              </w:rPr>
              <w:t>成分为水</w:t>
            </w:r>
            <w:r>
              <w:rPr>
                <w:rFonts w:hint="eastAsia" w:cs="Segoe UI"/>
                <w:b w:val="0"/>
                <w:bCs w:val="0"/>
                <w:i w:val="0"/>
                <w:iCs w:val="0"/>
                <w:caps w:val="0"/>
                <w:color w:val="auto"/>
                <w:spacing w:val="0"/>
                <w:sz w:val="21"/>
                <w:szCs w:val="24"/>
                <w:shd w:val="clear" w:fill="FFFFFF"/>
                <w:lang w:eastAsia="zh-CN"/>
              </w:rPr>
              <w:t>90%—99%</w:t>
            </w:r>
            <w:r>
              <w:rPr>
                <w:rFonts w:hint="default" w:ascii="Times New Roman" w:hAnsi="Times New Roman" w:eastAsia="宋体" w:cs="Segoe UI"/>
                <w:b w:val="0"/>
                <w:bCs w:val="0"/>
                <w:i w:val="0"/>
                <w:iCs w:val="0"/>
                <w:caps w:val="0"/>
                <w:color w:val="auto"/>
                <w:spacing w:val="0"/>
                <w:sz w:val="21"/>
                <w:szCs w:val="24"/>
                <w:shd w:val="clear" w:fill="FFFFFF"/>
              </w:rPr>
              <w:t>、</w:t>
            </w:r>
            <w:r>
              <w:rPr>
                <w:rFonts w:hint="default" w:ascii="Times New Roman" w:hAnsi="Times New Roman" w:eastAsia="宋体" w:cs="Segoe UI"/>
                <w:i w:val="0"/>
                <w:iCs w:val="0"/>
                <w:caps w:val="0"/>
                <w:color w:val="auto"/>
                <w:spacing w:val="0"/>
                <w:sz w:val="21"/>
                <w:szCs w:val="24"/>
                <w:shd w:val="clear" w:fill="FFFFFF"/>
              </w:rPr>
              <w:t>亲水型特殊树脂</w:t>
            </w:r>
            <w:r>
              <w:rPr>
                <w:rFonts w:hint="eastAsia" w:cs="Segoe UI"/>
                <w:i w:val="0"/>
                <w:iCs w:val="0"/>
                <w:caps w:val="0"/>
                <w:color w:val="auto"/>
                <w:spacing w:val="0"/>
                <w:sz w:val="21"/>
                <w:szCs w:val="24"/>
                <w:shd w:val="clear" w:fill="FFFFFF"/>
                <w:lang w:eastAsia="zh-CN"/>
              </w:rPr>
              <w:t>1%—10%</w:t>
            </w:r>
            <w:r>
              <w:rPr>
                <w:rFonts w:hint="default" w:ascii="Times New Roman" w:hAnsi="Times New Roman" w:eastAsia="宋体" w:cs="Segoe UI"/>
                <w:i w:val="0"/>
                <w:iCs w:val="0"/>
                <w:caps w:val="0"/>
                <w:color w:val="auto"/>
                <w:spacing w:val="0"/>
                <w:sz w:val="21"/>
                <w:szCs w:val="24"/>
                <w:shd w:val="clear" w:fill="FFFFFF"/>
              </w:rPr>
              <w:t>，总VOCs含量约</w:t>
            </w:r>
            <w:r>
              <w:rPr>
                <w:rFonts w:hint="eastAsia" w:cs="Segoe UI"/>
                <w:i w:val="0"/>
                <w:iCs w:val="0"/>
                <w:caps w:val="0"/>
                <w:color w:val="auto"/>
                <w:spacing w:val="0"/>
                <w:sz w:val="21"/>
                <w:szCs w:val="24"/>
                <w:shd w:val="clear" w:fill="FFFFFF"/>
                <w:lang w:eastAsia="zh-CN"/>
              </w:rPr>
              <w:t>1%—10%</w:t>
            </w:r>
            <w:r>
              <w:rPr>
                <w:rFonts w:hint="default" w:ascii="Times New Roman" w:hAnsi="Times New Roman" w:eastAsia="宋体" w:cs="Segoe UI"/>
                <w:i w:val="0"/>
                <w:iCs w:val="0"/>
                <w:caps w:val="0"/>
                <w:color w:val="auto"/>
                <w:spacing w:val="0"/>
                <w:sz w:val="21"/>
                <w:szCs w:val="24"/>
                <w:shd w:val="clear" w:fill="FFFFFF"/>
              </w:rPr>
              <w:t>（主要为树脂中残留的少量游离单体，以非甲烷总烃表征）。用于鞋底制造及成品组装工序中橡胶和EVA材料表面的活化处理，提高胶粘剂附着力。</w:t>
            </w:r>
          </w:p>
          <w:p w14:paraId="14D14C6C">
            <w:pPr>
              <w:pStyle w:val="44"/>
              <w:keepNext w:val="0"/>
              <w:keepLines w:val="0"/>
              <w:pageBreakBefore w:val="0"/>
              <w:widowControl/>
              <w:numPr>
                <w:ilvl w:val="0"/>
                <w:numId w:val="11"/>
              </w:numPr>
              <w:suppressLineNumbers w:val="0"/>
              <w:shd w:val="clear" w:fill="FFFFFF"/>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default" w:ascii="Times New Roman" w:hAnsi="Times New Roman" w:eastAsia="宋体" w:cs="Segoe UI"/>
                <w:i w:val="0"/>
                <w:iCs w:val="0"/>
                <w:caps w:val="0"/>
                <w:color w:val="FF0000"/>
                <w:spacing w:val="0"/>
                <w:kern w:val="0"/>
                <w:sz w:val="21"/>
                <w:szCs w:val="24"/>
                <w:lang w:val="en-US" w:eastAsia="zh-CN" w:bidi="ar-SA"/>
              </w:rPr>
            </w:pPr>
            <w:r>
              <w:rPr>
                <w:rFonts w:hint="eastAsia" w:ascii="Times New Roman" w:hAnsi="Times New Roman" w:eastAsia="宋体" w:cs="var(--dsw-font-markdown-table)"/>
                <w:color w:val="auto"/>
                <w:kern w:val="0"/>
                <w:sz w:val="21"/>
                <w:szCs w:val="24"/>
                <w:lang w:val="en-US" w:eastAsia="zh-CN" w:bidi="ar"/>
              </w:rPr>
              <w:t>清洁</w:t>
            </w:r>
            <w:r>
              <w:rPr>
                <w:rFonts w:hint="default" w:ascii="Times New Roman" w:hAnsi="Times New Roman" w:eastAsia="宋体" w:cs="var(--dsw-font-markdown-table)"/>
                <w:color w:val="auto"/>
                <w:kern w:val="0"/>
                <w:sz w:val="21"/>
                <w:szCs w:val="24"/>
                <w:lang w:val="en-US" w:eastAsia="zh-CN" w:bidi="ar"/>
              </w:rPr>
              <w:t>剂</w:t>
            </w:r>
            <w:r>
              <w:rPr>
                <w:rFonts w:hint="eastAsia" w:ascii="Times New Roman" w:hAnsi="Times New Roman" w:eastAsia="宋体" w:cs="var(--dsw-font-markdown-table)"/>
                <w:color w:val="auto"/>
                <w:kern w:val="0"/>
                <w:sz w:val="21"/>
                <w:szCs w:val="24"/>
                <w:lang w:val="en-US" w:eastAsia="zh-CN" w:bidi="ar"/>
              </w:rPr>
              <w:t>：</w:t>
            </w:r>
            <w:r>
              <w:rPr>
                <w:rFonts w:hint="default" w:ascii="Times New Roman" w:hAnsi="Times New Roman" w:eastAsia="宋体" w:cs="var(--dsw-font-markdown-table)"/>
                <w:color w:val="auto"/>
                <w:kern w:val="0"/>
                <w:sz w:val="21"/>
                <w:szCs w:val="24"/>
                <w:lang w:val="en-US" w:eastAsia="zh-CN" w:bidi="ar"/>
              </w:rPr>
              <w:t>外观为乳白色或白色液体，无味，pH值6~9，沸点约100℃，，相对密度（水=1）1.04~1.09，蒸气压无数据，常温下与水可混溶。主要成分为水99.5%~99.8%、助剂0.2%~0.5%。根据其物质安全说明书（MSDS）及成分分析，总VOCs含量约0.2%~0.5%（主要来源于微量助剂），远低于《清洗剂挥发性有机化合物含量限值》（GB 38508-2020）中水基型清洗剂的要求</w:t>
            </w:r>
            <w:r>
              <w:rPr>
                <w:rFonts w:hint="eastAsia" w:ascii="Times New Roman" w:hAnsi="Times New Roman" w:eastAsia="宋体" w:cs="var(--dsw-font-markdown-table)"/>
                <w:color w:val="auto"/>
                <w:kern w:val="0"/>
                <w:sz w:val="21"/>
                <w:szCs w:val="24"/>
                <w:lang w:val="en-US" w:eastAsia="zh-CN" w:bidi="ar"/>
              </w:rPr>
              <w:t>。</w:t>
            </w:r>
            <w:r>
              <w:rPr>
                <w:rFonts w:hint="default" w:ascii="Times New Roman" w:hAnsi="Times New Roman" w:eastAsia="宋体" w:cs="var(--dsw-font-markdown-table)"/>
                <w:color w:val="auto"/>
                <w:kern w:val="0"/>
                <w:sz w:val="21"/>
                <w:szCs w:val="24"/>
                <w:lang w:val="en-US" w:eastAsia="zh-CN" w:bidi="ar"/>
              </w:rPr>
              <w:t>用于鞋底制造及成品组装工序中EVA</w:t>
            </w:r>
            <w:r>
              <w:rPr>
                <w:rFonts w:hint="eastAsia" w:ascii="Times New Roman" w:hAnsi="Times New Roman" w:eastAsia="宋体" w:cs="var(--dsw-font-markdown-table)"/>
                <w:color w:val="auto"/>
                <w:kern w:val="0"/>
                <w:sz w:val="21"/>
                <w:szCs w:val="24"/>
                <w:lang w:val="en-US" w:eastAsia="zh-CN" w:bidi="ar"/>
              </w:rPr>
              <w:t>鞋底</w:t>
            </w:r>
            <w:r>
              <w:rPr>
                <w:rFonts w:hint="default" w:ascii="Times New Roman" w:hAnsi="Times New Roman" w:eastAsia="宋体" w:cs="var(--dsw-font-markdown-table)"/>
                <w:color w:val="auto"/>
                <w:kern w:val="0"/>
                <w:sz w:val="21"/>
                <w:szCs w:val="24"/>
                <w:lang w:val="en-US" w:eastAsia="zh-CN" w:bidi="ar"/>
              </w:rPr>
              <w:t>表面的清洁处理，去除表面的油污、</w:t>
            </w:r>
            <w:r>
              <w:rPr>
                <w:rFonts w:hint="eastAsia" w:ascii="Times New Roman" w:hAnsi="Times New Roman" w:eastAsia="宋体" w:cs="var(--dsw-font-markdown-table)"/>
                <w:color w:val="auto"/>
                <w:kern w:val="0"/>
                <w:sz w:val="21"/>
                <w:szCs w:val="24"/>
                <w:lang w:val="en-US" w:eastAsia="zh-CN" w:bidi="ar"/>
              </w:rPr>
              <w:t>灰尘</w:t>
            </w:r>
            <w:r>
              <w:rPr>
                <w:rFonts w:hint="default" w:ascii="Times New Roman" w:hAnsi="Times New Roman" w:eastAsia="宋体" w:cs="var(--dsw-font-markdown-table)"/>
                <w:color w:val="auto"/>
                <w:kern w:val="0"/>
                <w:sz w:val="21"/>
                <w:szCs w:val="24"/>
                <w:lang w:val="en-US" w:eastAsia="zh-CN" w:bidi="ar"/>
              </w:rPr>
              <w:t>等杂质，提高后续胶粘剂附着力。</w:t>
            </w:r>
          </w:p>
          <w:p w14:paraId="083DD043">
            <w:pPr>
              <w:pStyle w:val="44"/>
              <w:keepNext w:val="0"/>
              <w:keepLines w:val="0"/>
              <w:pageBreakBefore w:val="0"/>
              <w:widowControl/>
              <w:numPr>
                <w:ilvl w:val="0"/>
                <w:numId w:val="11"/>
              </w:numPr>
              <w:suppressLineNumbers w:val="0"/>
              <w:shd w:val="clear" w:fill="FFFFFF"/>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var(--dsw-font-markdown-table)"/>
                <w:color w:val="auto"/>
                <w:kern w:val="0"/>
                <w:sz w:val="21"/>
                <w:szCs w:val="24"/>
                <w:lang w:val="en-US" w:eastAsia="zh-CN" w:bidi="ar"/>
              </w:rPr>
              <w:t>水性PU胶：外观为乳白色液体，无味，有时有轻微丙酮气味，pH值6~9，相对密度（水=1）1.04~1.09，沸点约86℃，闪点不适用（水性产品，不易燃），常温下与水可混溶。主要成分为聚氨酯树脂49</w:t>
            </w:r>
            <w:r>
              <w:rPr>
                <w:rFonts w:hint="eastAsia" w:ascii="Times New Roman" w:hAnsi="Times New Roman" w:cs="var(--dsw-font-markdown-table)"/>
                <w:color w:val="auto"/>
                <w:kern w:val="0"/>
                <w:sz w:val="21"/>
                <w:szCs w:val="24"/>
                <w:lang w:val="en-US" w:eastAsia="zh-CN" w:bidi="ar"/>
              </w:rPr>
              <w:t xml:space="preserve"> - </w:t>
            </w:r>
            <w:r>
              <w:rPr>
                <w:rFonts w:hint="default" w:ascii="Times New Roman" w:hAnsi="Times New Roman" w:eastAsia="宋体" w:cs="var(--dsw-font-markdown-table)"/>
                <w:color w:val="auto"/>
                <w:kern w:val="0"/>
                <w:sz w:val="21"/>
                <w:szCs w:val="24"/>
                <w:lang w:val="en-US" w:eastAsia="zh-CN" w:bidi="ar"/>
              </w:rPr>
              <w:t>51%、水49</w:t>
            </w:r>
            <w:r>
              <w:rPr>
                <w:rFonts w:hint="eastAsia" w:ascii="Times New Roman" w:hAnsi="Times New Roman" w:cs="var(--dsw-font-markdown-table)"/>
                <w:color w:val="auto"/>
                <w:kern w:val="0"/>
                <w:sz w:val="21"/>
                <w:szCs w:val="24"/>
                <w:lang w:val="en-US" w:eastAsia="zh-CN" w:bidi="ar"/>
              </w:rPr>
              <w:t xml:space="preserve"> - </w:t>
            </w:r>
            <w:r>
              <w:rPr>
                <w:rFonts w:hint="default" w:ascii="Times New Roman" w:hAnsi="Times New Roman" w:eastAsia="宋体" w:cs="var(--dsw-font-markdown-table)"/>
                <w:color w:val="auto"/>
                <w:kern w:val="0"/>
                <w:sz w:val="21"/>
                <w:szCs w:val="24"/>
                <w:lang w:val="en-US" w:eastAsia="zh-CN" w:bidi="ar"/>
              </w:rPr>
              <w:t>51%、丙酮&lt;1%。</w:t>
            </w:r>
            <w:r>
              <w:rPr>
                <w:rFonts w:hint="eastAsia" w:ascii="Times New Roman" w:hAnsi="Times New Roman" w:eastAsia="宋体" w:cs="var(--dsw-font-markdown-table)"/>
                <w:color w:val="auto"/>
                <w:kern w:val="0"/>
                <w:sz w:val="21"/>
                <w:szCs w:val="24"/>
                <w:lang w:val="en-US" w:eastAsia="zh-CN" w:bidi="ar"/>
              </w:rPr>
              <w:t>根据</w:t>
            </w:r>
            <w:r>
              <w:rPr>
                <w:rFonts w:hint="default" w:ascii="Times New Roman" w:hAnsi="Times New Roman" w:eastAsia="宋体" w:cs="var(--dsw-font-markdown-table)"/>
                <w:color w:val="auto"/>
                <w:kern w:val="0"/>
                <w:sz w:val="21"/>
                <w:szCs w:val="24"/>
                <w:lang w:val="en-US" w:eastAsia="zh-CN" w:bidi="ar"/>
              </w:rPr>
              <w:t>VOCs</w:t>
            </w:r>
            <w:r>
              <w:rPr>
                <w:rFonts w:hint="eastAsia" w:ascii="Times New Roman" w:hAnsi="Times New Roman" w:eastAsia="宋体" w:cs="var(--dsw-font-markdown-table)"/>
                <w:color w:val="auto"/>
                <w:kern w:val="0"/>
                <w:sz w:val="21"/>
                <w:szCs w:val="24"/>
                <w:lang w:val="en-US" w:eastAsia="zh-CN" w:bidi="ar"/>
              </w:rPr>
              <w:t>检测报告，</w:t>
            </w:r>
            <w:r>
              <w:rPr>
                <w:rFonts w:hint="default" w:ascii="Times New Roman" w:hAnsi="Times New Roman" w:eastAsia="宋体" w:cs="var(--dsw-font-markdown-table)"/>
                <w:color w:val="auto"/>
                <w:kern w:val="0"/>
                <w:sz w:val="21"/>
                <w:szCs w:val="24"/>
                <w:lang w:val="en-US" w:eastAsia="zh-CN" w:bidi="ar"/>
              </w:rPr>
              <w:t>VOCs</w:t>
            </w:r>
            <w:r>
              <w:rPr>
                <w:rFonts w:hint="eastAsia" w:ascii="Times New Roman" w:hAnsi="Times New Roman" w:eastAsia="宋体" w:cs="var(--dsw-font-markdown-table)"/>
                <w:color w:val="auto"/>
                <w:kern w:val="0"/>
                <w:sz w:val="21"/>
                <w:szCs w:val="24"/>
                <w:lang w:val="en-US" w:eastAsia="zh-CN" w:bidi="ar"/>
              </w:rPr>
              <w:t>含量</w:t>
            </w:r>
            <w:r>
              <w:rPr>
                <w:rFonts w:hint="eastAsia" w:ascii="Times New Roman" w:hAnsi="Times New Roman" w:cs="var(--dsw-font-markdown-table)"/>
                <w:color w:val="auto"/>
                <w:kern w:val="0"/>
                <w:sz w:val="21"/>
                <w:szCs w:val="24"/>
                <w:lang w:val="en-US" w:eastAsia="zh-CN" w:bidi="ar"/>
              </w:rPr>
              <w:t>&lt;2</w:t>
            </w:r>
            <w:r>
              <w:rPr>
                <w:rFonts w:hint="default" w:ascii="Times New Roman" w:hAnsi="Times New Roman" w:eastAsia="宋体" w:cs="var(--dsw-font-markdown-table)"/>
                <w:color w:val="auto"/>
                <w:kern w:val="0"/>
                <w:sz w:val="21"/>
                <w:szCs w:val="24"/>
                <w:lang w:val="en-US" w:eastAsia="zh-CN" w:bidi="ar"/>
              </w:rPr>
              <w:t>g/L</w:t>
            </w:r>
            <w:r>
              <w:rPr>
                <w:rFonts w:hint="eastAsia" w:ascii="Times New Roman" w:hAnsi="Times New Roman" w:eastAsia="宋体" w:cs="var(--dsw-font-markdown-table)"/>
                <w:color w:val="auto"/>
                <w:kern w:val="0"/>
                <w:sz w:val="21"/>
                <w:szCs w:val="24"/>
                <w:lang w:val="en-US" w:eastAsia="zh-CN" w:bidi="ar"/>
              </w:rPr>
              <w:t>，满足</w:t>
            </w:r>
            <w:r>
              <w:rPr>
                <w:rFonts w:hint="default" w:ascii="Times New Roman" w:hAnsi="Times New Roman" w:eastAsia="宋体" w:cs="var(--dsw-font-markdown-table)"/>
                <w:color w:val="auto"/>
                <w:kern w:val="0"/>
                <w:sz w:val="21"/>
                <w:szCs w:val="24"/>
                <w:lang w:val="en-US" w:eastAsia="zh-CN" w:bidi="ar"/>
              </w:rPr>
              <w:t>GB 33372</w:t>
            </w:r>
            <w:r>
              <w:rPr>
                <w:rFonts w:hint="eastAsia" w:ascii="Times New Roman" w:hAnsi="Times New Roman" w:cs="var(--dsw-font-markdown-table)"/>
                <w:color w:val="auto"/>
                <w:kern w:val="0"/>
                <w:sz w:val="21"/>
                <w:szCs w:val="24"/>
                <w:lang w:val="en-US" w:eastAsia="zh-CN" w:bidi="ar"/>
              </w:rPr>
              <w:t>-</w:t>
            </w:r>
            <w:r>
              <w:rPr>
                <w:rFonts w:hint="default" w:ascii="Times New Roman" w:hAnsi="Times New Roman" w:eastAsia="宋体" w:cs="var(--dsw-font-markdown-table)"/>
                <w:color w:val="auto"/>
                <w:kern w:val="0"/>
                <w:sz w:val="21"/>
                <w:szCs w:val="24"/>
                <w:lang w:val="en-US" w:eastAsia="zh-CN" w:bidi="ar"/>
              </w:rPr>
              <w:t>2020《胶粘剂挥发性有机化合物限量》表2水基型胶粘剂中“鞋和箱包</w:t>
            </w:r>
            <w:r>
              <w:rPr>
                <w:rFonts w:hint="eastAsia" w:ascii="Times New Roman" w:hAnsi="Times New Roman" w:cs="var(--dsw-font-markdown-table)"/>
                <w:color w:val="auto"/>
                <w:kern w:val="0"/>
                <w:sz w:val="21"/>
                <w:szCs w:val="24"/>
                <w:lang w:val="en-US" w:eastAsia="zh-CN" w:bidi="ar"/>
              </w:rPr>
              <w:t xml:space="preserve"> </w:t>
            </w:r>
            <w:r>
              <w:rPr>
                <w:rFonts w:hint="default" w:ascii="Times New Roman" w:hAnsi="Times New Roman" w:eastAsia="宋体" w:cs="var(--dsw-font-markdown-table)"/>
                <w:color w:val="auto"/>
                <w:kern w:val="0"/>
                <w:sz w:val="21"/>
                <w:szCs w:val="24"/>
                <w:lang w:val="en-US" w:eastAsia="zh-CN" w:bidi="ar"/>
              </w:rPr>
              <w:t>聚氨酯类”VOC含量≤50g/L的限值要求</w:t>
            </w:r>
            <w:r>
              <w:rPr>
                <w:rFonts w:hint="eastAsia" w:ascii="Times New Roman" w:hAnsi="Times New Roman" w:eastAsia="宋体" w:cs="var(--dsw-font-markdown-table)"/>
                <w:color w:val="auto"/>
                <w:kern w:val="0"/>
                <w:sz w:val="21"/>
                <w:szCs w:val="24"/>
                <w:lang w:val="en-US" w:eastAsia="zh-CN" w:bidi="ar"/>
              </w:rPr>
              <w:t>，故属于低挥发性胶粘剂。</w:t>
            </w:r>
          </w:p>
          <w:p w14:paraId="054624F8">
            <w:pPr>
              <w:pStyle w:val="44"/>
              <w:keepNext w:val="0"/>
              <w:keepLines w:val="0"/>
              <w:pageBreakBefore w:val="0"/>
              <w:widowControl/>
              <w:numPr>
                <w:ilvl w:val="0"/>
                <w:numId w:val="11"/>
              </w:numPr>
              <w:suppressLineNumbers w:val="0"/>
              <w:shd w:val="clear" w:fill="FFFFFF"/>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b w:val="0"/>
                <w:bCs w:val="0"/>
                <w:i w:val="0"/>
                <w:iCs w:val="0"/>
                <w:caps w:val="0"/>
                <w:color w:val="auto"/>
                <w:spacing w:val="0"/>
                <w:sz w:val="21"/>
                <w:szCs w:val="24"/>
                <w:shd w:val="clear" w:fill="FFFFFF"/>
              </w:rPr>
              <w:t>丝印油墨：</w:t>
            </w:r>
            <w:r>
              <w:rPr>
                <w:rFonts w:hint="default" w:ascii="Times New Roman" w:hAnsi="Times New Roman" w:eastAsia="宋体" w:cs="Segoe UI"/>
                <w:b w:val="0"/>
                <w:bCs w:val="0"/>
                <w:i w:val="0"/>
                <w:iCs w:val="0"/>
                <w:caps w:val="0"/>
                <w:color w:val="auto"/>
                <w:spacing w:val="0"/>
                <w:kern w:val="0"/>
                <w:sz w:val="21"/>
                <w:szCs w:val="24"/>
                <w:shd w:val="clear" w:fill="FFFFFF"/>
                <w:lang w:val="en-US" w:eastAsia="zh-CN" w:bidi="ar-SA"/>
              </w:rPr>
              <w:t>本品</w:t>
            </w:r>
            <w:r>
              <w:rPr>
                <w:rFonts w:hint="default" w:ascii="Times New Roman" w:hAnsi="Times New Roman" w:eastAsia="宋体" w:cs="Segoe UI"/>
                <w:i w:val="0"/>
                <w:iCs w:val="0"/>
                <w:caps w:val="0"/>
                <w:color w:val="auto"/>
                <w:spacing w:val="0"/>
                <w:kern w:val="0"/>
                <w:sz w:val="21"/>
                <w:szCs w:val="24"/>
                <w:shd w:val="clear" w:fill="FFFFFF"/>
                <w:lang w:val="en-US" w:eastAsia="zh-CN" w:bidi="ar-SA"/>
              </w:rPr>
              <w:t>为水性丝网印刷油墨，浓稠状液体，具有少量薄荷气味，主要成分为聚氨酯树脂（</w:t>
            </w:r>
            <w:r>
              <w:rPr>
                <w:rFonts w:hint="eastAsia" w:ascii="Times New Roman" w:hAnsi="Times New Roman" w:cs="Segoe UI"/>
                <w:i w:val="0"/>
                <w:iCs w:val="0"/>
                <w:caps w:val="0"/>
                <w:color w:val="auto"/>
                <w:spacing w:val="0"/>
                <w:kern w:val="0"/>
                <w:sz w:val="21"/>
                <w:szCs w:val="24"/>
                <w:shd w:val="clear" w:fill="FFFFFF"/>
                <w:lang w:val="en-US" w:eastAsia="zh-CN" w:bidi="ar-SA"/>
              </w:rPr>
              <w:t>60%～70%</w:t>
            </w:r>
            <w:r>
              <w:rPr>
                <w:rFonts w:hint="default" w:ascii="Times New Roman" w:hAnsi="Times New Roman" w:eastAsia="宋体" w:cs="Segoe UI"/>
                <w:i w:val="0"/>
                <w:iCs w:val="0"/>
                <w:caps w:val="0"/>
                <w:color w:val="auto"/>
                <w:spacing w:val="0"/>
                <w:kern w:val="0"/>
                <w:sz w:val="21"/>
                <w:szCs w:val="24"/>
                <w:shd w:val="clear" w:fill="FFFFFF"/>
                <w:lang w:val="en-US" w:eastAsia="zh-CN" w:bidi="ar-SA"/>
              </w:rPr>
              <w:t>）、去离子水（</w:t>
            </w:r>
            <w:r>
              <w:rPr>
                <w:rFonts w:hint="eastAsia" w:ascii="Times New Roman" w:hAnsi="Times New Roman" w:cs="Segoe UI"/>
                <w:i w:val="0"/>
                <w:iCs w:val="0"/>
                <w:caps w:val="0"/>
                <w:color w:val="auto"/>
                <w:spacing w:val="0"/>
                <w:kern w:val="0"/>
                <w:sz w:val="21"/>
                <w:szCs w:val="24"/>
                <w:shd w:val="clear" w:fill="FFFFFF"/>
                <w:lang w:val="en-US" w:eastAsia="zh-CN" w:bidi="ar-SA"/>
              </w:rPr>
              <w:t>10%～15%</w:t>
            </w:r>
            <w:r>
              <w:rPr>
                <w:rFonts w:hint="default" w:ascii="Times New Roman" w:hAnsi="Times New Roman" w:eastAsia="宋体" w:cs="Segoe UI"/>
                <w:i w:val="0"/>
                <w:iCs w:val="0"/>
                <w:caps w:val="0"/>
                <w:color w:val="auto"/>
                <w:spacing w:val="0"/>
                <w:kern w:val="0"/>
                <w:sz w:val="21"/>
                <w:szCs w:val="24"/>
                <w:shd w:val="clear" w:fill="FFFFFF"/>
                <w:lang w:val="en-US" w:eastAsia="zh-CN" w:bidi="ar-SA"/>
              </w:rPr>
              <w:t>）、色粉（</w:t>
            </w:r>
            <w:r>
              <w:rPr>
                <w:rFonts w:hint="eastAsia" w:ascii="Times New Roman" w:hAnsi="Times New Roman" w:cs="Segoe UI"/>
                <w:i w:val="0"/>
                <w:iCs w:val="0"/>
                <w:caps w:val="0"/>
                <w:color w:val="auto"/>
                <w:spacing w:val="0"/>
                <w:kern w:val="0"/>
                <w:sz w:val="21"/>
                <w:szCs w:val="24"/>
                <w:shd w:val="clear" w:fill="FFFFFF"/>
                <w:lang w:val="en-US" w:eastAsia="zh-CN" w:bidi="ar-SA"/>
              </w:rPr>
              <w:t>10%～15%</w:t>
            </w:r>
            <w:r>
              <w:rPr>
                <w:rFonts w:hint="default" w:ascii="Times New Roman" w:hAnsi="Times New Roman" w:eastAsia="宋体" w:cs="Segoe UI"/>
                <w:i w:val="0"/>
                <w:iCs w:val="0"/>
                <w:caps w:val="0"/>
                <w:color w:val="auto"/>
                <w:spacing w:val="0"/>
                <w:kern w:val="0"/>
                <w:sz w:val="21"/>
                <w:szCs w:val="24"/>
                <w:shd w:val="clear" w:fill="FFFFFF"/>
                <w:lang w:val="en-US" w:eastAsia="zh-CN" w:bidi="ar-SA"/>
              </w:rPr>
              <w:t>）及助剂（</w:t>
            </w:r>
            <w:r>
              <w:rPr>
                <w:rFonts w:hint="eastAsia" w:ascii="Times New Roman" w:hAnsi="Times New Roman" w:cs="Segoe UI"/>
                <w:i w:val="0"/>
                <w:iCs w:val="0"/>
                <w:caps w:val="0"/>
                <w:color w:val="auto"/>
                <w:spacing w:val="0"/>
                <w:kern w:val="0"/>
                <w:sz w:val="21"/>
                <w:szCs w:val="24"/>
                <w:shd w:val="clear" w:fill="FFFFFF"/>
                <w:lang w:val="en-US" w:eastAsia="zh-CN" w:bidi="ar-SA"/>
              </w:rPr>
              <w:t>3%～5%</w:t>
            </w:r>
            <w:r>
              <w:rPr>
                <w:rFonts w:hint="default" w:ascii="Times New Roman" w:hAnsi="Times New Roman" w:eastAsia="宋体" w:cs="Segoe UI"/>
                <w:i w:val="0"/>
                <w:iCs w:val="0"/>
                <w:caps w:val="0"/>
                <w:color w:val="auto"/>
                <w:spacing w:val="0"/>
                <w:kern w:val="0"/>
                <w:sz w:val="21"/>
                <w:szCs w:val="24"/>
                <w:shd w:val="clear" w:fill="FFFFFF"/>
                <w:lang w:val="en-US" w:eastAsia="zh-CN" w:bidi="ar-SA"/>
              </w:rPr>
              <w:t>），密度1.5</w:t>
            </w:r>
            <w:r>
              <w:rPr>
                <w:rFonts w:hint="eastAsia" w:ascii="Times New Roman" w:hAnsi="Times New Roman" w:cs="Segoe UI"/>
                <w:i w:val="0"/>
                <w:iCs w:val="0"/>
                <w:caps w:val="0"/>
                <w:color w:val="auto"/>
                <w:spacing w:val="0"/>
                <w:kern w:val="0"/>
                <w:sz w:val="21"/>
                <w:szCs w:val="24"/>
                <w:shd w:val="clear" w:fill="FFFFFF"/>
                <w:lang w:val="en-US" w:eastAsia="zh-CN" w:bidi="ar-SA"/>
              </w:rPr>
              <w:t>～</w:t>
            </w:r>
            <w:r>
              <w:rPr>
                <w:rFonts w:hint="default" w:ascii="Times New Roman" w:hAnsi="Times New Roman" w:eastAsia="宋体" w:cs="Segoe UI"/>
                <w:i w:val="0"/>
                <w:iCs w:val="0"/>
                <w:caps w:val="0"/>
                <w:color w:val="auto"/>
                <w:spacing w:val="0"/>
                <w:kern w:val="0"/>
                <w:sz w:val="21"/>
                <w:szCs w:val="24"/>
                <w:shd w:val="clear" w:fill="FFFFFF"/>
                <w:lang w:val="en-US" w:eastAsia="zh-CN" w:bidi="ar-SA"/>
              </w:rPr>
              <w:t>2.0g/cm³，沸点100℃，pH值7.5~9.0，可与水完全混溶。根据其VOCs检测报告（报告编号：A2260617601101E），总挥发性有机物含量为未检出（ND，检出限0.2%），远低于《油墨中可挥发性有机化合物（VOCs）含量的限值》（</w:t>
            </w:r>
            <w:r>
              <w:rPr>
                <w:rFonts w:hint="eastAsia" w:ascii="Times New Roman" w:hAnsi="Times New Roman" w:cs="Segoe UI"/>
                <w:i w:val="0"/>
                <w:iCs w:val="0"/>
                <w:caps w:val="0"/>
                <w:color w:val="auto"/>
                <w:spacing w:val="0"/>
                <w:kern w:val="0"/>
                <w:sz w:val="21"/>
                <w:szCs w:val="24"/>
                <w:shd w:val="clear" w:fill="FFFFFF"/>
                <w:lang w:val="en-US" w:eastAsia="zh-CN" w:bidi="ar-SA"/>
              </w:rPr>
              <w:t>GB 38507-</w:t>
            </w:r>
            <w:r>
              <w:rPr>
                <w:rFonts w:hint="default" w:ascii="Times New Roman" w:hAnsi="Times New Roman" w:eastAsia="宋体" w:cs="Segoe UI"/>
                <w:i w:val="0"/>
                <w:iCs w:val="0"/>
                <w:caps w:val="0"/>
                <w:color w:val="auto"/>
                <w:spacing w:val="0"/>
                <w:kern w:val="0"/>
                <w:sz w:val="21"/>
                <w:szCs w:val="24"/>
                <w:shd w:val="clear" w:fill="FFFFFF"/>
                <w:lang w:val="en-US" w:eastAsia="zh-CN" w:bidi="ar-SA"/>
              </w:rPr>
              <w:t>2020）水性油墨</w:t>
            </w:r>
            <w:r>
              <w:rPr>
                <w:rFonts w:hint="eastAsia" w:ascii="Times New Roman" w:hAnsi="Times New Roman" w:cs="Segoe UI"/>
                <w:i w:val="0"/>
                <w:iCs w:val="0"/>
                <w:caps w:val="0"/>
                <w:color w:val="auto"/>
                <w:spacing w:val="0"/>
                <w:kern w:val="0"/>
                <w:sz w:val="21"/>
                <w:szCs w:val="24"/>
                <w:shd w:val="clear" w:fill="FFFFFF"/>
                <w:lang w:val="en-US" w:eastAsia="zh-CN" w:bidi="ar-SA"/>
              </w:rPr>
              <w:t xml:space="preserve"> </w:t>
            </w:r>
            <w:r>
              <w:rPr>
                <w:rFonts w:hint="default" w:ascii="Times New Roman" w:hAnsi="Times New Roman" w:eastAsia="宋体" w:cs="Segoe UI"/>
                <w:i w:val="0"/>
                <w:iCs w:val="0"/>
                <w:caps w:val="0"/>
                <w:color w:val="auto"/>
                <w:spacing w:val="0"/>
                <w:kern w:val="0"/>
                <w:sz w:val="21"/>
                <w:szCs w:val="24"/>
                <w:shd w:val="clear" w:fill="FFFFFF"/>
                <w:lang w:val="en-US" w:eastAsia="zh-CN" w:bidi="ar-SA"/>
              </w:rPr>
              <w:t>凹印油墨</w:t>
            </w:r>
            <w:r>
              <w:rPr>
                <w:rFonts w:hint="eastAsia" w:ascii="Times New Roman" w:hAnsi="Times New Roman" w:cs="Segoe UI"/>
                <w:i w:val="0"/>
                <w:iCs w:val="0"/>
                <w:caps w:val="0"/>
                <w:color w:val="auto"/>
                <w:spacing w:val="0"/>
                <w:kern w:val="0"/>
                <w:sz w:val="21"/>
                <w:szCs w:val="24"/>
                <w:shd w:val="clear" w:fill="FFFFFF"/>
                <w:lang w:val="en-US" w:eastAsia="zh-CN" w:bidi="ar-SA"/>
              </w:rPr>
              <w:t>—非</w:t>
            </w:r>
            <w:r>
              <w:rPr>
                <w:rFonts w:hint="default" w:ascii="Times New Roman" w:hAnsi="Times New Roman" w:eastAsia="宋体" w:cs="Segoe UI"/>
                <w:i w:val="0"/>
                <w:iCs w:val="0"/>
                <w:caps w:val="0"/>
                <w:color w:val="auto"/>
                <w:spacing w:val="0"/>
                <w:kern w:val="0"/>
                <w:sz w:val="21"/>
                <w:szCs w:val="24"/>
                <w:shd w:val="clear" w:fill="FFFFFF"/>
                <w:lang w:val="en-US" w:eastAsia="zh-CN" w:bidi="ar-SA"/>
              </w:rPr>
              <w:t>吸收性承印物VOCs含量≤30%的要求。</w:t>
            </w:r>
          </w:p>
          <w:p w14:paraId="5106DEA6">
            <w:pPr>
              <w:pStyle w:val="44"/>
              <w:keepNext w:val="0"/>
              <w:keepLines w:val="0"/>
              <w:pageBreakBefore w:val="0"/>
              <w:widowControl/>
              <w:numPr>
                <w:ilvl w:val="0"/>
                <w:numId w:val="11"/>
              </w:numPr>
              <w:suppressLineNumbers w:val="0"/>
              <w:shd w:val="clear" w:fill="FFFFFF"/>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eastAsia" w:ascii="Times New Roman" w:hAnsi="Times New Roman" w:eastAsia="宋体" w:cs="var(--dsw-font-markdown-table)"/>
                <w:color w:val="auto"/>
                <w:kern w:val="0"/>
                <w:sz w:val="21"/>
                <w:szCs w:val="24"/>
                <w:lang w:val="en-US" w:eastAsia="zh-CN" w:bidi="ar"/>
              </w:rPr>
              <w:t>转印油墨：</w:t>
            </w:r>
            <w:r>
              <w:rPr>
                <w:rFonts w:hint="default" w:ascii="Times New Roman" w:hAnsi="Times New Roman" w:eastAsia="宋体" w:cs="var(--dsw-font-markdown-table)"/>
                <w:color w:val="auto"/>
                <w:kern w:val="0"/>
                <w:sz w:val="21"/>
                <w:szCs w:val="24"/>
                <w:lang w:val="en-US" w:eastAsia="zh-CN" w:bidi="ar"/>
              </w:rPr>
              <w:t>本项目热转印工序所使用的油墨为水性油墨，呈浓稠状液体，具有少量薄荷气味，主要成分为聚氨酯树脂（</w:t>
            </w:r>
            <w:r>
              <w:rPr>
                <w:rFonts w:hint="eastAsia" w:ascii="Times New Roman" w:hAnsi="Times New Roman" w:cs="var(--dsw-font-markdown-table)"/>
                <w:color w:val="auto"/>
                <w:kern w:val="0"/>
                <w:sz w:val="21"/>
                <w:szCs w:val="24"/>
                <w:lang w:val="en-US" w:eastAsia="zh-CN" w:bidi="ar"/>
              </w:rPr>
              <w:t>60%～70%</w:t>
            </w:r>
            <w:r>
              <w:rPr>
                <w:rFonts w:hint="default" w:ascii="Times New Roman" w:hAnsi="Times New Roman" w:eastAsia="宋体" w:cs="var(--dsw-font-markdown-table)"/>
                <w:color w:val="auto"/>
                <w:kern w:val="0"/>
                <w:sz w:val="21"/>
                <w:szCs w:val="24"/>
                <w:lang w:val="en-US" w:eastAsia="zh-CN" w:bidi="ar"/>
              </w:rPr>
              <w:t>）、去离子水（</w:t>
            </w:r>
            <w:r>
              <w:rPr>
                <w:rFonts w:hint="eastAsia" w:ascii="Times New Roman" w:hAnsi="Times New Roman" w:cs="var(--dsw-font-markdown-table)"/>
                <w:color w:val="auto"/>
                <w:kern w:val="0"/>
                <w:sz w:val="21"/>
                <w:szCs w:val="24"/>
                <w:lang w:val="en-US" w:eastAsia="zh-CN" w:bidi="ar"/>
              </w:rPr>
              <w:t>10%～15%</w:t>
            </w:r>
            <w:r>
              <w:rPr>
                <w:rFonts w:hint="default" w:ascii="Times New Roman" w:hAnsi="Times New Roman" w:eastAsia="宋体" w:cs="var(--dsw-font-markdown-table)"/>
                <w:color w:val="auto"/>
                <w:kern w:val="0"/>
                <w:sz w:val="21"/>
                <w:szCs w:val="24"/>
                <w:lang w:val="en-US" w:eastAsia="zh-CN" w:bidi="ar"/>
              </w:rPr>
              <w:t>）、色粉（</w:t>
            </w:r>
            <w:r>
              <w:rPr>
                <w:rFonts w:hint="eastAsia" w:ascii="Times New Roman" w:hAnsi="Times New Roman" w:cs="var(--dsw-font-markdown-table)"/>
                <w:color w:val="auto"/>
                <w:kern w:val="0"/>
                <w:sz w:val="21"/>
                <w:szCs w:val="24"/>
                <w:lang w:val="en-US" w:eastAsia="zh-CN" w:bidi="ar"/>
              </w:rPr>
              <w:t>10%～15%</w:t>
            </w:r>
            <w:r>
              <w:rPr>
                <w:rFonts w:hint="default" w:ascii="Times New Roman" w:hAnsi="Times New Roman" w:eastAsia="宋体" w:cs="var(--dsw-font-markdown-table)"/>
                <w:color w:val="auto"/>
                <w:kern w:val="0"/>
                <w:sz w:val="21"/>
                <w:szCs w:val="24"/>
                <w:lang w:val="en-US" w:eastAsia="zh-CN" w:bidi="ar"/>
              </w:rPr>
              <w:t>）及助剂（</w:t>
            </w:r>
            <w:r>
              <w:rPr>
                <w:rFonts w:hint="eastAsia" w:ascii="Times New Roman" w:hAnsi="Times New Roman" w:cs="var(--dsw-font-markdown-table)"/>
                <w:color w:val="auto"/>
                <w:kern w:val="0"/>
                <w:sz w:val="21"/>
                <w:szCs w:val="24"/>
                <w:lang w:val="en-US" w:eastAsia="zh-CN" w:bidi="ar"/>
              </w:rPr>
              <w:t>3%～5%</w:t>
            </w:r>
            <w:r>
              <w:rPr>
                <w:rFonts w:hint="default" w:ascii="Times New Roman" w:hAnsi="Times New Roman" w:eastAsia="宋体" w:cs="var(--dsw-font-markdown-table)"/>
                <w:color w:val="auto"/>
                <w:kern w:val="0"/>
                <w:sz w:val="21"/>
                <w:szCs w:val="24"/>
                <w:lang w:val="en-US" w:eastAsia="zh-CN" w:bidi="ar"/>
              </w:rPr>
              <w:t>），密度1.5</w:t>
            </w:r>
            <w:r>
              <w:rPr>
                <w:rFonts w:hint="eastAsia" w:ascii="Times New Roman" w:hAnsi="Times New Roman" w:cs="var(--dsw-font-markdown-table)"/>
                <w:color w:val="auto"/>
                <w:kern w:val="0"/>
                <w:sz w:val="21"/>
                <w:szCs w:val="24"/>
                <w:lang w:val="en-US" w:eastAsia="zh-CN" w:bidi="ar"/>
              </w:rPr>
              <w:t>～</w:t>
            </w:r>
            <w:r>
              <w:rPr>
                <w:rFonts w:hint="default" w:ascii="Times New Roman" w:hAnsi="Times New Roman" w:eastAsia="宋体" w:cs="var(--dsw-font-markdown-table)"/>
                <w:color w:val="auto"/>
                <w:kern w:val="0"/>
                <w:sz w:val="21"/>
                <w:szCs w:val="24"/>
                <w:lang w:val="en-US" w:eastAsia="zh-CN" w:bidi="ar"/>
              </w:rPr>
              <w:t>2.0g/cm³，沸点约100℃</w:t>
            </w:r>
            <w:r>
              <w:rPr>
                <w:rFonts w:hint="eastAsia" w:ascii="Times New Roman" w:hAnsi="Times New Roman" w:cs="var(--dsw-font-markdown-table)"/>
                <w:color w:val="auto"/>
                <w:kern w:val="0"/>
                <w:sz w:val="21"/>
                <w:szCs w:val="24"/>
                <w:lang w:val="en-US" w:eastAsia="zh-CN" w:bidi="ar"/>
              </w:rPr>
              <w:t>，分解温度为200</w:t>
            </w:r>
            <w:r>
              <w:rPr>
                <w:rFonts w:hint="default" w:ascii="Times New Roman" w:hAnsi="Times New Roman" w:eastAsia="宋体" w:cs="var(--dsw-font-markdown-table)"/>
                <w:color w:val="auto"/>
                <w:kern w:val="0"/>
                <w:sz w:val="21"/>
                <w:szCs w:val="24"/>
                <w:lang w:val="en-US" w:eastAsia="zh-CN" w:bidi="ar"/>
              </w:rPr>
              <w:t>℃，pH值7.5~9.0，可与水完全混溶，该油墨印刷于涂覆离型层的热转印纸上，参照《油墨中可挥发性有机化合物（VOCs）含量的限值》（GB 38507</w:t>
            </w:r>
            <w:r>
              <w:rPr>
                <w:rFonts w:hint="eastAsia" w:ascii="Times New Roman" w:hAnsi="Times New Roman" w:cs="var(--dsw-font-markdown-table)"/>
                <w:color w:val="auto"/>
                <w:kern w:val="0"/>
                <w:sz w:val="21"/>
                <w:szCs w:val="24"/>
                <w:lang w:val="en-US" w:eastAsia="zh-CN" w:bidi="ar"/>
              </w:rPr>
              <w:t>-</w:t>
            </w:r>
            <w:r>
              <w:rPr>
                <w:rFonts w:hint="default" w:ascii="Times New Roman" w:hAnsi="Times New Roman" w:eastAsia="宋体" w:cs="var(--dsw-font-markdown-table)"/>
                <w:color w:val="auto"/>
                <w:kern w:val="0"/>
                <w:sz w:val="21"/>
                <w:szCs w:val="24"/>
                <w:lang w:val="en-US" w:eastAsia="zh-CN" w:bidi="ar"/>
              </w:rPr>
              <w:t>2020）中“水性油墨—凹印油墨—非吸收性承印物”的限值要求（VOCs含量≤30%）。按最不利原则估算（助剂</w:t>
            </w:r>
            <w:r>
              <w:rPr>
                <w:rFonts w:hint="eastAsia" w:ascii="Times New Roman" w:hAnsi="Times New Roman" w:cs="var(--dsw-font-markdown-table)"/>
                <w:color w:val="auto"/>
                <w:kern w:val="0"/>
                <w:sz w:val="21"/>
                <w:szCs w:val="24"/>
                <w:lang w:val="en-US" w:eastAsia="zh-CN" w:bidi="ar"/>
              </w:rPr>
              <w:t>3%～5%</w:t>
            </w:r>
            <w:r>
              <w:rPr>
                <w:rFonts w:hint="default" w:ascii="Times New Roman" w:hAnsi="Times New Roman" w:eastAsia="宋体" w:cs="var(--dsw-font-markdown-table)"/>
                <w:color w:val="auto"/>
                <w:kern w:val="0"/>
                <w:sz w:val="21"/>
                <w:szCs w:val="24"/>
                <w:lang w:val="en-US" w:eastAsia="zh-CN" w:bidi="ar"/>
              </w:rPr>
              <w:t>全部挥发），该油墨VOCs含量约为</w:t>
            </w:r>
            <w:r>
              <w:rPr>
                <w:rFonts w:hint="eastAsia" w:ascii="Times New Roman" w:hAnsi="Times New Roman" w:cs="var(--dsw-font-markdown-table)"/>
                <w:color w:val="auto"/>
                <w:kern w:val="0"/>
                <w:sz w:val="21"/>
                <w:szCs w:val="24"/>
                <w:lang w:val="en-US" w:eastAsia="zh-CN" w:bidi="ar"/>
              </w:rPr>
              <w:t>3%～5%</w:t>
            </w:r>
            <w:r>
              <w:rPr>
                <w:rFonts w:hint="default" w:ascii="Times New Roman" w:hAnsi="Times New Roman" w:eastAsia="宋体" w:cs="var(--dsw-font-markdown-table)"/>
                <w:color w:val="auto"/>
                <w:kern w:val="0"/>
                <w:sz w:val="21"/>
                <w:szCs w:val="24"/>
                <w:lang w:val="en-US" w:eastAsia="zh-CN" w:bidi="ar"/>
              </w:rPr>
              <w:t>，远低于国家标准限值（≤30%），属于低VOCs含量水性油墨，符合环保要求。本次环评按最不利原则进行源强估算，助剂</w:t>
            </w:r>
            <w:r>
              <w:rPr>
                <w:rFonts w:hint="eastAsia" w:ascii="Times New Roman" w:hAnsi="Times New Roman" w:eastAsia="宋体" w:cs="var(--dsw-font-markdown-table)"/>
                <w:color w:val="auto"/>
                <w:kern w:val="0"/>
                <w:sz w:val="21"/>
                <w:szCs w:val="24"/>
                <w:lang w:val="en-US" w:eastAsia="zh-CN" w:bidi="ar"/>
              </w:rPr>
              <w:t>为</w:t>
            </w:r>
            <w:r>
              <w:rPr>
                <w:rFonts w:hint="default" w:ascii="Times New Roman" w:hAnsi="Times New Roman" w:eastAsia="宋体" w:cs="var(--dsw-font-markdown-table)"/>
                <w:color w:val="auto"/>
                <w:kern w:val="0"/>
                <w:sz w:val="21"/>
                <w:szCs w:val="24"/>
                <w:lang w:val="en-US" w:eastAsia="zh-CN" w:bidi="ar"/>
              </w:rPr>
              <w:t>挥发组分（VOCs产生系数按油墨用量的</w:t>
            </w:r>
            <w:r>
              <w:rPr>
                <w:rFonts w:hint="eastAsia" w:ascii="Times New Roman" w:hAnsi="Times New Roman" w:eastAsia="宋体" w:cs="var(--dsw-font-markdown-table)"/>
                <w:color w:val="auto"/>
                <w:kern w:val="0"/>
                <w:sz w:val="21"/>
                <w:szCs w:val="24"/>
                <w:lang w:val="en-US" w:eastAsia="zh-CN" w:bidi="ar"/>
              </w:rPr>
              <w:t>5</w:t>
            </w:r>
            <w:r>
              <w:rPr>
                <w:rFonts w:hint="default" w:ascii="Times New Roman" w:hAnsi="Times New Roman" w:eastAsia="宋体" w:cs="var(--dsw-font-markdown-table)"/>
                <w:color w:val="auto"/>
                <w:kern w:val="0"/>
                <w:sz w:val="21"/>
                <w:szCs w:val="24"/>
                <w:lang w:val="en-US" w:eastAsia="zh-CN" w:bidi="ar"/>
              </w:rPr>
              <w:t>%计）</w:t>
            </w:r>
          </w:p>
          <w:p w14:paraId="29CBEEBE">
            <w:pPr>
              <w:pStyle w:val="44"/>
              <w:keepNext w:val="0"/>
              <w:keepLines w:val="0"/>
              <w:pageBreakBefore w:val="0"/>
              <w:widowControl/>
              <w:numPr>
                <w:ilvl w:val="0"/>
                <w:numId w:val="11"/>
              </w:numPr>
              <w:suppressLineNumbers w:val="0"/>
              <w:shd w:val="clear" w:fill="FFFFFF"/>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var(--dsw-font-markdown-table)"/>
                <w:color w:val="auto"/>
                <w:kern w:val="0"/>
                <w:sz w:val="21"/>
                <w:szCs w:val="24"/>
                <w:lang w:val="en-US" w:eastAsia="zh-CN" w:bidi="ar"/>
              </w:rPr>
              <w:t>UV油墨</w:t>
            </w:r>
            <w:r>
              <w:rPr>
                <w:rFonts w:hint="eastAsia" w:ascii="Times New Roman" w:hAnsi="Times New Roman" w:cs="var(--dsw-font-markdown-table)"/>
                <w:color w:val="auto"/>
                <w:kern w:val="0"/>
                <w:sz w:val="21"/>
                <w:szCs w:val="24"/>
                <w:lang w:val="en-US" w:eastAsia="zh-CN" w:bidi="ar"/>
              </w:rPr>
              <w:t>：</w:t>
            </w:r>
            <w:r>
              <w:rPr>
                <w:rFonts w:hint="default" w:ascii="Times New Roman" w:hAnsi="Times New Roman" w:eastAsia="宋体" w:cs="var(--dsw-font-markdown-base)"/>
                <w:i w:val="0"/>
                <w:iCs w:val="0"/>
                <w:caps w:val="0"/>
                <w:color w:val="auto"/>
                <w:spacing w:val="0"/>
                <w:sz w:val="21"/>
                <w:szCs w:val="21"/>
                <w:shd w:val="clear" w:fill="FFFFFF"/>
              </w:rPr>
              <w:t>液态无特殊气味。主要成分为1,6</w:t>
            </w:r>
            <w:r>
              <w:rPr>
                <w:rFonts w:hint="eastAsia" w:ascii="Times New Roman" w:hAnsi="Times New Roman" w:cs="var(--dsw-font-markdown-base)"/>
                <w:i w:val="0"/>
                <w:iCs w:val="0"/>
                <w:caps w:val="0"/>
                <w:color w:val="auto"/>
                <w:spacing w:val="0"/>
                <w:sz w:val="21"/>
                <w:szCs w:val="21"/>
                <w:shd w:val="clear" w:fill="FFFFFF"/>
                <w:lang w:val="en-US" w:eastAsia="zh-CN"/>
              </w:rPr>
              <w:t>-</w:t>
            </w:r>
            <w:r>
              <w:rPr>
                <w:rFonts w:hint="default" w:ascii="Times New Roman" w:hAnsi="Times New Roman" w:eastAsia="宋体" w:cs="var(--dsw-font-markdown-base)"/>
                <w:i w:val="0"/>
                <w:iCs w:val="0"/>
                <w:caps w:val="0"/>
                <w:color w:val="auto"/>
                <w:spacing w:val="0"/>
                <w:sz w:val="21"/>
                <w:szCs w:val="21"/>
                <w:shd w:val="clear" w:fill="FFFFFF"/>
              </w:rPr>
              <w:t>己二醇二丙烯酸酯（40%）、N</w:t>
            </w:r>
            <w:r>
              <w:rPr>
                <w:rFonts w:hint="eastAsia" w:ascii="Times New Roman" w:hAnsi="Times New Roman" w:cs="var(--dsw-font-markdown-base)"/>
                <w:i w:val="0"/>
                <w:iCs w:val="0"/>
                <w:caps w:val="0"/>
                <w:color w:val="auto"/>
                <w:spacing w:val="0"/>
                <w:sz w:val="21"/>
                <w:szCs w:val="21"/>
                <w:shd w:val="clear" w:fill="FFFFFF"/>
                <w:lang w:val="en-US" w:eastAsia="zh-CN"/>
              </w:rPr>
              <w:t>-</w:t>
            </w:r>
            <w:r>
              <w:rPr>
                <w:rFonts w:hint="default" w:ascii="Times New Roman" w:hAnsi="Times New Roman" w:eastAsia="宋体" w:cs="var(--dsw-font-markdown-base)"/>
                <w:i w:val="0"/>
                <w:iCs w:val="0"/>
                <w:caps w:val="0"/>
                <w:color w:val="auto"/>
                <w:spacing w:val="0"/>
                <w:sz w:val="21"/>
                <w:szCs w:val="21"/>
                <w:shd w:val="clear" w:fill="FFFFFF"/>
              </w:rPr>
              <w:t>乙烯基己内酰胺（35%）、二新戊四醇五丙烯酸酯（15%）、二苯基</w:t>
            </w:r>
            <w:r>
              <w:rPr>
                <w:rFonts w:hint="eastAsia" w:ascii="Times New Roman" w:hAnsi="Times New Roman" w:cs="var(--dsw-font-markdown-base)"/>
                <w:i w:val="0"/>
                <w:iCs w:val="0"/>
                <w:caps w:val="0"/>
                <w:color w:val="auto"/>
                <w:spacing w:val="0"/>
                <w:sz w:val="21"/>
                <w:szCs w:val="21"/>
                <w:shd w:val="clear" w:fill="FFFFFF"/>
                <w:lang w:eastAsia="zh-CN"/>
              </w:rPr>
              <w:t>（</w:t>
            </w:r>
            <w:r>
              <w:rPr>
                <w:rFonts w:hint="default" w:ascii="Times New Roman" w:hAnsi="Times New Roman" w:eastAsia="宋体" w:cs="var(--dsw-font-markdown-base)"/>
                <w:i w:val="0"/>
                <w:iCs w:val="0"/>
                <w:caps w:val="0"/>
                <w:color w:val="auto"/>
                <w:spacing w:val="0"/>
                <w:sz w:val="21"/>
                <w:szCs w:val="21"/>
                <w:shd w:val="clear" w:fill="FFFFFF"/>
              </w:rPr>
              <w:t>2,4,6</w:t>
            </w:r>
            <w:r>
              <w:rPr>
                <w:rFonts w:hint="eastAsia" w:ascii="Times New Roman" w:hAnsi="Times New Roman" w:cs="var(--dsw-font-markdown-base)"/>
                <w:i w:val="0"/>
                <w:iCs w:val="0"/>
                <w:caps w:val="0"/>
                <w:color w:val="auto"/>
                <w:spacing w:val="0"/>
                <w:sz w:val="21"/>
                <w:szCs w:val="21"/>
                <w:shd w:val="clear" w:fill="FFFFFF"/>
                <w:lang w:eastAsia="zh-CN"/>
              </w:rPr>
              <w:t xml:space="preserve"> </w:t>
            </w:r>
            <w:r>
              <w:rPr>
                <w:rFonts w:hint="default" w:ascii="Times New Roman" w:hAnsi="Times New Roman" w:eastAsia="宋体" w:cs="var(--dsw-font-markdown-base)"/>
                <w:i w:val="0"/>
                <w:iCs w:val="0"/>
                <w:caps w:val="0"/>
                <w:color w:val="auto"/>
                <w:spacing w:val="0"/>
                <w:sz w:val="21"/>
                <w:szCs w:val="21"/>
                <w:shd w:val="clear" w:fill="FFFFFF"/>
              </w:rPr>
              <w:t>三甲基苯甲酯基</w:t>
            </w:r>
            <w:r>
              <w:rPr>
                <w:rFonts w:hint="eastAsia" w:ascii="Times New Roman" w:hAnsi="Times New Roman" w:cs="var(--dsw-font-markdown-base)"/>
                <w:i w:val="0"/>
                <w:iCs w:val="0"/>
                <w:caps w:val="0"/>
                <w:color w:val="auto"/>
                <w:spacing w:val="0"/>
                <w:sz w:val="21"/>
                <w:szCs w:val="21"/>
                <w:shd w:val="clear" w:fill="FFFFFF"/>
                <w:lang w:eastAsia="zh-CN"/>
              </w:rPr>
              <w:t>）</w:t>
            </w:r>
            <w:r>
              <w:rPr>
                <w:rFonts w:hint="default" w:ascii="Times New Roman" w:hAnsi="Times New Roman" w:eastAsia="宋体" w:cs="var(--dsw-font-markdown-base)"/>
                <w:i w:val="0"/>
                <w:iCs w:val="0"/>
                <w:caps w:val="0"/>
                <w:color w:val="auto"/>
                <w:spacing w:val="0"/>
                <w:sz w:val="21"/>
                <w:szCs w:val="21"/>
                <w:shd w:val="clear" w:fill="FFFFFF"/>
              </w:rPr>
              <w:t>膦氧化物（光引发剂，5%）及颜料（5%）。密度1.03</w:t>
            </w:r>
            <w:r>
              <w:rPr>
                <w:rFonts w:hint="eastAsia" w:ascii="Times New Roman" w:hAnsi="Times New Roman" w:cs="var(--dsw-font-markdown-base)"/>
                <w:i w:val="0"/>
                <w:iCs w:val="0"/>
                <w:caps w:val="0"/>
                <w:color w:val="auto"/>
                <w:spacing w:val="0"/>
                <w:sz w:val="21"/>
                <w:szCs w:val="21"/>
                <w:shd w:val="clear" w:fill="FFFFFF"/>
                <w:lang w:eastAsia="zh-CN"/>
              </w:rPr>
              <w:t>～</w:t>
            </w:r>
            <w:r>
              <w:rPr>
                <w:rFonts w:hint="default" w:ascii="Times New Roman" w:hAnsi="Times New Roman" w:eastAsia="宋体" w:cs="var(--dsw-font-markdown-base)"/>
                <w:i w:val="0"/>
                <w:iCs w:val="0"/>
                <w:caps w:val="0"/>
                <w:color w:val="auto"/>
                <w:spacing w:val="0"/>
                <w:sz w:val="21"/>
                <w:szCs w:val="21"/>
                <w:shd w:val="clear" w:fill="FFFFFF"/>
              </w:rPr>
              <w:t>1.15g/cm³（25℃），沸点＞200℃，闪点＞100℃，水溶性＜100g/1L。产品固含量</w:t>
            </w:r>
            <w:r>
              <w:rPr>
                <w:rFonts w:hint="eastAsia" w:ascii="Times New Roman" w:hAnsi="Times New Roman" w:cs="var(--dsw-font-markdown-base)"/>
                <w:i w:val="0"/>
                <w:iCs w:val="0"/>
                <w:caps w:val="0"/>
                <w:color w:val="auto"/>
                <w:spacing w:val="0"/>
                <w:sz w:val="21"/>
                <w:szCs w:val="21"/>
                <w:shd w:val="clear" w:fill="FFFFFF"/>
                <w:lang w:val="en-US" w:eastAsia="zh-CN"/>
              </w:rPr>
              <w:t>95</w:t>
            </w:r>
            <w:r>
              <w:rPr>
                <w:rFonts w:hint="default" w:ascii="Times New Roman" w:hAnsi="Times New Roman" w:eastAsia="宋体" w:cs="var(--dsw-font-markdown-base)"/>
                <w:i w:val="0"/>
                <w:iCs w:val="0"/>
                <w:caps w:val="0"/>
                <w:color w:val="auto"/>
                <w:spacing w:val="0"/>
                <w:sz w:val="21"/>
                <w:szCs w:val="21"/>
                <w:shd w:val="clear" w:fill="FFFFFF"/>
              </w:rPr>
              <w:t>%以上，VOCs含量极低（＜5%），属于能量固化型油墨，符合《油墨中可挥发性有机化合物（VOCs）含量的限值》（GB38507</w:t>
            </w:r>
            <w:r>
              <w:rPr>
                <w:rFonts w:hint="eastAsia" w:ascii="Times New Roman" w:hAnsi="Times New Roman" w:cs="var(--dsw-font-markdown-base)"/>
                <w:i w:val="0"/>
                <w:iCs w:val="0"/>
                <w:caps w:val="0"/>
                <w:color w:val="auto"/>
                <w:spacing w:val="0"/>
                <w:sz w:val="21"/>
                <w:szCs w:val="21"/>
                <w:shd w:val="clear" w:fill="FFFFFF"/>
                <w:lang w:val="en-US" w:eastAsia="zh-CN"/>
              </w:rPr>
              <w:t>-</w:t>
            </w:r>
            <w:r>
              <w:rPr>
                <w:rFonts w:hint="default" w:ascii="Times New Roman" w:hAnsi="Times New Roman" w:eastAsia="宋体" w:cs="var(--dsw-font-markdown-base)"/>
                <w:i w:val="0"/>
                <w:iCs w:val="0"/>
                <w:caps w:val="0"/>
                <w:color w:val="auto"/>
                <w:spacing w:val="0"/>
                <w:sz w:val="21"/>
                <w:szCs w:val="21"/>
                <w:shd w:val="clear" w:fill="FFFFFF"/>
              </w:rPr>
              <w:t>2020）能量固化油墨VOCs含量≤10%的要求。</w:t>
            </w:r>
          </w:p>
          <w:p w14:paraId="6E13A3DF">
            <w:pPr>
              <w:pStyle w:val="44"/>
              <w:keepNext w:val="0"/>
              <w:keepLines w:val="0"/>
              <w:pageBreakBefore w:val="0"/>
              <w:widowControl/>
              <w:numPr>
                <w:ilvl w:val="0"/>
                <w:numId w:val="11"/>
              </w:numPr>
              <w:suppressLineNumbers w:val="0"/>
              <w:shd w:val="clear" w:fill="FFFFFF"/>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Times New Roman"/>
                <w:color w:val="auto"/>
                <w:sz w:val="21"/>
                <w:szCs w:val="21"/>
                <w:highlight w:val="none"/>
              </w:rPr>
              <w:t>菲林</w:t>
            </w:r>
            <w:r>
              <w:rPr>
                <w:rFonts w:hint="default" w:ascii="Times New Roman" w:hAnsi="Times New Roman" w:eastAsia="宋体" w:cs="Times New Roman"/>
                <w:color w:val="auto"/>
                <w:sz w:val="21"/>
                <w:szCs w:val="21"/>
                <w:highlight w:val="none"/>
                <w:lang w:eastAsia="zh-CN"/>
              </w:rPr>
              <w:t>片</w:t>
            </w:r>
            <w:r>
              <w:rPr>
                <w:rFonts w:hint="eastAsia" w:ascii="Times New Roman" w:hAnsi="Times New Roman" w:eastAsia="宋体" w:cs="var(--dsw-font-markdown-table)"/>
                <w:color w:val="auto"/>
                <w:kern w:val="0"/>
                <w:sz w:val="21"/>
                <w:szCs w:val="24"/>
                <w:lang w:val="en-US" w:eastAsia="zh-CN" w:bidi="ar"/>
              </w:rPr>
              <w:t>：</w:t>
            </w:r>
            <w:r>
              <w:rPr>
                <w:rFonts w:hint="default" w:ascii="Times New Roman" w:hAnsi="Times New Roman" w:eastAsia="宋体" w:cs="Times New Roman"/>
                <w:color w:val="auto"/>
                <w:sz w:val="21"/>
                <w:szCs w:val="21"/>
                <w:highlight w:val="none"/>
              </w:rPr>
              <w:t>菲林</w:t>
            </w:r>
            <w:r>
              <w:rPr>
                <w:rFonts w:hint="default" w:ascii="Times New Roman" w:hAnsi="Times New Roman" w:eastAsia="宋体" w:cs="Times New Roman"/>
                <w:color w:val="auto"/>
                <w:sz w:val="21"/>
                <w:szCs w:val="21"/>
                <w:highlight w:val="none"/>
                <w:lang w:eastAsia="zh-CN"/>
              </w:rPr>
              <w:t>片</w:t>
            </w:r>
            <w:r>
              <w:rPr>
                <w:rFonts w:hint="default" w:ascii="Times New Roman" w:hAnsi="Times New Roman" w:eastAsia="宋体" w:cs="Times New Roman"/>
                <w:color w:val="auto"/>
                <w:sz w:val="21"/>
                <w:szCs w:val="21"/>
                <w:highlight w:val="none"/>
              </w:rPr>
              <w:t>的基本组成部分是用作感光的药膜（又称「乳剂」）以及用作承托药膜的片基。</w:t>
            </w:r>
          </w:p>
          <w:p w14:paraId="5EC585F8">
            <w:pPr>
              <w:pStyle w:val="44"/>
              <w:keepNext w:val="0"/>
              <w:keepLines w:val="0"/>
              <w:pageBreakBefore w:val="0"/>
              <w:widowControl/>
              <w:numPr>
                <w:ilvl w:val="0"/>
                <w:numId w:val="11"/>
              </w:numPr>
              <w:suppressLineNumbers w:val="0"/>
              <w:shd w:val="clear" w:fill="FFFFFF"/>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eastAsia" w:ascii="Times New Roman" w:hAnsi="Times New Roman" w:eastAsia="宋体" w:cs="var(--dsw-font-markdown-table)"/>
                <w:color w:val="auto"/>
                <w:kern w:val="0"/>
                <w:sz w:val="21"/>
                <w:szCs w:val="24"/>
                <w:lang w:val="en-US" w:eastAsia="zh-CN" w:bidi="ar"/>
              </w:rPr>
              <w:t>感光胶：</w:t>
            </w:r>
            <w:r>
              <w:rPr>
                <w:rFonts w:hint="default" w:ascii="Times New Roman" w:hAnsi="Times New Roman" w:eastAsia="宋体" w:cs="Times New Roman"/>
                <w:color w:val="auto"/>
                <w:sz w:val="21"/>
                <w:szCs w:val="21"/>
                <w:highlight w:val="none"/>
              </w:rPr>
              <w:t>感光胶是当前普遍使用的感光材料。感光胶，一般分为单液型和双液型两种，单液型感光胶在生产时已将光敏剂混入乳胶中，使用时不需配制即可使用，双液型感光胶在使用前要首先将光敏剂按配方放入水中溶解，然后混溶在乳胶中充分搅拌并</w:t>
            </w:r>
            <w:r>
              <w:rPr>
                <w:rFonts w:hint="eastAsia" w:ascii="Times New Roman" w:hAnsi="Times New Roman" w:cs="Times New Roman"/>
                <w:color w:val="auto"/>
                <w:sz w:val="21"/>
                <w:szCs w:val="21"/>
                <w:highlight w:val="none"/>
                <w:lang w:eastAsia="zh-CN"/>
              </w:rPr>
              <w:t>放置</w:t>
            </w:r>
            <w:r>
              <w:rPr>
                <w:rFonts w:hint="default" w:ascii="Times New Roman" w:hAnsi="Times New Roman" w:eastAsia="宋体" w:cs="Times New Roman"/>
                <w:color w:val="auto"/>
                <w:sz w:val="21"/>
                <w:szCs w:val="21"/>
                <w:highlight w:val="none"/>
              </w:rPr>
              <w:t>1</w:t>
            </w:r>
            <w:r>
              <w:rPr>
                <w:rFonts w:hint="eastAsia" w:ascii="Times New Roman" w:hAns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2小时后，待气泡完全消失方可使用。本项目使用的感光胶为单液型感光胶。密度约为1.05g/cm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，沸点大于100℃，易溶于水，无爆炸特性。</w:t>
            </w:r>
          </w:p>
          <w:p w14:paraId="5982B967">
            <w:pPr>
              <w:keepNext w:val="0"/>
              <w:keepLines w:val="0"/>
              <w:pageBreakBefore w:val="0"/>
              <w:widowControl/>
              <w:numPr>
                <w:ilvl w:val="0"/>
                <w:numId w:val="12"/>
              </w:numPr>
              <w:suppressLineNumbers w:val="0"/>
              <w:kinsoku/>
              <w:wordWrap/>
              <w:overflowPunct/>
              <w:topLinePunct w:val="0"/>
              <w:autoSpaceDE/>
              <w:autoSpaceDN/>
              <w:bidi w:val="0"/>
              <w:adjustRightInd/>
              <w:snapToGrid/>
              <w:spacing w:before="157" w:beforeLines="50" w:beforeAutospacing="0" w:after="0" w:afterAutospacing="0" w:line="360" w:lineRule="auto"/>
              <w:ind w:left="0" w:leftChars="0" w:right="0" w:rightChars="0" w:firstLine="422" w:firstLineChars="200"/>
              <w:jc w:val="left"/>
              <w:textAlignment w:val="auto"/>
              <w:rPr>
                <w:rFonts w:hint="default" w:ascii="Times New Roman" w:hAnsi="Times New Roman" w:eastAsia="宋体" w:cs="var(--dsw-font-markdown-table)"/>
                <w:b/>
                <w:color w:val="auto"/>
                <w:kern w:val="0"/>
                <w:sz w:val="21"/>
                <w:szCs w:val="24"/>
                <w:lang w:val="en-US" w:eastAsia="zh-CN" w:bidi="ar"/>
              </w:rPr>
            </w:pPr>
            <w:r>
              <w:rPr>
                <w:rFonts w:hint="eastAsia" w:ascii="Times New Roman" w:hAnsi="Times New Roman" w:eastAsia="宋体" w:cs="var(--dsw-font-markdown-table)"/>
                <w:b/>
                <w:color w:val="auto"/>
                <w:kern w:val="0"/>
                <w:sz w:val="21"/>
                <w:szCs w:val="24"/>
                <w:lang w:val="en-US" w:eastAsia="zh-CN" w:bidi="ar"/>
              </w:rPr>
              <w:t>胶粘剂原料用量核算：</w:t>
            </w:r>
          </w:p>
          <w:p w14:paraId="1AA7FF42">
            <w:pPr>
              <w:pStyle w:val="9"/>
              <w:numPr>
                <w:ilvl w:val="0"/>
                <w:numId w:val="8"/>
              </w:numPr>
              <w:suppressLineNumbers w:val="0"/>
              <w:spacing w:before="0" w:beforeAutospacing="0" w:after="0" w:afterAutospacing="0" w:line="240" w:lineRule="auto"/>
              <w:ind w:right="0"/>
              <w:jc w:val="center"/>
              <w:rPr>
                <w:rFonts w:hint="default" w:ascii="Times New Roman" w:hAnsi="Times New Roman" w:eastAsia="宋体"/>
                <w:b/>
                <w:color w:val="auto"/>
                <w:sz w:val="21"/>
                <w:szCs w:val="24"/>
              </w:rPr>
            </w:pPr>
            <w:r>
              <w:rPr>
                <w:rFonts w:hint="eastAsia" w:ascii="Times New Roman" w:hAnsi="Times New Roman" w:eastAsia="宋体"/>
                <w:b/>
                <w:color w:val="auto"/>
                <w:sz w:val="21"/>
                <w:szCs w:val="24"/>
              </w:rPr>
              <w:t>胶黏剂</w:t>
            </w:r>
            <w:r>
              <w:rPr>
                <w:rFonts w:hint="default" w:ascii="Times New Roman" w:hAnsi="Times New Roman" w:eastAsia="宋体"/>
                <w:b/>
                <w:color w:val="auto"/>
                <w:sz w:val="21"/>
                <w:szCs w:val="24"/>
              </w:rPr>
              <w:t>原辅材料用量情况表</w:t>
            </w:r>
          </w:p>
          <w:tbl>
            <w:tblPr>
              <w:tblStyle w:val="48"/>
              <w:tblW w:w="98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4"/>
              <w:gridCol w:w="1141"/>
              <w:gridCol w:w="1119"/>
              <w:gridCol w:w="935"/>
              <w:gridCol w:w="982"/>
              <w:gridCol w:w="1026"/>
              <w:gridCol w:w="1074"/>
              <w:gridCol w:w="656"/>
              <w:gridCol w:w="865"/>
              <w:gridCol w:w="865"/>
            </w:tblGrid>
            <w:tr w14:paraId="2D186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1194" w:type="dxa"/>
                  <w:vAlign w:val="center"/>
                </w:tcPr>
                <w:p w14:paraId="747D58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b/>
                      <w:bCs/>
                      <w:color w:val="auto"/>
                      <w:sz w:val="21"/>
                      <w:szCs w:val="21"/>
                      <w:lang w:val="en-US" w:eastAsia="zh-CN"/>
                    </w:rPr>
                  </w:pPr>
                  <w:r>
                    <w:rPr>
                      <w:rFonts w:hint="default" w:ascii="Times New Roman" w:hAnsi="Times New Roman" w:eastAsia="宋体" w:cs="var(--dsw-font-markdown-table-h"/>
                      <w:b/>
                      <w:bCs/>
                      <w:color w:val="auto"/>
                      <w:kern w:val="0"/>
                      <w:sz w:val="21"/>
                      <w:szCs w:val="24"/>
                      <w:lang w:val="en-US" w:eastAsia="zh-CN" w:bidi="ar"/>
                    </w:rPr>
                    <w:t>涂胶环节</w:t>
                  </w:r>
                </w:p>
              </w:tc>
              <w:tc>
                <w:tcPr>
                  <w:tcW w:w="1141" w:type="dxa"/>
                  <w:vAlign w:val="center"/>
                </w:tcPr>
                <w:p w14:paraId="75FCB4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b/>
                      <w:bCs/>
                      <w:color w:val="auto"/>
                      <w:sz w:val="21"/>
                      <w:szCs w:val="21"/>
                      <w:lang w:val="en-US" w:eastAsia="zh-CN"/>
                    </w:rPr>
                  </w:pPr>
                  <w:r>
                    <w:rPr>
                      <w:rFonts w:hint="default" w:ascii="Times New Roman" w:hAnsi="Times New Roman" w:eastAsia="宋体" w:cs="var(--dsw-font-markdown-table-h"/>
                      <w:b/>
                      <w:bCs/>
                      <w:color w:val="auto"/>
                      <w:kern w:val="0"/>
                      <w:sz w:val="21"/>
                      <w:szCs w:val="24"/>
                      <w:lang w:val="en-US" w:eastAsia="zh-CN" w:bidi="ar"/>
                    </w:rPr>
                    <w:t>涂胶方式</w:t>
                  </w:r>
                </w:p>
              </w:tc>
              <w:tc>
                <w:tcPr>
                  <w:tcW w:w="1119" w:type="dxa"/>
                  <w:vAlign w:val="center"/>
                </w:tcPr>
                <w:p w14:paraId="6531C5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b/>
                      <w:bCs/>
                      <w:color w:val="auto"/>
                      <w:sz w:val="21"/>
                      <w:szCs w:val="21"/>
                      <w:lang w:val="en-US" w:eastAsia="zh-CN"/>
                    </w:rPr>
                  </w:pPr>
                  <w:r>
                    <w:rPr>
                      <w:rFonts w:hint="default" w:ascii="Times New Roman" w:hAnsi="Times New Roman" w:eastAsia="宋体" w:cs="var(--dsw-font-markdown-table-h"/>
                      <w:b/>
                      <w:bCs/>
                      <w:color w:val="auto"/>
                      <w:kern w:val="0"/>
                      <w:sz w:val="21"/>
                      <w:szCs w:val="24"/>
                      <w:lang w:val="en-US" w:eastAsia="zh-CN" w:bidi="ar"/>
                    </w:rPr>
                    <w:t>涂胶面积（m²/双）</w:t>
                  </w:r>
                </w:p>
              </w:tc>
              <w:tc>
                <w:tcPr>
                  <w:tcW w:w="935" w:type="dxa"/>
                  <w:vAlign w:val="center"/>
                </w:tcPr>
                <w:p w14:paraId="46CA76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b/>
                      <w:bCs/>
                      <w:color w:val="auto"/>
                      <w:sz w:val="21"/>
                      <w:szCs w:val="21"/>
                    </w:rPr>
                  </w:pPr>
                  <w:r>
                    <w:rPr>
                      <w:rFonts w:hint="default" w:ascii="Times New Roman" w:hAnsi="Times New Roman" w:eastAsia="宋体" w:cs="var(--dsw-font-markdown-table-h"/>
                      <w:b/>
                      <w:bCs/>
                      <w:color w:val="auto"/>
                      <w:kern w:val="0"/>
                      <w:sz w:val="21"/>
                      <w:szCs w:val="24"/>
                      <w:lang w:val="en-US" w:eastAsia="zh-CN" w:bidi="ar"/>
                    </w:rPr>
                    <w:t>产能（万双）</w:t>
                  </w:r>
                </w:p>
              </w:tc>
              <w:tc>
                <w:tcPr>
                  <w:tcW w:w="982" w:type="dxa"/>
                  <w:vAlign w:val="center"/>
                </w:tcPr>
                <w:p w14:paraId="47DE87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b/>
                      <w:bCs/>
                      <w:color w:val="auto"/>
                      <w:sz w:val="21"/>
                      <w:szCs w:val="21"/>
                    </w:rPr>
                  </w:pPr>
                  <w:r>
                    <w:rPr>
                      <w:rFonts w:hint="default" w:ascii="Times New Roman" w:hAnsi="Times New Roman" w:eastAsia="宋体" w:cs="var(--dsw-font-markdown-table-h"/>
                      <w:b/>
                      <w:bCs/>
                      <w:color w:val="auto"/>
                      <w:kern w:val="0"/>
                      <w:sz w:val="21"/>
                      <w:szCs w:val="24"/>
                      <w:lang w:val="en-US" w:eastAsia="zh-CN" w:bidi="ar"/>
                    </w:rPr>
                    <w:t>涂胶厚度（μm）</w:t>
                  </w:r>
                </w:p>
              </w:tc>
              <w:tc>
                <w:tcPr>
                  <w:tcW w:w="1026" w:type="dxa"/>
                  <w:vAlign w:val="center"/>
                </w:tcPr>
                <w:p w14:paraId="148046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b/>
                      <w:bCs/>
                      <w:color w:val="auto"/>
                      <w:sz w:val="21"/>
                      <w:szCs w:val="21"/>
                      <w:lang w:val="en-US" w:eastAsia="zh-CN"/>
                    </w:rPr>
                  </w:pPr>
                  <w:r>
                    <w:rPr>
                      <w:rFonts w:hint="default" w:ascii="Times New Roman" w:hAnsi="Times New Roman" w:eastAsia="宋体" w:cs="var(--dsw-font-markdown-table-h"/>
                      <w:b/>
                      <w:bCs/>
                      <w:color w:val="auto"/>
                      <w:kern w:val="0"/>
                      <w:sz w:val="21"/>
                      <w:szCs w:val="24"/>
                      <w:lang w:val="en-US" w:eastAsia="zh-CN" w:bidi="ar"/>
                    </w:rPr>
                    <w:t>涂胶次数（次）</w:t>
                  </w:r>
                </w:p>
              </w:tc>
              <w:tc>
                <w:tcPr>
                  <w:tcW w:w="1074" w:type="dxa"/>
                  <w:vAlign w:val="center"/>
                </w:tcPr>
                <w:p w14:paraId="0E4DE7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b/>
                      <w:bCs/>
                      <w:color w:val="auto"/>
                      <w:sz w:val="21"/>
                      <w:szCs w:val="21"/>
                    </w:rPr>
                  </w:pPr>
                  <w:r>
                    <w:rPr>
                      <w:rFonts w:hint="default" w:ascii="Times New Roman" w:hAnsi="Times New Roman" w:eastAsia="宋体" w:cs="var(--dsw-font-markdown-table-h"/>
                      <w:b/>
                      <w:bCs/>
                      <w:color w:val="auto"/>
                      <w:kern w:val="0"/>
                      <w:sz w:val="21"/>
                      <w:szCs w:val="24"/>
                      <w:lang w:val="en-US" w:eastAsia="zh-CN" w:bidi="ar"/>
                    </w:rPr>
                    <w:t>密度（g/cm³）</w:t>
                  </w:r>
                </w:p>
              </w:tc>
              <w:tc>
                <w:tcPr>
                  <w:tcW w:w="656" w:type="dxa"/>
                  <w:vAlign w:val="center"/>
                </w:tcPr>
                <w:p w14:paraId="448456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b/>
                      <w:bCs/>
                      <w:color w:val="auto"/>
                      <w:sz w:val="21"/>
                      <w:szCs w:val="21"/>
                    </w:rPr>
                  </w:pPr>
                  <w:r>
                    <w:rPr>
                      <w:rFonts w:hint="default" w:ascii="Times New Roman" w:hAnsi="Times New Roman" w:eastAsia="宋体" w:cs="var(--dsw-font-markdown-table-h"/>
                      <w:b/>
                      <w:bCs/>
                      <w:color w:val="auto"/>
                      <w:kern w:val="0"/>
                      <w:sz w:val="21"/>
                      <w:szCs w:val="24"/>
                      <w:lang w:val="en-US" w:eastAsia="zh-CN" w:bidi="ar"/>
                    </w:rPr>
                    <w:t>附着率</w:t>
                  </w:r>
                </w:p>
              </w:tc>
              <w:tc>
                <w:tcPr>
                  <w:tcW w:w="865" w:type="dxa"/>
                  <w:vAlign w:val="center"/>
                </w:tcPr>
                <w:p w14:paraId="0B2276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b/>
                      <w:bCs/>
                      <w:color w:val="auto"/>
                      <w:sz w:val="21"/>
                      <w:szCs w:val="21"/>
                    </w:rPr>
                  </w:pPr>
                  <w:r>
                    <w:rPr>
                      <w:rFonts w:hint="eastAsia" w:cs="var(--dsw-font-markdown-table-h"/>
                      <w:b/>
                      <w:bCs/>
                      <w:color w:val="auto"/>
                      <w:kern w:val="0"/>
                      <w:sz w:val="21"/>
                      <w:szCs w:val="24"/>
                      <w:lang w:val="en-US" w:eastAsia="zh-CN" w:bidi="ar"/>
                    </w:rPr>
                    <w:t>理论</w:t>
                  </w:r>
                  <w:r>
                    <w:rPr>
                      <w:rFonts w:hint="default" w:ascii="Times New Roman" w:hAnsi="Times New Roman" w:eastAsia="宋体" w:cs="var(--dsw-font-markdown-table-h"/>
                      <w:b/>
                      <w:bCs/>
                      <w:color w:val="auto"/>
                      <w:kern w:val="0"/>
                      <w:sz w:val="21"/>
                      <w:szCs w:val="24"/>
                      <w:lang w:val="en-US" w:eastAsia="zh-CN" w:bidi="ar"/>
                    </w:rPr>
                    <w:t>年用量（t/a）</w:t>
                  </w:r>
                </w:p>
              </w:tc>
              <w:tc>
                <w:tcPr>
                  <w:tcW w:w="865" w:type="dxa"/>
                  <w:vAlign w:val="center"/>
                </w:tcPr>
                <w:p w14:paraId="1E0755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h"/>
                      <w:b/>
                      <w:bCs/>
                      <w:color w:val="auto"/>
                      <w:kern w:val="0"/>
                      <w:sz w:val="21"/>
                      <w:szCs w:val="24"/>
                      <w:lang w:val="en-US" w:eastAsia="zh-CN" w:bidi="ar"/>
                    </w:rPr>
                  </w:pPr>
                  <w:r>
                    <w:rPr>
                      <w:rFonts w:hint="eastAsia" w:cs="var(--dsw-font-markdown-table-h"/>
                      <w:b/>
                      <w:bCs/>
                      <w:color w:val="auto"/>
                      <w:kern w:val="0"/>
                      <w:sz w:val="21"/>
                      <w:szCs w:val="24"/>
                      <w:lang w:val="en-US" w:eastAsia="zh-CN" w:bidi="ar"/>
                    </w:rPr>
                    <w:t>申报</w:t>
                  </w:r>
                  <w:r>
                    <w:rPr>
                      <w:rFonts w:hint="default" w:ascii="Times New Roman" w:hAnsi="Times New Roman" w:eastAsia="宋体" w:cs="var(--dsw-font-markdown-table-h"/>
                      <w:b/>
                      <w:bCs/>
                      <w:color w:val="auto"/>
                      <w:kern w:val="0"/>
                      <w:sz w:val="21"/>
                      <w:szCs w:val="24"/>
                      <w:lang w:val="en-US" w:eastAsia="zh-CN" w:bidi="ar"/>
                    </w:rPr>
                    <w:t>年用量（t/a）</w:t>
                  </w:r>
                </w:p>
              </w:tc>
            </w:tr>
            <w:tr w14:paraId="6B698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194" w:type="dxa"/>
                  <w:vAlign w:val="center"/>
                </w:tcPr>
                <w:p w14:paraId="6288D68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olor w:val="auto"/>
                      <w:sz w:val="21"/>
                      <w:szCs w:val="21"/>
                      <w:lang w:val="en-US"/>
                    </w:rPr>
                  </w:pPr>
                  <w:r>
                    <w:rPr>
                      <w:rFonts w:hint="eastAsia" w:ascii="宋体" w:hAnsi="宋体" w:eastAsia="宋体" w:cs="宋体"/>
                      <w:i w:val="0"/>
                      <w:iCs w:val="0"/>
                      <w:color w:val="auto"/>
                      <w:kern w:val="0"/>
                      <w:sz w:val="21"/>
                      <w:szCs w:val="21"/>
                      <w:u w:val="none"/>
                      <w:lang w:val="en-US" w:eastAsia="zh-CN" w:bidi="ar"/>
                    </w:rPr>
                    <w:t>鞋底刷胶</w:t>
                  </w:r>
                </w:p>
              </w:tc>
              <w:tc>
                <w:tcPr>
                  <w:tcW w:w="1141" w:type="dxa"/>
                  <w:vAlign w:val="center"/>
                </w:tcPr>
                <w:p w14:paraId="52B10E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olor w:val="auto"/>
                      <w:sz w:val="21"/>
                      <w:szCs w:val="21"/>
                    </w:rPr>
                  </w:pPr>
                  <w:r>
                    <w:rPr>
                      <w:rFonts w:hint="eastAsia" w:ascii="宋体" w:hAnsi="宋体" w:eastAsia="宋体" w:cs="宋体"/>
                      <w:i w:val="0"/>
                      <w:iCs w:val="0"/>
                      <w:color w:val="auto"/>
                      <w:kern w:val="0"/>
                      <w:sz w:val="21"/>
                      <w:szCs w:val="21"/>
                      <w:u w:val="none"/>
                      <w:lang w:val="en-US" w:eastAsia="zh-CN" w:bidi="ar"/>
                    </w:rPr>
                    <w:t>全面涂胶</w:t>
                  </w:r>
                </w:p>
              </w:tc>
              <w:tc>
                <w:tcPr>
                  <w:tcW w:w="1119" w:type="dxa"/>
                  <w:vAlign w:val="center"/>
                </w:tcPr>
                <w:p w14:paraId="7829A40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0.025</w:t>
                  </w:r>
                </w:p>
              </w:tc>
              <w:tc>
                <w:tcPr>
                  <w:tcW w:w="935" w:type="dxa"/>
                  <w:vAlign w:val="center"/>
                </w:tcPr>
                <w:p w14:paraId="714477B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b w:val="0"/>
                      <w:bCs w:val="0"/>
                      <w:color w:val="auto"/>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500</w:t>
                  </w:r>
                </w:p>
              </w:tc>
              <w:tc>
                <w:tcPr>
                  <w:tcW w:w="982" w:type="dxa"/>
                  <w:vAlign w:val="center"/>
                </w:tcPr>
                <w:p w14:paraId="088E0D3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b w:val="0"/>
                      <w:bCs w:val="0"/>
                      <w:color w:val="auto"/>
                      <w:sz w:val="21"/>
                      <w:szCs w:val="21"/>
                      <w:lang w:val="en-US"/>
                    </w:rPr>
                  </w:pPr>
                  <w:r>
                    <w:rPr>
                      <w:rFonts w:hint="default" w:ascii="Times New Roman" w:hAnsi="Times New Roman" w:eastAsia="宋体" w:cs="Times New Roman"/>
                      <w:b w:val="0"/>
                      <w:bCs w:val="0"/>
                      <w:i w:val="0"/>
                      <w:iCs w:val="0"/>
                      <w:color w:val="000000"/>
                      <w:kern w:val="0"/>
                      <w:sz w:val="21"/>
                      <w:szCs w:val="21"/>
                      <w:u w:val="none"/>
                      <w:lang w:val="en-US" w:eastAsia="zh-CN" w:bidi="ar"/>
                    </w:rPr>
                    <w:t>100</w:t>
                  </w:r>
                </w:p>
              </w:tc>
              <w:tc>
                <w:tcPr>
                  <w:tcW w:w="1026" w:type="dxa"/>
                  <w:vAlign w:val="center"/>
                </w:tcPr>
                <w:p w14:paraId="4684BB88">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b w:val="0"/>
                      <w:bCs w:val="0"/>
                      <w:color w:val="auto"/>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w:t>
                  </w:r>
                </w:p>
              </w:tc>
              <w:tc>
                <w:tcPr>
                  <w:tcW w:w="1074" w:type="dxa"/>
                  <w:vAlign w:val="center"/>
                </w:tcPr>
                <w:p w14:paraId="7400C7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b w:val="0"/>
                      <w:bCs w:val="0"/>
                      <w:color w:val="auto"/>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1.05</w:t>
                  </w:r>
                </w:p>
              </w:tc>
              <w:tc>
                <w:tcPr>
                  <w:tcW w:w="656" w:type="dxa"/>
                  <w:vAlign w:val="center"/>
                </w:tcPr>
                <w:p w14:paraId="5659EB0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b w:val="0"/>
                      <w:bCs w:val="0"/>
                      <w:color w:val="auto"/>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95%</w:t>
                  </w:r>
                </w:p>
              </w:tc>
              <w:tc>
                <w:tcPr>
                  <w:tcW w:w="865" w:type="dxa"/>
                  <w:vAlign w:val="center"/>
                </w:tcPr>
                <w:p w14:paraId="5BD3B8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b w:val="0"/>
                      <w:bCs w:val="0"/>
                      <w:color w:val="auto"/>
                      <w:sz w:val="21"/>
                      <w:szCs w:val="21"/>
                      <w:lang w:val="en-US"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27.63</w:t>
                  </w:r>
                </w:p>
              </w:tc>
              <w:tc>
                <w:tcPr>
                  <w:tcW w:w="865" w:type="dxa"/>
                  <w:vAlign w:val="center"/>
                </w:tcPr>
                <w:p w14:paraId="129AF2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28</w:t>
                  </w:r>
                </w:p>
              </w:tc>
            </w:tr>
            <w:tr w14:paraId="335D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194" w:type="dxa"/>
                  <w:vAlign w:val="center"/>
                </w:tcPr>
                <w:p w14:paraId="395AA9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eastAsia" w:ascii="宋体" w:hAnsi="宋体" w:eastAsia="宋体" w:cs="宋体"/>
                      <w:i w:val="0"/>
                      <w:iCs w:val="0"/>
                      <w:color w:val="auto"/>
                      <w:kern w:val="0"/>
                      <w:sz w:val="21"/>
                      <w:szCs w:val="21"/>
                      <w:u w:val="none"/>
                      <w:lang w:val="en-US" w:eastAsia="zh-CN" w:bidi="ar"/>
                    </w:rPr>
                    <w:t>成品组装刷胶</w:t>
                  </w:r>
                </w:p>
              </w:tc>
              <w:tc>
                <w:tcPr>
                  <w:tcW w:w="1141" w:type="dxa"/>
                  <w:vAlign w:val="center"/>
                </w:tcPr>
                <w:p w14:paraId="38E34C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eastAsia" w:ascii="宋体" w:hAnsi="宋体" w:eastAsia="宋体" w:cs="宋体"/>
                      <w:i w:val="0"/>
                      <w:iCs w:val="0"/>
                      <w:color w:val="auto"/>
                      <w:kern w:val="0"/>
                      <w:sz w:val="21"/>
                      <w:szCs w:val="21"/>
                      <w:u w:val="none"/>
                      <w:lang w:val="en-US" w:eastAsia="zh-CN" w:bidi="ar"/>
                    </w:rPr>
                    <w:t>边缘涂胶</w:t>
                  </w:r>
                </w:p>
              </w:tc>
              <w:tc>
                <w:tcPr>
                  <w:tcW w:w="1119" w:type="dxa"/>
                  <w:vAlign w:val="center"/>
                </w:tcPr>
                <w:p w14:paraId="786B41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var(--dsw-font-markdown-table)"/>
                      <w:b/>
                      <w:bCs/>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0.014</w:t>
                  </w:r>
                </w:p>
              </w:tc>
              <w:tc>
                <w:tcPr>
                  <w:tcW w:w="935" w:type="dxa"/>
                  <w:vAlign w:val="center"/>
                </w:tcPr>
                <w:p w14:paraId="00CF3F8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500</w:t>
                  </w:r>
                </w:p>
              </w:tc>
              <w:tc>
                <w:tcPr>
                  <w:tcW w:w="982" w:type="dxa"/>
                  <w:vAlign w:val="center"/>
                </w:tcPr>
                <w:p w14:paraId="5691456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1026" w:type="dxa"/>
                  <w:vAlign w:val="center"/>
                </w:tcPr>
                <w:p w14:paraId="32615E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p>
              </w:tc>
              <w:tc>
                <w:tcPr>
                  <w:tcW w:w="1074" w:type="dxa"/>
                  <w:vAlign w:val="center"/>
                </w:tcPr>
                <w:p w14:paraId="3ABC56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1.05</w:t>
                  </w:r>
                </w:p>
              </w:tc>
              <w:tc>
                <w:tcPr>
                  <w:tcW w:w="656" w:type="dxa"/>
                  <w:vAlign w:val="center"/>
                </w:tcPr>
                <w:p w14:paraId="61A8018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95%</w:t>
                  </w:r>
                </w:p>
              </w:tc>
              <w:tc>
                <w:tcPr>
                  <w:tcW w:w="865" w:type="dxa"/>
                  <w:vAlign w:val="center"/>
                </w:tcPr>
                <w:p w14:paraId="64B076D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30.95</w:t>
                  </w:r>
                </w:p>
              </w:tc>
              <w:tc>
                <w:tcPr>
                  <w:tcW w:w="865" w:type="dxa"/>
                  <w:vAlign w:val="center"/>
                </w:tcPr>
                <w:p w14:paraId="2C067A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32</w:t>
                  </w:r>
                </w:p>
              </w:tc>
            </w:tr>
            <w:tr w14:paraId="1CCC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194" w:type="dxa"/>
                  <w:vAlign w:val="center"/>
                </w:tcPr>
                <w:p w14:paraId="2BB5C39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eastAsia" w:ascii="宋体" w:hAnsi="宋体" w:eastAsia="宋体" w:cs="宋体"/>
                      <w:i w:val="0"/>
                      <w:iCs w:val="0"/>
                      <w:color w:val="auto"/>
                      <w:kern w:val="0"/>
                      <w:sz w:val="21"/>
                      <w:szCs w:val="21"/>
                      <w:u w:val="none"/>
                      <w:lang w:val="en-US" w:eastAsia="zh-CN" w:bidi="ar"/>
                    </w:rPr>
                    <w:t>补胶</w:t>
                  </w:r>
                </w:p>
              </w:tc>
              <w:tc>
                <w:tcPr>
                  <w:tcW w:w="1141" w:type="dxa"/>
                  <w:vAlign w:val="center"/>
                </w:tcPr>
                <w:p w14:paraId="61D1F7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eastAsia" w:ascii="宋体" w:hAnsi="宋体" w:eastAsia="宋体" w:cs="宋体"/>
                      <w:i w:val="0"/>
                      <w:iCs w:val="0"/>
                      <w:color w:val="auto"/>
                      <w:kern w:val="0"/>
                      <w:sz w:val="21"/>
                      <w:szCs w:val="21"/>
                      <w:u w:val="none"/>
                      <w:lang w:val="en-US" w:eastAsia="zh-CN" w:bidi="ar"/>
                    </w:rPr>
                    <w:t>局部点涂</w:t>
                  </w:r>
                </w:p>
              </w:tc>
              <w:tc>
                <w:tcPr>
                  <w:tcW w:w="1119" w:type="dxa"/>
                  <w:vAlign w:val="center"/>
                </w:tcPr>
                <w:p w14:paraId="26420A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var(--dsw-font-markdown-table)"/>
                      <w:b/>
                      <w:bCs/>
                      <w:color w:val="auto"/>
                      <w:kern w:val="0"/>
                      <w:sz w:val="21"/>
                      <w:szCs w:val="24"/>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w:t>
                  </w:r>
                </w:p>
              </w:tc>
              <w:tc>
                <w:tcPr>
                  <w:tcW w:w="935" w:type="dxa"/>
                  <w:vAlign w:val="center"/>
                </w:tcPr>
                <w:p w14:paraId="70CB9A8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982" w:type="dxa"/>
                  <w:vAlign w:val="center"/>
                </w:tcPr>
                <w:p w14:paraId="74F238A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026" w:type="dxa"/>
                  <w:vAlign w:val="center"/>
                </w:tcPr>
                <w:p w14:paraId="1267EA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074" w:type="dxa"/>
                  <w:vAlign w:val="center"/>
                </w:tcPr>
                <w:p w14:paraId="788DE4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w:t>
                  </w:r>
                </w:p>
              </w:tc>
              <w:tc>
                <w:tcPr>
                  <w:tcW w:w="656" w:type="dxa"/>
                  <w:vAlign w:val="center"/>
                </w:tcPr>
                <w:p w14:paraId="286D89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w:t>
                  </w:r>
                </w:p>
              </w:tc>
              <w:tc>
                <w:tcPr>
                  <w:tcW w:w="865" w:type="dxa"/>
                  <w:vAlign w:val="center"/>
                </w:tcPr>
                <w:p w14:paraId="514843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4.64</w:t>
                  </w:r>
                </w:p>
              </w:tc>
              <w:tc>
                <w:tcPr>
                  <w:tcW w:w="865" w:type="dxa"/>
                  <w:vAlign w:val="center"/>
                </w:tcPr>
                <w:p w14:paraId="33A834AD">
                  <w:pPr>
                    <w:keepNext w:val="0"/>
                    <w:keepLines w:val="0"/>
                    <w:widowControl/>
                    <w:suppressLineNumbers w:val="0"/>
                    <w:spacing w:before="0" w:beforeAutospacing="0" w:after="0" w:afterAutospacing="0" w:line="240" w:lineRule="auto"/>
                    <w:ind w:left="0" w:right="0"/>
                    <w:jc w:val="center"/>
                    <w:textAlignment w:val="center"/>
                    <w:rPr>
                      <w:rFonts w:hint="default" w:cs="var(--dsw-font-markdown-table)"/>
                      <w:b w:val="0"/>
                      <w:bCs w:val="0"/>
                      <w:color w:val="auto"/>
                      <w:kern w:val="0"/>
                      <w:sz w:val="21"/>
                      <w:szCs w:val="24"/>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5</w:t>
                  </w:r>
                </w:p>
              </w:tc>
            </w:tr>
            <w:tr w14:paraId="75B4C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8992" w:type="dxa"/>
                  <w:gridSpan w:val="9"/>
                  <w:vAlign w:val="center"/>
                </w:tcPr>
                <w:p w14:paraId="7A0851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var(--dsw-font-markdown-table)"/>
                      <w:b w:val="0"/>
                      <w:bCs w:val="0"/>
                      <w:color w:val="auto"/>
                      <w:kern w:val="0"/>
                      <w:sz w:val="21"/>
                      <w:szCs w:val="24"/>
                      <w:lang w:val="en-US" w:eastAsia="zh-CN" w:bidi="ar"/>
                    </w:rPr>
                  </w:pPr>
                  <w:r>
                    <w:rPr>
                      <w:rFonts w:hint="eastAsia" w:ascii="宋体" w:hAnsi="宋体" w:eastAsia="宋体" w:cs="宋体"/>
                      <w:b/>
                      <w:bCs/>
                      <w:i w:val="0"/>
                      <w:iCs w:val="0"/>
                      <w:color w:val="auto"/>
                      <w:kern w:val="0"/>
                      <w:sz w:val="21"/>
                      <w:szCs w:val="21"/>
                      <w:u w:val="none"/>
                      <w:lang w:val="en-US" w:eastAsia="zh-CN" w:bidi="ar"/>
                    </w:rPr>
                    <w:t>合计</w:t>
                  </w:r>
                </w:p>
              </w:tc>
              <w:tc>
                <w:tcPr>
                  <w:tcW w:w="865" w:type="dxa"/>
                  <w:shd w:val="clear" w:color="auto" w:fill="auto"/>
                  <w:vAlign w:val="center"/>
                </w:tcPr>
                <w:p w14:paraId="0422A0E2">
                  <w:pPr>
                    <w:keepNext w:val="0"/>
                    <w:keepLines w:val="0"/>
                    <w:widowControl/>
                    <w:suppressLineNumbers w:val="0"/>
                    <w:spacing w:before="0" w:beforeAutospacing="0" w:after="0" w:afterAutospacing="0" w:line="240" w:lineRule="auto"/>
                    <w:ind w:left="0" w:right="0"/>
                    <w:jc w:val="center"/>
                    <w:textAlignment w:val="center"/>
                    <w:rPr>
                      <w:rFonts w:hint="default"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65</w:t>
                  </w:r>
                </w:p>
              </w:tc>
            </w:tr>
            <w:tr w14:paraId="4EA7A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9857" w:type="dxa"/>
                  <w:gridSpan w:val="10"/>
                  <w:vAlign w:val="center"/>
                </w:tcPr>
                <w:p w14:paraId="2FAF4A79">
                  <w:pPr>
                    <w:pStyle w:val="44"/>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240" w:lineRule="auto"/>
                    <w:ind w:left="420" w:leftChars="200" w:right="0" w:rightChars="0"/>
                    <w:textAlignment w:val="auto"/>
                    <w:rPr>
                      <w:rFonts w:hint="default" w:ascii="Times New Roman" w:hAnsi="Times New Roman" w:eastAsia="宋体" w:cs="Segoe UI"/>
                      <w:i w:val="0"/>
                      <w:iCs w:val="0"/>
                      <w:caps w:val="0"/>
                      <w:color w:val="auto"/>
                      <w:spacing w:val="0"/>
                      <w:sz w:val="21"/>
                      <w:szCs w:val="24"/>
                      <w:shd w:val="clear" w:fill="FFFFFF"/>
                      <w:lang w:val="en-US" w:eastAsia="zh-CN"/>
                    </w:rPr>
                  </w:pPr>
                  <w:r>
                    <w:rPr>
                      <w:rFonts w:hint="eastAsia" w:ascii="Times New Roman" w:hAnsi="Times New Roman" w:cs="Segoe UI"/>
                      <w:i w:val="0"/>
                      <w:iCs w:val="0"/>
                      <w:caps w:val="0"/>
                      <w:color w:val="auto"/>
                      <w:spacing w:val="0"/>
                      <w:sz w:val="21"/>
                      <w:szCs w:val="24"/>
                      <w:shd w:val="clear" w:fill="FFFFFF"/>
                      <w:lang w:val="en-US" w:eastAsia="zh-CN"/>
                    </w:rPr>
                    <w:t>注：</w:t>
                  </w:r>
                </w:p>
                <w:p w14:paraId="34D375B6">
                  <w:pPr>
                    <w:pStyle w:val="44"/>
                    <w:keepNext w:val="0"/>
                    <w:keepLines w:val="0"/>
                    <w:pageBreakBefore w:val="0"/>
                    <w:widowControl/>
                    <w:numPr>
                      <w:ilvl w:val="0"/>
                      <w:numId w:val="13"/>
                    </w:numPr>
                    <w:suppressLineNumbers w:val="0"/>
                    <w:shd w:val="clear" w:fill="FFFFFF"/>
                    <w:kinsoku/>
                    <w:wordWrap/>
                    <w:overflowPunct/>
                    <w:topLinePunct w:val="0"/>
                    <w:autoSpaceDE/>
                    <w:autoSpaceDN/>
                    <w:bidi w:val="0"/>
                    <w:adjustRightInd/>
                    <w:snapToGrid/>
                    <w:spacing w:before="0" w:beforeAutospacing="0" w:after="0" w:afterAutospacing="0" w:line="240" w:lineRule="auto"/>
                    <w:ind w:left="0" w:leftChars="0" w:right="0" w:firstLine="420" w:firstLineChars="200"/>
                    <w:textAlignment w:val="auto"/>
                    <w:rPr>
                      <w:rFonts w:hint="default" w:ascii="Times New Roman" w:hAnsi="Times New Roman" w:eastAsia="宋体" w:cs="Segoe UI"/>
                      <w:b w:val="0"/>
                      <w:bCs w:val="0"/>
                      <w:i w:val="0"/>
                      <w:iCs w:val="0"/>
                      <w:caps w:val="0"/>
                      <w:color w:val="auto"/>
                      <w:spacing w:val="0"/>
                      <w:sz w:val="21"/>
                      <w:szCs w:val="24"/>
                    </w:rPr>
                  </w:pPr>
                  <w:r>
                    <w:rPr>
                      <w:rFonts w:hint="default" w:ascii="Times New Roman" w:hAnsi="Times New Roman" w:eastAsia="宋体" w:cs="Segoe UI"/>
                      <w:b w:val="0"/>
                      <w:bCs w:val="0"/>
                      <w:i w:val="0"/>
                      <w:iCs w:val="0"/>
                      <w:caps w:val="0"/>
                      <w:color w:val="auto"/>
                      <w:spacing w:val="0"/>
                      <w:sz w:val="21"/>
                      <w:szCs w:val="24"/>
                      <w:shd w:val="clear" w:fill="FFFFFF"/>
                    </w:rPr>
                    <w:t>本项目使用的水性PU胶</w:t>
                  </w:r>
                  <w:r>
                    <w:rPr>
                      <w:rFonts w:hint="eastAsia" w:ascii="Times New Roman" w:hAnsi="Times New Roman" w:eastAsia="宋体" w:cs="Segoe UI"/>
                      <w:b w:val="0"/>
                      <w:bCs w:val="0"/>
                      <w:i w:val="0"/>
                      <w:iCs w:val="0"/>
                      <w:caps w:val="0"/>
                      <w:color w:val="auto"/>
                      <w:spacing w:val="0"/>
                      <w:sz w:val="21"/>
                      <w:szCs w:val="24"/>
                      <w:shd w:val="clear" w:fill="FFFFFF"/>
                      <w:lang w:eastAsia="zh-CN"/>
                    </w:rPr>
                    <w:t>，</w:t>
                  </w:r>
                  <w:r>
                    <w:rPr>
                      <w:rFonts w:hint="default" w:ascii="Times New Roman" w:hAnsi="Times New Roman" w:eastAsia="宋体" w:cs="Segoe UI"/>
                      <w:b w:val="0"/>
                      <w:bCs w:val="0"/>
                      <w:i w:val="0"/>
                      <w:iCs w:val="0"/>
                      <w:caps w:val="0"/>
                      <w:color w:val="auto"/>
                      <w:spacing w:val="0"/>
                      <w:sz w:val="21"/>
                      <w:szCs w:val="24"/>
                      <w:shd w:val="clear" w:fill="FFFFFF"/>
                    </w:rPr>
                    <w:t>根据MSDS成分信息，水性PU胶主要成分为聚氨酯树脂</w:t>
                  </w:r>
                  <w:r>
                    <w:rPr>
                      <w:rFonts w:hint="eastAsia" w:ascii="Times New Roman" w:hAnsi="Times New Roman" w:cs="Segoe UI"/>
                      <w:b w:val="0"/>
                      <w:bCs w:val="0"/>
                      <w:i w:val="0"/>
                      <w:iCs w:val="0"/>
                      <w:caps w:val="0"/>
                      <w:color w:val="auto"/>
                      <w:spacing w:val="0"/>
                      <w:sz w:val="21"/>
                      <w:szCs w:val="24"/>
                      <w:shd w:val="clear" w:fill="FFFFFF"/>
                      <w:lang w:eastAsia="zh-CN"/>
                    </w:rPr>
                    <w:t>49%—51%</w:t>
                  </w:r>
                  <w:r>
                    <w:rPr>
                      <w:rFonts w:hint="default" w:ascii="Times New Roman" w:hAnsi="Times New Roman" w:eastAsia="宋体" w:cs="Segoe UI"/>
                      <w:b w:val="0"/>
                      <w:bCs w:val="0"/>
                      <w:i w:val="0"/>
                      <w:iCs w:val="0"/>
                      <w:caps w:val="0"/>
                      <w:color w:val="auto"/>
                      <w:spacing w:val="0"/>
                      <w:sz w:val="21"/>
                      <w:szCs w:val="24"/>
                      <w:shd w:val="clear" w:fill="FFFFFF"/>
                    </w:rPr>
                    <w:t>、水</w:t>
                  </w:r>
                  <w:r>
                    <w:rPr>
                      <w:rFonts w:hint="eastAsia" w:ascii="Times New Roman" w:hAnsi="Times New Roman" w:cs="Segoe UI"/>
                      <w:b w:val="0"/>
                      <w:bCs w:val="0"/>
                      <w:i w:val="0"/>
                      <w:iCs w:val="0"/>
                      <w:caps w:val="0"/>
                      <w:color w:val="auto"/>
                      <w:spacing w:val="0"/>
                      <w:sz w:val="21"/>
                      <w:szCs w:val="24"/>
                      <w:shd w:val="clear" w:fill="FFFFFF"/>
                      <w:lang w:eastAsia="zh-CN"/>
                    </w:rPr>
                    <w:t>49%—51%</w:t>
                  </w:r>
                  <w:r>
                    <w:rPr>
                      <w:rFonts w:hint="default" w:ascii="Times New Roman" w:hAnsi="Times New Roman" w:eastAsia="宋体" w:cs="Segoe UI"/>
                      <w:b w:val="0"/>
                      <w:bCs w:val="0"/>
                      <w:i w:val="0"/>
                      <w:iCs w:val="0"/>
                      <w:caps w:val="0"/>
                      <w:color w:val="auto"/>
                      <w:spacing w:val="0"/>
                      <w:sz w:val="21"/>
                      <w:szCs w:val="24"/>
                      <w:shd w:val="clear" w:fill="FFFFFF"/>
                    </w:rPr>
                    <w:t>、丙酮&lt;1%。检测报告显示总挥发性有机物（VOC）未检出（检出限100g/L），参照同类水性PU胶产品VOCs含量约3g/L，即3÷1050≈0.3%，固含量=1</w:t>
                  </w:r>
                  <w:r>
                    <w:rPr>
                      <w:rFonts w:hint="eastAsia" w:ascii="Times New Roman" w:hAnsi="Times New Roman" w:cs="Segoe UI"/>
                      <w:b w:val="0"/>
                      <w:bCs w:val="0"/>
                      <w:i w:val="0"/>
                      <w:iCs w:val="0"/>
                      <w:caps w:val="0"/>
                      <w:color w:val="auto"/>
                      <w:spacing w:val="0"/>
                      <w:sz w:val="21"/>
                      <w:szCs w:val="24"/>
                      <w:shd w:val="clear" w:fill="FFFFFF"/>
                      <w:lang w:val="en-US" w:eastAsia="zh-CN"/>
                    </w:rPr>
                    <w:t>-</w:t>
                  </w:r>
                  <w:r>
                    <w:rPr>
                      <w:rFonts w:hint="default" w:ascii="Times New Roman" w:hAnsi="Times New Roman" w:eastAsia="宋体" w:cs="Segoe UI"/>
                      <w:b w:val="0"/>
                      <w:bCs w:val="0"/>
                      <w:i w:val="0"/>
                      <w:iCs w:val="0"/>
                      <w:caps w:val="0"/>
                      <w:color w:val="auto"/>
                      <w:spacing w:val="0"/>
                      <w:sz w:val="21"/>
                      <w:szCs w:val="24"/>
                      <w:shd w:val="clear" w:fill="FFFFFF"/>
                    </w:rPr>
                    <w:t>含水率50%</w:t>
                  </w:r>
                  <w:r>
                    <w:rPr>
                      <w:rFonts w:hint="eastAsia" w:ascii="Times New Roman" w:hAnsi="Times New Roman" w:cs="Segoe UI"/>
                      <w:b w:val="0"/>
                      <w:bCs w:val="0"/>
                      <w:i w:val="0"/>
                      <w:iCs w:val="0"/>
                      <w:caps w:val="0"/>
                      <w:color w:val="auto"/>
                      <w:spacing w:val="0"/>
                      <w:sz w:val="21"/>
                      <w:szCs w:val="24"/>
                      <w:shd w:val="clear" w:fill="FFFFFF"/>
                      <w:lang w:val="en-US" w:eastAsia="zh-CN"/>
                    </w:rPr>
                    <w:t>-</w:t>
                  </w:r>
                  <w:r>
                    <w:rPr>
                      <w:rFonts w:hint="default" w:ascii="Times New Roman" w:hAnsi="Times New Roman" w:eastAsia="宋体" w:cs="Segoe UI"/>
                      <w:b w:val="0"/>
                      <w:bCs w:val="0"/>
                      <w:i w:val="0"/>
                      <w:iCs w:val="0"/>
                      <w:caps w:val="0"/>
                      <w:color w:val="auto"/>
                      <w:spacing w:val="0"/>
                      <w:sz w:val="21"/>
                      <w:szCs w:val="24"/>
                      <w:shd w:val="clear" w:fill="FFFFFF"/>
                    </w:rPr>
                    <w:t>挥发分0.3%=49.7%。无需加水勾兑，可直接使用。</w:t>
                  </w:r>
                </w:p>
                <w:p w14:paraId="16001785">
                  <w:pPr>
                    <w:pStyle w:val="44"/>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420" w:firstLineChars="200"/>
                    <w:textAlignment w:val="auto"/>
                    <w:rPr>
                      <w:rFonts w:hint="default" w:ascii="Times New Roman" w:hAnsi="Times New Roman" w:eastAsia="宋体"/>
                      <w:b w:val="0"/>
                      <w:bCs w:val="0"/>
                      <w:color w:val="auto"/>
                      <w:sz w:val="21"/>
                    </w:rPr>
                  </w:pPr>
                  <w:r>
                    <w:rPr>
                      <w:rFonts w:hint="default" w:ascii="Times New Roman" w:hAnsi="Times New Roman" w:eastAsia="宋体" w:cs="Segoe UI"/>
                      <w:b w:val="0"/>
                      <w:bCs w:val="0"/>
                      <w:i w:val="0"/>
                      <w:iCs w:val="0"/>
                      <w:caps w:val="0"/>
                      <w:color w:val="auto"/>
                      <w:spacing w:val="0"/>
                      <w:sz w:val="21"/>
                      <w:szCs w:val="24"/>
                      <w:shd w:val="clear" w:fill="FFFFFF"/>
                    </w:rPr>
                    <w:t>涂胶面积取值说明：童鞋鞋码为25</w:t>
                  </w:r>
                  <w:r>
                    <w:rPr>
                      <w:rFonts w:hint="eastAsia" w:ascii="Times New Roman" w:hAnsi="Times New Roman" w:cs="Segoe UI"/>
                      <w:b w:val="0"/>
                      <w:bCs w:val="0"/>
                      <w:i w:val="0"/>
                      <w:iCs w:val="0"/>
                      <w:caps w:val="0"/>
                      <w:color w:val="auto"/>
                      <w:spacing w:val="0"/>
                      <w:sz w:val="21"/>
                      <w:szCs w:val="24"/>
                      <w:shd w:val="clear" w:fill="FFFFFF"/>
                      <w:lang w:val="en-US" w:eastAsia="zh-CN"/>
                    </w:rPr>
                    <w:t>-</w:t>
                  </w:r>
                  <w:r>
                    <w:rPr>
                      <w:rFonts w:hint="default" w:ascii="Times New Roman" w:hAnsi="Times New Roman" w:eastAsia="宋体" w:cs="Segoe UI"/>
                      <w:b w:val="0"/>
                      <w:bCs w:val="0"/>
                      <w:i w:val="0"/>
                      <w:iCs w:val="0"/>
                      <w:caps w:val="0"/>
                      <w:color w:val="auto"/>
                      <w:spacing w:val="0"/>
                      <w:sz w:val="21"/>
                      <w:szCs w:val="24"/>
                      <w:shd w:val="clear" w:fill="FFFFFF"/>
                    </w:rPr>
                    <w:t>40EU，取中间值32码左右，鞋长约210mm，鞋掌宽度约75mm，按椭圆形近似计算（长×宽×0.8），单双中底面积=0.21m×0.075m×0.8×2≈0.025m²/双</w:t>
                  </w:r>
                  <w:r>
                    <w:rPr>
                      <w:rFonts w:hint="eastAsia" w:ascii="Times New Roman" w:hAnsi="Times New Roman" w:cs="Segoe UI"/>
                      <w:b w:val="0"/>
                      <w:bCs w:val="0"/>
                      <w:i w:val="0"/>
                      <w:iCs w:val="0"/>
                      <w:caps w:val="0"/>
                      <w:color w:val="auto"/>
                      <w:spacing w:val="0"/>
                      <w:sz w:val="21"/>
                      <w:szCs w:val="24"/>
                      <w:shd w:val="clear" w:fill="FFFFFF"/>
                      <w:lang w:eastAsia="zh-CN"/>
                    </w:rPr>
                    <w:t>；</w:t>
                  </w:r>
                  <w:r>
                    <w:rPr>
                      <w:rFonts w:hint="default" w:ascii="Times New Roman" w:hAnsi="Times New Roman" w:eastAsia="宋体" w:cs="Segoe UI"/>
                      <w:b w:val="0"/>
                      <w:bCs w:val="0"/>
                      <w:i w:val="0"/>
                      <w:iCs w:val="0"/>
                      <w:caps w:val="0"/>
                      <w:color w:val="auto"/>
                      <w:spacing w:val="0"/>
                      <w:sz w:val="21"/>
                      <w:szCs w:val="24"/>
                      <w:shd w:val="clear" w:fill="FFFFFF"/>
                    </w:rPr>
                    <w:t>鞋帮与鞋底结合面按鞋底周长×贴合宽度计算。童鞋鞋底周长约0.4</w:t>
                  </w:r>
                  <w:r>
                    <w:rPr>
                      <w:rFonts w:hint="eastAsia" w:ascii="Times New Roman" w:hAnsi="Times New Roman" w:cs="Segoe UI"/>
                      <w:b w:val="0"/>
                      <w:bCs w:val="0"/>
                      <w:i w:val="0"/>
                      <w:iCs w:val="0"/>
                      <w:caps w:val="0"/>
                      <w:color w:val="auto"/>
                      <w:spacing w:val="0"/>
                      <w:sz w:val="21"/>
                      <w:szCs w:val="24"/>
                      <w:shd w:val="clear" w:fill="FFFFFF"/>
                      <w:lang w:eastAsia="zh-CN"/>
                    </w:rPr>
                    <w:t>～</w:t>
                  </w:r>
                  <w:r>
                    <w:rPr>
                      <w:rFonts w:hint="default" w:ascii="Times New Roman" w:hAnsi="Times New Roman" w:eastAsia="宋体" w:cs="Segoe UI"/>
                      <w:b w:val="0"/>
                      <w:bCs w:val="0"/>
                      <w:i w:val="0"/>
                      <w:iCs w:val="0"/>
                      <w:caps w:val="0"/>
                      <w:color w:val="auto"/>
                      <w:spacing w:val="0"/>
                      <w:sz w:val="21"/>
                      <w:szCs w:val="24"/>
                      <w:shd w:val="clear" w:fill="FFFFFF"/>
                    </w:rPr>
                    <w:t>0.5m（取中间值0.45m），贴合宽度约15mm（0.015m），单双边缘涂胶面积=0.45m×0.015m×2≈0.0135m²/双，按最不利情况取整为0.014m²/双。</w:t>
                  </w:r>
                </w:p>
                <w:p w14:paraId="70198B8F">
                  <w:pPr>
                    <w:pStyle w:val="44"/>
                    <w:keepNext w:val="0"/>
                    <w:keepLines w:val="0"/>
                    <w:pageBreakBefore w:val="0"/>
                    <w:widowControl/>
                    <w:numPr>
                      <w:ilvl w:val="0"/>
                      <w:numId w:val="13"/>
                    </w:numPr>
                    <w:suppressLineNumbers w:val="0"/>
                    <w:shd w:val="clear" w:fill="FFFFFF"/>
                    <w:kinsoku/>
                    <w:wordWrap/>
                    <w:overflowPunct/>
                    <w:topLinePunct w:val="0"/>
                    <w:autoSpaceDE/>
                    <w:autoSpaceDN/>
                    <w:bidi w:val="0"/>
                    <w:adjustRightInd/>
                    <w:snapToGrid/>
                    <w:spacing w:before="0" w:beforeAutospacing="0" w:after="0" w:afterAutospacing="0" w:line="240" w:lineRule="auto"/>
                    <w:ind w:left="0" w:leftChars="0" w:right="0" w:firstLine="420" w:firstLineChars="200"/>
                    <w:textAlignment w:val="auto"/>
                    <w:rPr>
                      <w:rFonts w:hint="default" w:ascii="Times New Roman" w:hAnsi="Times New Roman" w:eastAsia="宋体"/>
                      <w:b w:val="0"/>
                      <w:bCs w:val="0"/>
                      <w:color w:val="auto"/>
                      <w:sz w:val="21"/>
                    </w:rPr>
                  </w:pPr>
                  <w:r>
                    <w:rPr>
                      <w:rFonts w:hint="eastAsia" w:ascii="Times New Roman" w:hAnsi="Times New Roman" w:cs="Segoe UI"/>
                      <w:b w:val="0"/>
                      <w:bCs w:val="0"/>
                      <w:i w:val="0"/>
                      <w:iCs w:val="0"/>
                      <w:caps w:val="0"/>
                      <w:color w:val="auto"/>
                      <w:spacing w:val="0"/>
                      <w:sz w:val="21"/>
                      <w:szCs w:val="24"/>
                      <w:shd w:val="clear" w:fill="FFFFFF"/>
                      <w:lang w:val="en-US" w:eastAsia="zh-CN"/>
                    </w:rPr>
                    <w:t>成品组装</w:t>
                  </w:r>
                  <w:r>
                    <w:rPr>
                      <w:rFonts w:hint="default" w:ascii="Times New Roman" w:hAnsi="Times New Roman" w:eastAsia="宋体" w:cs="Segoe UI"/>
                      <w:b w:val="0"/>
                      <w:bCs w:val="0"/>
                      <w:i w:val="0"/>
                      <w:iCs w:val="0"/>
                      <w:caps w:val="0"/>
                      <w:color w:val="auto"/>
                      <w:spacing w:val="0"/>
                      <w:sz w:val="21"/>
                      <w:szCs w:val="24"/>
                      <w:shd w:val="clear" w:fill="FFFFFF"/>
                    </w:rPr>
                    <w:t>：鞋面涂胶2次、鞋底涂胶2次，合计4次涂布。</w:t>
                  </w:r>
                </w:p>
                <w:p w14:paraId="4DE6426A">
                  <w:pPr>
                    <w:pStyle w:val="44"/>
                    <w:keepNext w:val="0"/>
                    <w:keepLines w:val="0"/>
                    <w:pageBreakBefore w:val="0"/>
                    <w:widowControl/>
                    <w:numPr>
                      <w:ilvl w:val="0"/>
                      <w:numId w:val="13"/>
                    </w:numPr>
                    <w:suppressLineNumbers w:val="0"/>
                    <w:shd w:val="clear" w:fill="FFFFFF"/>
                    <w:kinsoku/>
                    <w:wordWrap/>
                    <w:overflowPunct/>
                    <w:topLinePunct w:val="0"/>
                    <w:autoSpaceDE/>
                    <w:autoSpaceDN/>
                    <w:bidi w:val="0"/>
                    <w:adjustRightInd/>
                    <w:snapToGrid/>
                    <w:spacing w:before="0" w:beforeAutospacing="0" w:after="0" w:afterAutospacing="0" w:line="240" w:lineRule="auto"/>
                    <w:ind w:left="0" w:leftChars="0" w:right="0" w:firstLine="420" w:firstLineChars="200"/>
                    <w:textAlignment w:val="auto"/>
                    <w:rPr>
                      <w:rFonts w:hint="eastAsia" w:cs="var(--dsw-font-markdown-table)"/>
                      <w:b/>
                      <w:bCs/>
                      <w:color w:val="auto"/>
                      <w:kern w:val="0"/>
                      <w:sz w:val="21"/>
                      <w:szCs w:val="24"/>
                      <w:lang w:val="en-US" w:eastAsia="zh-CN" w:bidi="ar"/>
                    </w:rPr>
                  </w:pPr>
                  <w:r>
                    <w:rPr>
                      <w:rFonts w:hint="default" w:ascii="Times New Roman" w:hAnsi="Times New Roman" w:eastAsia="宋体" w:cs="Segoe UI"/>
                      <w:b w:val="0"/>
                      <w:bCs w:val="0"/>
                      <w:i w:val="0"/>
                      <w:iCs w:val="0"/>
                      <w:caps w:val="0"/>
                      <w:color w:val="auto"/>
                      <w:spacing w:val="0"/>
                      <w:sz w:val="21"/>
                      <w:szCs w:val="24"/>
                      <w:shd w:val="clear" w:fill="FFFFFF"/>
                    </w:rPr>
                    <w:t>补胶说明：压底后对鞋面与鞋底接合处出现的缺胶部位进行人工补胶，补胶量按主用量的15%估算，即</w:t>
                  </w:r>
                  <w:r>
                    <w:rPr>
                      <w:rFonts w:hint="eastAsia" w:ascii="Times New Roman" w:hAnsi="Times New Roman" w:cs="Segoe UI"/>
                      <w:b w:val="0"/>
                      <w:bCs w:val="0"/>
                      <w:i w:val="0"/>
                      <w:iCs w:val="0"/>
                      <w:caps w:val="0"/>
                      <w:color w:val="auto"/>
                      <w:spacing w:val="0"/>
                      <w:sz w:val="21"/>
                      <w:szCs w:val="24"/>
                      <w:shd w:val="clear" w:fill="FFFFFF"/>
                      <w:lang w:val="en-US" w:eastAsia="zh-CN"/>
                    </w:rPr>
                    <w:t>30.95</w:t>
                  </w:r>
                  <w:r>
                    <w:rPr>
                      <w:rFonts w:hint="default" w:ascii="Times New Roman" w:hAnsi="Times New Roman" w:eastAsia="宋体" w:cs="Segoe UI"/>
                      <w:b w:val="0"/>
                      <w:bCs w:val="0"/>
                      <w:i w:val="0"/>
                      <w:iCs w:val="0"/>
                      <w:caps w:val="0"/>
                      <w:color w:val="auto"/>
                      <w:spacing w:val="0"/>
                      <w:sz w:val="21"/>
                      <w:szCs w:val="24"/>
                      <w:shd w:val="clear" w:fill="FFFFFF"/>
                    </w:rPr>
                    <w:t>×15%≈</w:t>
                  </w:r>
                  <w:r>
                    <w:rPr>
                      <w:rFonts w:hint="eastAsia" w:ascii="Times New Roman" w:hAnsi="Times New Roman" w:cs="Segoe UI"/>
                      <w:b w:val="0"/>
                      <w:bCs w:val="0"/>
                      <w:i w:val="0"/>
                      <w:iCs w:val="0"/>
                      <w:caps w:val="0"/>
                      <w:color w:val="auto"/>
                      <w:spacing w:val="0"/>
                      <w:sz w:val="21"/>
                      <w:szCs w:val="24"/>
                      <w:shd w:val="clear" w:fill="FFFFFF"/>
                      <w:lang w:val="en-US" w:eastAsia="zh-CN"/>
                    </w:rPr>
                    <w:t>4.64</w:t>
                  </w:r>
                  <w:r>
                    <w:rPr>
                      <w:rFonts w:hint="default" w:ascii="Times New Roman" w:hAnsi="Times New Roman" w:eastAsia="宋体" w:cs="Segoe UI"/>
                      <w:b w:val="0"/>
                      <w:bCs w:val="0"/>
                      <w:i w:val="0"/>
                      <w:iCs w:val="0"/>
                      <w:caps w:val="0"/>
                      <w:color w:val="auto"/>
                      <w:spacing w:val="0"/>
                      <w:sz w:val="21"/>
                      <w:szCs w:val="24"/>
                      <w:shd w:val="clear" w:fill="FFFFFF"/>
                    </w:rPr>
                    <w:t>t/a。</w:t>
                  </w:r>
                </w:p>
              </w:tc>
            </w:tr>
          </w:tbl>
          <w:p w14:paraId="18F8E008">
            <w:pPr>
              <w:keepNext w:val="0"/>
              <w:keepLines w:val="0"/>
              <w:pageBreakBefore w:val="0"/>
              <w:widowControl/>
              <w:numPr>
                <w:ilvl w:val="0"/>
                <w:numId w:val="12"/>
              </w:numPr>
              <w:suppressLineNumbers w:val="0"/>
              <w:kinsoku/>
              <w:wordWrap/>
              <w:overflowPunct/>
              <w:topLinePunct w:val="0"/>
              <w:autoSpaceDE/>
              <w:autoSpaceDN/>
              <w:bidi w:val="0"/>
              <w:adjustRightInd/>
              <w:snapToGrid/>
              <w:spacing w:before="157" w:beforeLines="50" w:beforeAutospacing="0" w:after="0" w:afterAutospacing="0" w:line="360" w:lineRule="auto"/>
              <w:ind w:left="0" w:leftChars="0" w:right="0" w:rightChars="0" w:firstLine="422" w:firstLineChars="200"/>
              <w:jc w:val="left"/>
              <w:textAlignment w:val="auto"/>
              <w:rPr>
                <w:rFonts w:hint="default" w:ascii="Times New Roman" w:hAnsi="Times New Roman" w:eastAsia="宋体" w:cs="var(--dsw-font-markdown-table)"/>
                <w:b/>
                <w:bCs/>
                <w:color w:val="auto"/>
                <w:kern w:val="0"/>
                <w:sz w:val="21"/>
                <w:szCs w:val="24"/>
                <w:lang w:val="en-US" w:eastAsia="zh-CN" w:bidi="ar"/>
              </w:rPr>
            </w:pPr>
            <w:r>
              <w:rPr>
                <w:rFonts w:hint="default" w:ascii="Times New Roman" w:hAnsi="Times New Roman" w:eastAsia="宋体" w:cs="var(--dsw-font-markdown-h2)"/>
                <w:b/>
                <w:bCs/>
                <w:i w:val="0"/>
                <w:iCs w:val="0"/>
                <w:caps w:val="0"/>
                <w:color w:val="auto"/>
                <w:spacing w:val="0"/>
                <w:sz w:val="21"/>
                <w:shd w:val="clear" w:fill="FFFFFF"/>
              </w:rPr>
              <w:t>处理剂用量</w:t>
            </w:r>
            <w:r>
              <w:rPr>
                <w:rFonts w:hint="eastAsia" w:ascii="Times New Roman" w:hAnsi="Times New Roman" w:eastAsia="宋体" w:cs="var(--dsw-font-markdown-h2)"/>
                <w:b/>
                <w:bCs/>
                <w:i w:val="0"/>
                <w:iCs w:val="0"/>
                <w:caps w:val="0"/>
                <w:color w:val="auto"/>
                <w:spacing w:val="0"/>
                <w:sz w:val="21"/>
                <w:shd w:val="clear" w:fill="FFFFFF"/>
                <w:lang w:val="en-US" w:eastAsia="zh-CN"/>
              </w:rPr>
              <w:t>核算：</w:t>
            </w:r>
          </w:p>
          <w:p w14:paraId="6BAFE6B8">
            <w:pPr>
              <w:pStyle w:val="9"/>
              <w:numPr>
                <w:ilvl w:val="0"/>
                <w:numId w:val="8"/>
              </w:numPr>
              <w:suppressLineNumbers w:val="0"/>
              <w:spacing w:before="0" w:beforeAutospacing="0" w:after="0" w:afterAutospacing="0" w:line="240" w:lineRule="auto"/>
              <w:ind w:right="0"/>
              <w:jc w:val="center"/>
              <w:rPr>
                <w:rFonts w:hint="eastAsia" w:ascii="Times New Roman" w:hAnsi="Times New Roman" w:eastAsia="宋体"/>
                <w:b/>
                <w:bCs/>
                <w:color w:val="auto"/>
                <w:sz w:val="21"/>
                <w:szCs w:val="24"/>
              </w:rPr>
            </w:pPr>
            <w:r>
              <w:rPr>
                <w:rFonts w:hint="default" w:ascii="Times New Roman" w:hAnsi="Times New Roman" w:eastAsia="宋体" w:cs="var(--dsw-font-markdown-h2)"/>
                <w:b/>
                <w:bCs/>
                <w:i w:val="0"/>
                <w:iCs w:val="0"/>
                <w:caps w:val="0"/>
                <w:color w:val="auto"/>
                <w:spacing w:val="0"/>
                <w:sz w:val="21"/>
                <w:shd w:val="clear" w:fill="FFFFFF"/>
              </w:rPr>
              <w:t>处理剂用量</w:t>
            </w:r>
            <w:r>
              <w:rPr>
                <w:rFonts w:hint="eastAsia" w:ascii="Times New Roman" w:hAnsi="Times New Roman" w:eastAsia="宋体"/>
                <w:b/>
                <w:bCs/>
                <w:color w:val="auto"/>
                <w:sz w:val="21"/>
                <w:szCs w:val="24"/>
              </w:rPr>
              <w:t>核算表</w:t>
            </w:r>
          </w:p>
          <w:tbl>
            <w:tblPr>
              <w:tblStyle w:val="49"/>
              <w:tblW w:w="97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5"/>
              <w:gridCol w:w="704"/>
              <w:gridCol w:w="1103"/>
              <w:gridCol w:w="1011"/>
              <w:gridCol w:w="989"/>
              <w:gridCol w:w="1011"/>
              <w:gridCol w:w="1091"/>
              <w:gridCol w:w="691"/>
              <w:gridCol w:w="889"/>
              <w:gridCol w:w="889"/>
            </w:tblGrid>
            <w:tr w14:paraId="2ADF4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395" w:type="dxa"/>
                  <w:vAlign w:val="center"/>
                </w:tcPr>
                <w:p w14:paraId="6FF6DD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vertAlign w:val="baseline"/>
                    </w:rPr>
                  </w:pPr>
                  <w:r>
                    <w:rPr>
                      <w:rFonts w:hint="default" w:ascii="Times New Roman" w:hAnsi="Times New Roman" w:eastAsia="宋体" w:cs="var(--dsw-font-markdown-table-h"/>
                      <w:b/>
                      <w:bCs/>
                      <w:color w:val="auto"/>
                      <w:kern w:val="0"/>
                      <w:sz w:val="21"/>
                      <w:szCs w:val="24"/>
                      <w:lang w:val="en-US" w:eastAsia="zh-CN" w:bidi="ar"/>
                    </w:rPr>
                    <w:t>涂处理剂环节</w:t>
                  </w:r>
                </w:p>
              </w:tc>
              <w:tc>
                <w:tcPr>
                  <w:tcW w:w="704" w:type="dxa"/>
                  <w:vAlign w:val="center"/>
                </w:tcPr>
                <w:p w14:paraId="310D79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vertAlign w:val="baseline"/>
                    </w:rPr>
                  </w:pPr>
                  <w:r>
                    <w:rPr>
                      <w:rFonts w:hint="default" w:ascii="Times New Roman" w:hAnsi="Times New Roman" w:eastAsia="宋体" w:cs="var(--dsw-font-markdown-table-h"/>
                      <w:b/>
                      <w:bCs/>
                      <w:color w:val="auto"/>
                      <w:kern w:val="0"/>
                      <w:sz w:val="21"/>
                      <w:szCs w:val="24"/>
                      <w:lang w:val="en-US" w:eastAsia="zh-CN" w:bidi="ar"/>
                    </w:rPr>
                    <w:t>涂布方式</w:t>
                  </w:r>
                </w:p>
              </w:tc>
              <w:tc>
                <w:tcPr>
                  <w:tcW w:w="1103" w:type="dxa"/>
                  <w:vAlign w:val="center"/>
                </w:tcPr>
                <w:p w14:paraId="2729D4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vertAlign w:val="baseline"/>
                    </w:rPr>
                  </w:pPr>
                  <w:r>
                    <w:rPr>
                      <w:rFonts w:hint="default" w:ascii="Times New Roman" w:hAnsi="Times New Roman" w:eastAsia="宋体" w:cs="var(--dsw-font-markdown-table-h"/>
                      <w:b/>
                      <w:bCs/>
                      <w:color w:val="auto"/>
                      <w:kern w:val="0"/>
                      <w:sz w:val="21"/>
                      <w:szCs w:val="24"/>
                      <w:lang w:val="en-US" w:eastAsia="zh-CN" w:bidi="ar"/>
                    </w:rPr>
                    <w:t>涂布面积（m²/双）</w:t>
                  </w:r>
                </w:p>
              </w:tc>
              <w:tc>
                <w:tcPr>
                  <w:tcW w:w="1011" w:type="dxa"/>
                  <w:vAlign w:val="center"/>
                </w:tcPr>
                <w:p w14:paraId="209645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vertAlign w:val="baseline"/>
                    </w:rPr>
                  </w:pPr>
                  <w:r>
                    <w:rPr>
                      <w:rFonts w:hint="default" w:ascii="Times New Roman" w:hAnsi="Times New Roman" w:eastAsia="宋体" w:cs="var(--dsw-font-markdown-table-h"/>
                      <w:b/>
                      <w:bCs/>
                      <w:color w:val="auto"/>
                      <w:kern w:val="0"/>
                      <w:sz w:val="21"/>
                      <w:szCs w:val="24"/>
                      <w:lang w:val="en-US" w:eastAsia="zh-CN" w:bidi="ar"/>
                    </w:rPr>
                    <w:t>产能（万双）</w:t>
                  </w:r>
                </w:p>
              </w:tc>
              <w:tc>
                <w:tcPr>
                  <w:tcW w:w="989" w:type="dxa"/>
                  <w:vAlign w:val="center"/>
                </w:tcPr>
                <w:p w14:paraId="14E393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vertAlign w:val="baseline"/>
                    </w:rPr>
                  </w:pPr>
                  <w:r>
                    <w:rPr>
                      <w:rFonts w:hint="default" w:ascii="Times New Roman" w:hAnsi="Times New Roman" w:eastAsia="宋体" w:cs="var(--dsw-font-markdown-table-h"/>
                      <w:b/>
                      <w:bCs/>
                      <w:color w:val="auto"/>
                      <w:kern w:val="0"/>
                      <w:sz w:val="21"/>
                      <w:szCs w:val="24"/>
                      <w:lang w:val="en-US" w:eastAsia="zh-CN" w:bidi="ar"/>
                    </w:rPr>
                    <w:t>涂布厚度（μm）</w:t>
                  </w:r>
                </w:p>
              </w:tc>
              <w:tc>
                <w:tcPr>
                  <w:tcW w:w="1011" w:type="dxa"/>
                  <w:vAlign w:val="center"/>
                </w:tcPr>
                <w:p w14:paraId="6524D2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vertAlign w:val="baseline"/>
                    </w:rPr>
                  </w:pPr>
                  <w:r>
                    <w:rPr>
                      <w:rFonts w:hint="default" w:ascii="Times New Roman" w:hAnsi="Times New Roman" w:eastAsia="宋体" w:cs="var(--dsw-font-markdown-table-h"/>
                      <w:b/>
                      <w:bCs/>
                      <w:color w:val="auto"/>
                      <w:kern w:val="0"/>
                      <w:sz w:val="21"/>
                      <w:szCs w:val="24"/>
                      <w:lang w:val="en-US" w:eastAsia="zh-CN" w:bidi="ar"/>
                    </w:rPr>
                    <w:t>涂布次数（次）</w:t>
                  </w:r>
                </w:p>
              </w:tc>
              <w:tc>
                <w:tcPr>
                  <w:tcW w:w="1091" w:type="dxa"/>
                  <w:vAlign w:val="center"/>
                </w:tcPr>
                <w:p w14:paraId="620AA8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vertAlign w:val="baseline"/>
                    </w:rPr>
                  </w:pPr>
                  <w:r>
                    <w:rPr>
                      <w:rFonts w:hint="default" w:ascii="Times New Roman" w:hAnsi="Times New Roman" w:eastAsia="宋体" w:cs="var(--dsw-font-markdown-table-h"/>
                      <w:b/>
                      <w:bCs/>
                      <w:color w:val="auto"/>
                      <w:kern w:val="0"/>
                      <w:sz w:val="21"/>
                      <w:szCs w:val="24"/>
                      <w:lang w:val="en-US" w:eastAsia="zh-CN" w:bidi="ar"/>
                    </w:rPr>
                    <w:t>密度（g/cm³）</w:t>
                  </w:r>
                </w:p>
              </w:tc>
              <w:tc>
                <w:tcPr>
                  <w:tcW w:w="691" w:type="dxa"/>
                  <w:vAlign w:val="center"/>
                </w:tcPr>
                <w:p w14:paraId="057A33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vertAlign w:val="baseline"/>
                    </w:rPr>
                  </w:pPr>
                  <w:r>
                    <w:rPr>
                      <w:rFonts w:hint="default" w:ascii="Times New Roman" w:hAnsi="Times New Roman" w:eastAsia="宋体" w:cs="var(--dsw-font-markdown-table-h"/>
                      <w:b/>
                      <w:bCs/>
                      <w:color w:val="auto"/>
                      <w:kern w:val="0"/>
                      <w:sz w:val="21"/>
                      <w:szCs w:val="24"/>
                      <w:lang w:val="en-US" w:eastAsia="zh-CN" w:bidi="ar"/>
                    </w:rPr>
                    <w:t>附着率</w:t>
                  </w:r>
                </w:p>
              </w:tc>
              <w:tc>
                <w:tcPr>
                  <w:tcW w:w="889" w:type="dxa"/>
                  <w:vAlign w:val="center"/>
                </w:tcPr>
                <w:p w14:paraId="02BCEA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vertAlign w:val="baseline"/>
                    </w:rPr>
                  </w:pPr>
                  <w:r>
                    <w:rPr>
                      <w:rFonts w:hint="eastAsia" w:cs="var(--dsw-font-markdown-table-h"/>
                      <w:b/>
                      <w:bCs/>
                      <w:color w:val="auto"/>
                      <w:kern w:val="0"/>
                      <w:sz w:val="21"/>
                      <w:szCs w:val="24"/>
                      <w:lang w:val="en-US" w:eastAsia="zh-CN" w:bidi="ar"/>
                    </w:rPr>
                    <w:t>理论</w:t>
                  </w:r>
                  <w:r>
                    <w:rPr>
                      <w:rFonts w:hint="default" w:ascii="Times New Roman" w:hAnsi="Times New Roman" w:eastAsia="宋体" w:cs="var(--dsw-font-markdown-table-h"/>
                      <w:b/>
                      <w:bCs/>
                      <w:color w:val="auto"/>
                      <w:kern w:val="0"/>
                      <w:sz w:val="21"/>
                      <w:szCs w:val="24"/>
                      <w:lang w:val="en-US" w:eastAsia="zh-CN" w:bidi="ar"/>
                    </w:rPr>
                    <w:t>年用量（t/a）</w:t>
                  </w:r>
                </w:p>
              </w:tc>
              <w:tc>
                <w:tcPr>
                  <w:tcW w:w="889" w:type="dxa"/>
                  <w:vAlign w:val="center"/>
                </w:tcPr>
                <w:p w14:paraId="0778FE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h"/>
                      <w:b/>
                      <w:bCs/>
                      <w:color w:val="auto"/>
                      <w:kern w:val="0"/>
                      <w:sz w:val="21"/>
                      <w:szCs w:val="24"/>
                      <w:lang w:val="en-US" w:eastAsia="zh-CN" w:bidi="ar"/>
                    </w:rPr>
                  </w:pPr>
                  <w:r>
                    <w:rPr>
                      <w:rFonts w:hint="eastAsia" w:cs="var(--dsw-font-markdown-table-h"/>
                      <w:b/>
                      <w:bCs/>
                      <w:color w:val="auto"/>
                      <w:kern w:val="0"/>
                      <w:sz w:val="21"/>
                      <w:szCs w:val="24"/>
                      <w:lang w:val="en-US" w:eastAsia="zh-CN" w:bidi="ar"/>
                    </w:rPr>
                    <w:t>申报年用量</w:t>
                  </w:r>
                  <w:r>
                    <w:rPr>
                      <w:rFonts w:hint="default" w:ascii="Times New Roman" w:hAnsi="Times New Roman" w:eastAsia="宋体" w:cs="var(--dsw-font-markdown-table-h"/>
                      <w:b/>
                      <w:bCs/>
                      <w:color w:val="auto"/>
                      <w:kern w:val="0"/>
                      <w:sz w:val="21"/>
                      <w:szCs w:val="24"/>
                      <w:lang w:val="en-US" w:eastAsia="zh-CN" w:bidi="ar"/>
                    </w:rPr>
                    <w:t>（t/a）</w:t>
                  </w:r>
                </w:p>
              </w:tc>
            </w:tr>
            <w:tr w14:paraId="3A0D2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395" w:type="dxa"/>
                  <w:vAlign w:val="center"/>
                </w:tcPr>
                <w:p w14:paraId="31C998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olor w:val="auto"/>
                      <w:vertAlign w:val="baseline"/>
                      <w:lang w:val="en-US"/>
                    </w:rPr>
                  </w:pPr>
                  <w:r>
                    <w:rPr>
                      <w:rFonts w:hint="default" w:ascii="Times New Roman" w:hAnsi="Times New Roman" w:eastAsia="宋体" w:cs="var(--dsw-font-markdown-table)"/>
                      <w:color w:val="auto"/>
                      <w:kern w:val="0"/>
                      <w:sz w:val="21"/>
                      <w:szCs w:val="24"/>
                      <w:lang w:val="en-US" w:eastAsia="zh-CN" w:bidi="ar"/>
                    </w:rPr>
                    <w:t>橡胶</w:t>
                  </w:r>
                  <w:r>
                    <w:rPr>
                      <w:rFonts w:hint="eastAsia" w:cs="var(--dsw-font-markdown-table)"/>
                      <w:color w:val="auto"/>
                      <w:kern w:val="0"/>
                      <w:sz w:val="21"/>
                      <w:szCs w:val="24"/>
                      <w:lang w:val="en-US" w:eastAsia="zh-CN" w:bidi="ar"/>
                    </w:rPr>
                    <w:t>鞋底刷橡胶处理剂</w:t>
                  </w:r>
                </w:p>
              </w:tc>
              <w:tc>
                <w:tcPr>
                  <w:tcW w:w="704" w:type="dxa"/>
                  <w:vMerge w:val="restart"/>
                  <w:vAlign w:val="center"/>
                </w:tcPr>
                <w:p w14:paraId="790D67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vertAlign w:val="baseline"/>
                    </w:rPr>
                  </w:pPr>
                  <w:r>
                    <w:rPr>
                      <w:rFonts w:hint="default" w:ascii="Times New Roman" w:hAnsi="Times New Roman" w:eastAsia="宋体" w:cs="var(--dsw-font-markdown-table)"/>
                      <w:color w:val="auto"/>
                      <w:kern w:val="0"/>
                      <w:sz w:val="21"/>
                      <w:szCs w:val="24"/>
                      <w:lang w:val="en-US" w:eastAsia="zh-CN" w:bidi="ar"/>
                    </w:rPr>
                    <w:t>全面涂布</w:t>
                  </w:r>
                </w:p>
              </w:tc>
              <w:tc>
                <w:tcPr>
                  <w:tcW w:w="1103" w:type="dxa"/>
                  <w:vAlign w:val="center"/>
                </w:tcPr>
                <w:p w14:paraId="5FD7FEA6">
                  <w:pPr>
                    <w:keepNext w:val="0"/>
                    <w:keepLines w:val="0"/>
                    <w:widowControl/>
                    <w:suppressLineNumbers w:val="0"/>
                    <w:spacing w:before="0" w:beforeAutospacing="0" w:after="0" w:afterAutospacing="0"/>
                    <w:ind w:left="0" w:right="0"/>
                    <w:jc w:val="center"/>
                    <w:textAlignment w:val="center"/>
                    <w:rPr>
                      <w:rFonts w:hint="eastAsia"/>
                      <w:color w:val="auto"/>
                      <w:vertAlign w:val="baseline"/>
                    </w:rPr>
                  </w:pPr>
                  <w:r>
                    <w:rPr>
                      <w:rFonts w:hint="default" w:ascii="Times New Roman" w:hAnsi="Times New Roman" w:eastAsia="宋体" w:cs="Times New Roman"/>
                      <w:i w:val="0"/>
                      <w:iCs w:val="0"/>
                      <w:color w:val="auto"/>
                      <w:kern w:val="0"/>
                      <w:sz w:val="21"/>
                      <w:szCs w:val="21"/>
                      <w:u w:val="none"/>
                      <w:lang w:val="en-US" w:eastAsia="zh-CN" w:bidi="ar"/>
                    </w:rPr>
                    <w:t>0.025</w:t>
                  </w:r>
                </w:p>
              </w:tc>
              <w:tc>
                <w:tcPr>
                  <w:tcW w:w="1011" w:type="dxa"/>
                  <w:vAlign w:val="center"/>
                </w:tcPr>
                <w:p w14:paraId="500931E5">
                  <w:pPr>
                    <w:keepNext w:val="0"/>
                    <w:keepLines w:val="0"/>
                    <w:widowControl/>
                    <w:suppressLineNumbers w:val="0"/>
                    <w:spacing w:before="0" w:beforeAutospacing="0" w:after="0" w:afterAutospacing="0"/>
                    <w:ind w:left="0" w:right="0"/>
                    <w:jc w:val="center"/>
                    <w:textAlignment w:val="center"/>
                    <w:rPr>
                      <w:rFonts w:hint="default"/>
                      <w:color w:val="auto"/>
                      <w:vertAlign w:val="baseline"/>
                      <w:lang w:val="en-US"/>
                    </w:rPr>
                  </w:pPr>
                  <w:r>
                    <w:rPr>
                      <w:rFonts w:hint="default" w:ascii="Times New Roman" w:hAnsi="Times New Roman" w:eastAsia="宋体" w:cs="Times New Roman"/>
                      <w:i w:val="0"/>
                      <w:iCs w:val="0"/>
                      <w:color w:val="auto"/>
                      <w:kern w:val="0"/>
                      <w:sz w:val="21"/>
                      <w:szCs w:val="21"/>
                      <w:u w:val="none"/>
                      <w:lang w:val="en-US" w:eastAsia="zh-CN" w:bidi="ar"/>
                    </w:rPr>
                    <w:t>400</w:t>
                  </w:r>
                </w:p>
              </w:tc>
              <w:tc>
                <w:tcPr>
                  <w:tcW w:w="989" w:type="dxa"/>
                  <w:vAlign w:val="center"/>
                </w:tcPr>
                <w:p w14:paraId="395C762B">
                  <w:pPr>
                    <w:keepNext w:val="0"/>
                    <w:keepLines w:val="0"/>
                    <w:widowControl/>
                    <w:suppressLineNumbers w:val="0"/>
                    <w:spacing w:before="0" w:beforeAutospacing="0" w:after="0" w:afterAutospacing="0"/>
                    <w:ind w:left="0" w:right="0"/>
                    <w:jc w:val="center"/>
                    <w:textAlignment w:val="center"/>
                    <w:rPr>
                      <w:rFonts w:hint="eastAsia"/>
                      <w:color w:val="auto"/>
                      <w:vertAlign w:val="baseli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1011" w:type="dxa"/>
                  <w:vAlign w:val="center"/>
                </w:tcPr>
                <w:p w14:paraId="684AFE8E">
                  <w:pPr>
                    <w:keepNext w:val="0"/>
                    <w:keepLines w:val="0"/>
                    <w:widowControl/>
                    <w:suppressLineNumbers w:val="0"/>
                    <w:spacing w:before="0" w:beforeAutospacing="0" w:after="0" w:afterAutospacing="0"/>
                    <w:ind w:left="0" w:right="0"/>
                    <w:jc w:val="center"/>
                    <w:textAlignment w:val="center"/>
                    <w:rPr>
                      <w:rFonts w:hint="eastAsia"/>
                      <w:color w:val="auto"/>
                      <w:vertAlign w:val="baseli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091" w:type="dxa"/>
                  <w:vAlign w:val="center"/>
                </w:tcPr>
                <w:p w14:paraId="0D39AFF3">
                  <w:pPr>
                    <w:keepNext w:val="0"/>
                    <w:keepLines w:val="0"/>
                    <w:widowControl/>
                    <w:suppressLineNumbers w:val="0"/>
                    <w:spacing w:before="0" w:beforeAutospacing="0" w:after="0" w:afterAutospacing="0"/>
                    <w:ind w:left="0" w:right="0"/>
                    <w:jc w:val="center"/>
                    <w:textAlignment w:val="center"/>
                    <w:rPr>
                      <w:rFonts w:hint="eastAsia"/>
                      <w:color w:val="auto"/>
                      <w:vertAlign w:val="baseline"/>
                    </w:rPr>
                  </w:pPr>
                  <w:r>
                    <w:rPr>
                      <w:rFonts w:hint="default" w:ascii="Times New Roman" w:hAnsi="Times New Roman" w:eastAsia="宋体" w:cs="Times New Roman"/>
                      <w:i w:val="0"/>
                      <w:iCs w:val="0"/>
                      <w:color w:val="auto"/>
                      <w:kern w:val="0"/>
                      <w:sz w:val="21"/>
                      <w:szCs w:val="21"/>
                      <w:u w:val="none"/>
                      <w:lang w:val="en-US" w:eastAsia="zh-CN" w:bidi="ar"/>
                    </w:rPr>
                    <w:t>1.16</w:t>
                  </w:r>
                </w:p>
              </w:tc>
              <w:tc>
                <w:tcPr>
                  <w:tcW w:w="691" w:type="dxa"/>
                  <w:vAlign w:val="center"/>
                </w:tcPr>
                <w:p w14:paraId="10C49E07">
                  <w:pPr>
                    <w:keepNext w:val="0"/>
                    <w:keepLines w:val="0"/>
                    <w:widowControl/>
                    <w:suppressLineNumbers w:val="0"/>
                    <w:spacing w:before="0" w:beforeAutospacing="0" w:after="0" w:afterAutospacing="0"/>
                    <w:ind w:left="0" w:right="0"/>
                    <w:jc w:val="center"/>
                    <w:textAlignment w:val="center"/>
                    <w:rPr>
                      <w:rFonts w:hint="default"/>
                      <w:color w:val="auto"/>
                      <w:vertAlign w:val="baseline"/>
                      <w:lang w:val="en-US"/>
                    </w:rPr>
                  </w:pPr>
                  <w:r>
                    <w:rPr>
                      <w:rFonts w:hint="default" w:ascii="Times New Roman" w:hAnsi="Times New Roman" w:eastAsia="宋体" w:cs="Times New Roman"/>
                      <w:i w:val="0"/>
                      <w:iCs w:val="0"/>
                      <w:color w:val="auto"/>
                      <w:kern w:val="0"/>
                      <w:sz w:val="21"/>
                      <w:szCs w:val="21"/>
                      <w:u w:val="none"/>
                      <w:lang w:val="en-US" w:eastAsia="zh-CN" w:bidi="ar"/>
                    </w:rPr>
                    <w:t>95%</w:t>
                  </w:r>
                </w:p>
              </w:tc>
              <w:tc>
                <w:tcPr>
                  <w:tcW w:w="889" w:type="dxa"/>
                  <w:vAlign w:val="center"/>
                </w:tcPr>
                <w:p w14:paraId="77465C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b w:val="0"/>
                      <w:bCs/>
                      <w:color w:val="auto"/>
                      <w:sz w:val="21"/>
                      <w:vertAlign w:val="baseline"/>
                      <w:lang w:val="en-US"/>
                    </w:rPr>
                  </w:pPr>
                  <w:r>
                    <w:rPr>
                      <w:rFonts w:hint="default" w:ascii="Times New Roman" w:hAnsi="Times New Roman" w:eastAsia="宋体" w:cs="Times New Roman"/>
                      <w:b w:val="0"/>
                      <w:bCs/>
                      <w:i w:val="0"/>
                      <w:iCs w:val="0"/>
                      <w:color w:val="000000"/>
                      <w:kern w:val="0"/>
                      <w:sz w:val="21"/>
                      <w:szCs w:val="21"/>
                      <w:u w:val="none"/>
                      <w:lang w:val="en-US" w:eastAsia="zh-CN" w:bidi="ar"/>
                    </w:rPr>
                    <w:t>2.44</w:t>
                  </w:r>
                </w:p>
              </w:tc>
              <w:tc>
                <w:tcPr>
                  <w:tcW w:w="889" w:type="dxa"/>
                  <w:vAlign w:val="center"/>
                </w:tcPr>
                <w:p w14:paraId="1F1B8A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var(--dsw-font-markdown-table)"/>
                      <w:b w:val="0"/>
                      <w:bCs/>
                      <w:color w:val="auto"/>
                      <w:kern w:val="0"/>
                      <w:sz w:val="21"/>
                      <w:szCs w:val="24"/>
                      <w:lang w:val="en-US" w:eastAsia="zh-CN" w:bidi="ar"/>
                    </w:rPr>
                  </w:pPr>
                  <w:r>
                    <w:rPr>
                      <w:rFonts w:hint="default" w:ascii="Times New Roman" w:hAnsi="Times New Roman" w:eastAsia="宋体" w:cs="Times New Roman"/>
                      <w:b w:val="0"/>
                      <w:bCs/>
                      <w:i w:val="0"/>
                      <w:iCs w:val="0"/>
                      <w:color w:val="000000"/>
                      <w:kern w:val="0"/>
                      <w:sz w:val="21"/>
                      <w:szCs w:val="21"/>
                      <w:u w:val="none"/>
                      <w:lang w:val="en-US" w:eastAsia="zh-CN" w:bidi="ar"/>
                    </w:rPr>
                    <w:t>2.5</w:t>
                  </w:r>
                </w:p>
              </w:tc>
            </w:tr>
            <w:tr w14:paraId="0AB51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395" w:type="dxa"/>
                  <w:vAlign w:val="center"/>
                </w:tcPr>
                <w:p w14:paraId="02A119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EVA鞋底擦清洁剂</w:t>
                  </w:r>
                </w:p>
              </w:tc>
              <w:tc>
                <w:tcPr>
                  <w:tcW w:w="704" w:type="dxa"/>
                  <w:vMerge w:val="continue"/>
                  <w:vAlign w:val="center"/>
                </w:tcPr>
                <w:p w14:paraId="04E430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1103" w:type="dxa"/>
                  <w:vAlign w:val="center"/>
                </w:tcPr>
                <w:p w14:paraId="41B1B54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0.025</w:t>
                  </w:r>
                </w:p>
              </w:tc>
              <w:tc>
                <w:tcPr>
                  <w:tcW w:w="1011" w:type="dxa"/>
                  <w:vAlign w:val="center"/>
                </w:tcPr>
                <w:p w14:paraId="5B9162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eastAsia" w:cs="Times New Roman"/>
                      <w:i w:val="0"/>
                      <w:iCs w:val="0"/>
                      <w:color w:val="auto"/>
                      <w:kern w:val="0"/>
                      <w:sz w:val="21"/>
                      <w:szCs w:val="21"/>
                      <w:u w:val="none"/>
                      <w:lang w:val="en-US" w:eastAsia="zh-CN" w:bidi="ar"/>
                    </w:rPr>
                    <w:t>4</w:t>
                  </w:r>
                  <w:r>
                    <w:rPr>
                      <w:rFonts w:hint="default" w:ascii="Times New Roman" w:hAnsi="Times New Roman" w:eastAsia="宋体" w:cs="Times New Roman"/>
                      <w:i w:val="0"/>
                      <w:iCs w:val="0"/>
                      <w:color w:val="auto"/>
                      <w:kern w:val="0"/>
                      <w:sz w:val="21"/>
                      <w:szCs w:val="21"/>
                      <w:u w:val="none"/>
                      <w:lang w:val="en-US" w:eastAsia="zh-CN" w:bidi="ar"/>
                    </w:rPr>
                    <w:t>00</w:t>
                  </w:r>
                </w:p>
              </w:tc>
              <w:tc>
                <w:tcPr>
                  <w:tcW w:w="989" w:type="dxa"/>
                  <w:vAlign w:val="center"/>
                </w:tcPr>
                <w:p w14:paraId="181FA745">
                  <w:pPr>
                    <w:keepNext w:val="0"/>
                    <w:keepLines w:val="0"/>
                    <w:widowControl/>
                    <w:suppressLineNumbers w:val="0"/>
                    <w:spacing w:before="0" w:beforeAutospacing="0" w:after="0" w:afterAutospacing="0"/>
                    <w:ind w:left="0" w:right="0"/>
                    <w:jc w:val="center"/>
                    <w:textAlignment w:val="center"/>
                    <w:rPr>
                      <w:rFonts w:hint="default" w:cs="var(--dsw-font-markdown-table)"/>
                      <w:color w:val="auto"/>
                      <w:kern w:val="0"/>
                      <w:sz w:val="21"/>
                      <w:szCs w:val="24"/>
                      <w:lang w:val="en-US" w:eastAsia="zh-CN" w:bidi="ar"/>
                    </w:rPr>
                  </w:pPr>
                  <w:r>
                    <w:rPr>
                      <w:rFonts w:hint="eastAsia" w:cs="Times New Roman"/>
                      <w:i w:val="0"/>
                      <w:iCs w:val="0"/>
                      <w:color w:val="auto"/>
                      <w:kern w:val="0"/>
                      <w:sz w:val="21"/>
                      <w:szCs w:val="21"/>
                      <w:u w:val="none"/>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0</w:t>
                  </w:r>
                </w:p>
              </w:tc>
              <w:tc>
                <w:tcPr>
                  <w:tcW w:w="1011" w:type="dxa"/>
                  <w:vAlign w:val="center"/>
                </w:tcPr>
                <w:p w14:paraId="116378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p>
              </w:tc>
              <w:tc>
                <w:tcPr>
                  <w:tcW w:w="1091" w:type="dxa"/>
                  <w:vAlign w:val="center"/>
                </w:tcPr>
                <w:p w14:paraId="77EE60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eastAsia" w:cs="Times New Roman"/>
                      <w:i w:val="0"/>
                      <w:iCs w:val="0"/>
                      <w:color w:val="auto"/>
                      <w:kern w:val="0"/>
                      <w:sz w:val="21"/>
                      <w:szCs w:val="21"/>
                      <w:u w:val="none"/>
                      <w:lang w:val="en-US" w:eastAsia="zh-CN" w:bidi="ar"/>
                    </w:rPr>
                    <w:t>1.09</w:t>
                  </w:r>
                </w:p>
              </w:tc>
              <w:tc>
                <w:tcPr>
                  <w:tcW w:w="691" w:type="dxa"/>
                  <w:vAlign w:val="center"/>
                </w:tcPr>
                <w:p w14:paraId="048294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95%</w:t>
                  </w:r>
                </w:p>
              </w:tc>
              <w:tc>
                <w:tcPr>
                  <w:tcW w:w="889" w:type="dxa"/>
                  <w:vAlign w:val="center"/>
                </w:tcPr>
                <w:p w14:paraId="3C05FF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bCs/>
                      <w:i w:val="0"/>
                      <w:iCs w:val="0"/>
                      <w:color w:val="auto"/>
                      <w:kern w:val="0"/>
                      <w:sz w:val="21"/>
                      <w:szCs w:val="21"/>
                      <w:u w:val="none"/>
                      <w:lang w:val="en-US" w:eastAsia="zh-CN" w:bidi="ar"/>
                    </w:rPr>
                  </w:pPr>
                  <w:r>
                    <w:rPr>
                      <w:rFonts w:hint="default" w:ascii="Times New Roman" w:hAnsi="Times New Roman" w:eastAsia="宋体" w:cs="Times New Roman"/>
                      <w:b w:val="0"/>
                      <w:bCs/>
                      <w:i w:val="0"/>
                      <w:iCs w:val="0"/>
                      <w:color w:val="000000"/>
                      <w:kern w:val="0"/>
                      <w:sz w:val="21"/>
                      <w:szCs w:val="21"/>
                      <w:u w:val="none"/>
                      <w:lang w:val="en-US" w:eastAsia="zh-CN" w:bidi="ar"/>
                    </w:rPr>
                    <w:t>2.29</w:t>
                  </w:r>
                </w:p>
              </w:tc>
              <w:tc>
                <w:tcPr>
                  <w:tcW w:w="889" w:type="dxa"/>
                  <w:vAlign w:val="center"/>
                </w:tcPr>
                <w:p w14:paraId="65FFA4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bCs/>
                      <w:i w:val="0"/>
                      <w:iCs w:val="0"/>
                      <w:color w:val="auto"/>
                      <w:kern w:val="0"/>
                      <w:sz w:val="21"/>
                      <w:szCs w:val="21"/>
                      <w:u w:val="none"/>
                      <w:lang w:val="en-US" w:eastAsia="zh-CN" w:bidi="ar"/>
                    </w:rPr>
                  </w:pPr>
                  <w:r>
                    <w:rPr>
                      <w:rFonts w:hint="eastAsia" w:ascii="Times New Roman" w:hAnsi="Times New Roman" w:eastAsia="宋体" w:cs="宋体"/>
                      <w:b w:val="0"/>
                      <w:bCs/>
                      <w:i w:val="0"/>
                      <w:iCs w:val="0"/>
                      <w:color w:val="000000"/>
                      <w:kern w:val="0"/>
                      <w:sz w:val="21"/>
                      <w:szCs w:val="21"/>
                      <w:u w:val="none"/>
                      <w:lang w:val="en-US" w:eastAsia="zh-CN" w:bidi="ar"/>
                    </w:rPr>
                    <w:t>2.</w:t>
                  </w:r>
                  <w:r>
                    <w:rPr>
                      <w:rFonts w:hint="eastAsia" w:ascii="Times New Roman" w:hAnsi="Times New Roman" w:cs="宋体"/>
                      <w:b w:val="0"/>
                      <w:bCs/>
                      <w:i w:val="0"/>
                      <w:iCs w:val="0"/>
                      <w:color w:val="000000"/>
                      <w:kern w:val="0"/>
                      <w:sz w:val="21"/>
                      <w:szCs w:val="21"/>
                      <w:u w:val="none"/>
                      <w:lang w:val="en-US" w:eastAsia="zh-CN" w:bidi="ar"/>
                    </w:rPr>
                    <w:t>3</w:t>
                  </w:r>
                </w:p>
              </w:tc>
            </w:tr>
            <w:tr w14:paraId="3815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395" w:type="dxa"/>
                  <w:vAlign w:val="center"/>
                </w:tcPr>
                <w:p w14:paraId="05BBC7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vertAlign w:val="baseline"/>
                    </w:rPr>
                  </w:pPr>
                  <w:r>
                    <w:rPr>
                      <w:rFonts w:hint="eastAsia" w:cs="var(--dsw-font-markdown-table)"/>
                      <w:color w:val="auto"/>
                      <w:kern w:val="0"/>
                      <w:sz w:val="21"/>
                      <w:szCs w:val="24"/>
                      <w:lang w:val="en-US" w:eastAsia="zh-CN" w:bidi="ar"/>
                    </w:rPr>
                    <w:t>复合鞋底</w:t>
                  </w:r>
                  <w:r>
                    <w:rPr>
                      <w:rFonts w:hint="default" w:ascii="Times New Roman" w:hAnsi="Times New Roman" w:eastAsia="宋体" w:cs="var(--dsw-font-markdown-table)"/>
                      <w:color w:val="auto"/>
                      <w:kern w:val="0"/>
                      <w:sz w:val="21"/>
                      <w:szCs w:val="24"/>
                      <w:lang w:val="en-US" w:eastAsia="zh-CN" w:bidi="ar"/>
                    </w:rPr>
                    <w:t>刷</w:t>
                  </w:r>
                  <w:r>
                    <w:rPr>
                      <w:rFonts w:hint="eastAsia" w:cs="var(--dsw-font-markdown-table)"/>
                      <w:color w:val="auto"/>
                      <w:kern w:val="0"/>
                      <w:sz w:val="21"/>
                      <w:szCs w:val="24"/>
                      <w:lang w:val="en-US" w:eastAsia="zh-CN" w:bidi="ar"/>
                    </w:rPr>
                    <w:t>橡胶</w:t>
                  </w:r>
                  <w:r>
                    <w:rPr>
                      <w:rFonts w:hint="default" w:ascii="Times New Roman" w:hAnsi="Times New Roman" w:eastAsia="宋体" w:cs="var(--dsw-font-markdown-table)"/>
                      <w:color w:val="auto"/>
                      <w:kern w:val="0"/>
                      <w:sz w:val="21"/>
                      <w:szCs w:val="24"/>
                      <w:lang w:val="en-US" w:eastAsia="zh-CN" w:bidi="ar"/>
                    </w:rPr>
                    <w:t>处理剂</w:t>
                  </w:r>
                </w:p>
              </w:tc>
              <w:tc>
                <w:tcPr>
                  <w:tcW w:w="704" w:type="dxa"/>
                  <w:vMerge w:val="restart"/>
                  <w:vAlign w:val="center"/>
                </w:tcPr>
                <w:p w14:paraId="3F3B91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vertAlign w:val="baseline"/>
                    </w:rPr>
                  </w:pPr>
                  <w:r>
                    <w:rPr>
                      <w:rFonts w:hint="default" w:ascii="Times New Roman" w:hAnsi="Times New Roman" w:eastAsia="宋体" w:cs="var(--dsw-font-markdown-table)"/>
                      <w:color w:val="auto"/>
                      <w:kern w:val="0"/>
                      <w:sz w:val="21"/>
                      <w:szCs w:val="24"/>
                      <w:lang w:val="en-US" w:eastAsia="zh-CN" w:bidi="ar"/>
                    </w:rPr>
                    <w:t>边缘涂布</w:t>
                  </w:r>
                </w:p>
              </w:tc>
              <w:tc>
                <w:tcPr>
                  <w:tcW w:w="1103" w:type="dxa"/>
                  <w:vAlign w:val="center"/>
                </w:tcPr>
                <w:p w14:paraId="6701ACA0">
                  <w:pPr>
                    <w:keepNext w:val="0"/>
                    <w:keepLines w:val="0"/>
                    <w:widowControl/>
                    <w:suppressLineNumbers w:val="0"/>
                    <w:spacing w:before="0" w:beforeAutospacing="0" w:after="0" w:afterAutospacing="0"/>
                    <w:ind w:left="0" w:right="0"/>
                    <w:jc w:val="center"/>
                    <w:textAlignment w:val="center"/>
                    <w:rPr>
                      <w:rFonts w:hint="eastAsia"/>
                      <w:color w:val="auto"/>
                      <w:vertAlign w:val="baseline"/>
                    </w:rPr>
                  </w:pPr>
                  <w:r>
                    <w:rPr>
                      <w:rFonts w:hint="default" w:ascii="Times New Roman" w:hAnsi="Times New Roman" w:eastAsia="宋体" w:cs="Times New Roman"/>
                      <w:i w:val="0"/>
                      <w:iCs w:val="0"/>
                      <w:color w:val="auto"/>
                      <w:kern w:val="0"/>
                      <w:sz w:val="21"/>
                      <w:szCs w:val="21"/>
                      <w:u w:val="none"/>
                      <w:lang w:val="en-US" w:eastAsia="zh-CN" w:bidi="ar"/>
                    </w:rPr>
                    <w:t>0.014</w:t>
                  </w:r>
                </w:p>
              </w:tc>
              <w:tc>
                <w:tcPr>
                  <w:tcW w:w="1011" w:type="dxa"/>
                  <w:vAlign w:val="center"/>
                </w:tcPr>
                <w:p w14:paraId="5816EFA1">
                  <w:pPr>
                    <w:keepNext w:val="0"/>
                    <w:keepLines w:val="0"/>
                    <w:widowControl/>
                    <w:suppressLineNumbers w:val="0"/>
                    <w:spacing w:before="0" w:beforeAutospacing="0" w:after="0" w:afterAutospacing="0"/>
                    <w:ind w:left="0" w:right="0"/>
                    <w:jc w:val="center"/>
                    <w:textAlignment w:val="center"/>
                    <w:rPr>
                      <w:rFonts w:hint="default"/>
                      <w:color w:val="auto"/>
                      <w:vertAlign w:val="baseline"/>
                      <w:lang w:val="en-US"/>
                    </w:rPr>
                  </w:pPr>
                  <w:r>
                    <w:rPr>
                      <w:rFonts w:hint="eastAsia" w:cs="Times New Roman"/>
                      <w:i w:val="0"/>
                      <w:iCs w:val="0"/>
                      <w:color w:val="auto"/>
                      <w:kern w:val="0"/>
                      <w:sz w:val="21"/>
                      <w:szCs w:val="21"/>
                      <w:u w:val="none"/>
                      <w:lang w:val="en-US" w:eastAsia="zh-CN" w:bidi="ar"/>
                    </w:rPr>
                    <w:t>4</w:t>
                  </w:r>
                  <w:r>
                    <w:rPr>
                      <w:rFonts w:hint="default" w:ascii="Times New Roman" w:hAnsi="Times New Roman" w:eastAsia="宋体" w:cs="Times New Roman"/>
                      <w:i w:val="0"/>
                      <w:iCs w:val="0"/>
                      <w:color w:val="auto"/>
                      <w:kern w:val="0"/>
                      <w:sz w:val="21"/>
                      <w:szCs w:val="21"/>
                      <w:u w:val="none"/>
                      <w:lang w:val="en-US" w:eastAsia="zh-CN" w:bidi="ar"/>
                    </w:rPr>
                    <w:t>00</w:t>
                  </w:r>
                </w:p>
              </w:tc>
              <w:tc>
                <w:tcPr>
                  <w:tcW w:w="989" w:type="dxa"/>
                  <w:vAlign w:val="center"/>
                </w:tcPr>
                <w:p w14:paraId="038DBC79">
                  <w:pPr>
                    <w:keepNext w:val="0"/>
                    <w:keepLines w:val="0"/>
                    <w:widowControl/>
                    <w:suppressLineNumbers w:val="0"/>
                    <w:spacing w:before="0" w:beforeAutospacing="0" w:after="0" w:afterAutospacing="0"/>
                    <w:ind w:left="0" w:right="0"/>
                    <w:jc w:val="center"/>
                    <w:textAlignment w:val="center"/>
                    <w:rPr>
                      <w:rFonts w:hint="eastAsia"/>
                      <w:color w:val="auto"/>
                      <w:vertAlign w:val="baseli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1011" w:type="dxa"/>
                  <w:vAlign w:val="center"/>
                </w:tcPr>
                <w:p w14:paraId="262695FB">
                  <w:pPr>
                    <w:keepNext w:val="0"/>
                    <w:keepLines w:val="0"/>
                    <w:widowControl/>
                    <w:suppressLineNumbers w:val="0"/>
                    <w:spacing w:before="0" w:beforeAutospacing="0" w:after="0" w:afterAutospacing="0"/>
                    <w:ind w:left="0" w:right="0"/>
                    <w:jc w:val="center"/>
                    <w:textAlignment w:val="center"/>
                    <w:rPr>
                      <w:rFonts w:hint="eastAsia"/>
                      <w:color w:val="auto"/>
                      <w:vertAlign w:val="baseli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091" w:type="dxa"/>
                  <w:vAlign w:val="center"/>
                </w:tcPr>
                <w:p w14:paraId="3312F8A5">
                  <w:pPr>
                    <w:keepNext w:val="0"/>
                    <w:keepLines w:val="0"/>
                    <w:widowControl/>
                    <w:suppressLineNumbers w:val="0"/>
                    <w:spacing w:before="0" w:beforeAutospacing="0" w:after="0" w:afterAutospacing="0"/>
                    <w:ind w:left="0" w:right="0"/>
                    <w:jc w:val="center"/>
                    <w:textAlignment w:val="center"/>
                    <w:rPr>
                      <w:rFonts w:hint="eastAsia"/>
                      <w:color w:val="auto"/>
                      <w:vertAlign w:val="baseline"/>
                    </w:rPr>
                  </w:pPr>
                  <w:r>
                    <w:rPr>
                      <w:rFonts w:hint="default" w:ascii="Times New Roman" w:hAnsi="Times New Roman" w:eastAsia="宋体" w:cs="Times New Roman"/>
                      <w:i w:val="0"/>
                      <w:iCs w:val="0"/>
                      <w:color w:val="auto"/>
                      <w:kern w:val="0"/>
                      <w:sz w:val="21"/>
                      <w:szCs w:val="21"/>
                      <w:u w:val="none"/>
                      <w:lang w:val="en-US" w:eastAsia="zh-CN" w:bidi="ar"/>
                    </w:rPr>
                    <w:t>1.16</w:t>
                  </w:r>
                </w:p>
              </w:tc>
              <w:tc>
                <w:tcPr>
                  <w:tcW w:w="691" w:type="dxa"/>
                  <w:vAlign w:val="center"/>
                </w:tcPr>
                <w:p w14:paraId="105A066D">
                  <w:pPr>
                    <w:keepNext w:val="0"/>
                    <w:keepLines w:val="0"/>
                    <w:widowControl/>
                    <w:suppressLineNumbers w:val="0"/>
                    <w:spacing w:before="0" w:beforeAutospacing="0" w:after="0" w:afterAutospacing="0"/>
                    <w:ind w:left="0" w:right="0"/>
                    <w:jc w:val="center"/>
                    <w:textAlignment w:val="center"/>
                    <w:rPr>
                      <w:rFonts w:hint="default"/>
                      <w:color w:val="auto"/>
                      <w:vertAlign w:val="baseline"/>
                      <w:lang w:val="en-US"/>
                    </w:rPr>
                  </w:pPr>
                  <w:r>
                    <w:rPr>
                      <w:rFonts w:hint="default" w:ascii="Times New Roman" w:hAnsi="Times New Roman" w:eastAsia="宋体" w:cs="Times New Roman"/>
                      <w:i w:val="0"/>
                      <w:iCs w:val="0"/>
                      <w:color w:val="auto"/>
                      <w:kern w:val="0"/>
                      <w:sz w:val="21"/>
                      <w:szCs w:val="21"/>
                      <w:u w:val="none"/>
                      <w:lang w:val="en-US" w:eastAsia="zh-CN" w:bidi="ar"/>
                    </w:rPr>
                    <w:t>95%</w:t>
                  </w:r>
                </w:p>
              </w:tc>
              <w:tc>
                <w:tcPr>
                  <w:tcW w:w="889" w:type="dxa"/>
                  <w:vAlign w:val="center"/>
                </w:tcPr>
                <w:p w14:paraId="2A34EE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b w:val="0"/>
                      <w:bCs/>
                      <w:color w:val="auto"/>
                      <w:sz w:val="21"/>
                      <w:vertAlign w:val="baseline"/>
                      <w:lang w:val="en-US"/>
                    </w:rPr>
                  </w:pPr>
                  <w:r>
                    <w:rPr>
                      <w:rFonts w:hint="default" w:ascii="Times New Roman" w:hAnsi="Times New Roman" w:eastAsia="宋体" w:cs="Times New Roman"/>
                      <w:b w:val="0"/>
                      <w:bCs/>
                      <w:i w:val="0"/>
                      <w:iCs w:val="0"/>
                      <w:color w:val="000000"/>
                      <w:kern w:val="0"/>
                      <w:sz w:val="21"/>
                      <w:szCs w:val="21"/>
                      <w:u w:val="none"/>
                      <w:lang w:val="en-US" w:eastAsia="zh-CN" w:bidi="ar"/>
                    </w:rPr>
                    <w:t>1.37</w:t>
                  </w:r>
                </w:p>
              </w:tc>
              <w:tc>
                <w:tcPr>
                  <w:tcW w:w="889" w:type="dxa"/>
                  <w:vAlign w:val="center"/>
                </w:tcPr>
                <w:p w14:paraId="591AB5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var(--dsw-font-markdown-table)"/>
                      <w:b w:val="0"/>
                      <w:bCs/>
                      <w:color w:val="auto"/>
                      <w:kern w:val="0"/>
                      <w:sz w:val="21"/>
                      <w:szCs w:val="24"/>
                      <w:lang w:val="en-US" w:eastAsia="zh-CN" w:bidi="ar"/>
                    </w:rPr>
                  </w:pPr>
                  <w:r>
                    <w:rPr>
                      <w:rFonts w:hint="default" w:ascii="Times New Roman" w:hAnsi="Times New Roman" w:eastAsia="宋体" w:cs="Times New Roman"/>
                      <w:b w:val="0"/>
                      <w:bCs/>
                      <w:i w:val="0"/>
                      <w:iCs w:val="0"/>
                      <w:color w:val="000000"/>
                      <w:kern w:val="0"/>
                      <w:sz w:val="21"/>
                      <w:szCs w:val="21"/>
                      <w:u w:val="none"/>
                      <w:lang w:val="en-US" w:eastAsia="zh-CN" w:bidi="ar"/>
                    </w:rPr>
                    <w:t>1.</w:t>
                  </w:r>
                  <w:r>
                    <w:rPr>
                      <w:rFonts w:hint="eastAsia" w:ascii="Times New Roman" w:hAnsi="Times New Roman" w:cs="Times New Roman"/>
                      <w:b w:val="0"/>
                      <w:bCs/>
                      <w:i w:val="0"/>
                      <w:iCs w:val="0"/>
                      <w:color w:val="000000"/>
                      <w:kern w:val="0"/>
                      <w:sz w:val="21"/>
                      <w:szCs w:val="21"/>
                      <w:u w:val="none"/>
                      <w:lang w:val="en-US" w:eastAsia="zh-CN" w:bidi="ar"/>
                    </w:rPr>
                    <w:t>5</w:t>
                  </w:r>
                </w:p>
              </w:tc>
            </w:tr>
            <w:tr w14:paraId="73EDC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395" w:type="dxa"/>
                  <w:vAlign w:val="center"/>
                </w:tcPr>
                <w:p w14:paraId="539A6F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bookmarkStart w:id="10" w:name="_Toc31565"/>
                  <w:bookmarkStart w:id="11" w:name="_Toc10000"/>
                  <w:r>
                    <w:rPr>
                      <w:rFonts w:hint="eastAsia" w:cs="var(--dsw-font-markdown-table)"/>
                      <w:color w:val="auto"/>
                      <w:kern w:val="0"/>
                      <w:sz w:val="21"/>
                      <w:szCs w:val="24"/>
                      <w:lang w:val="en-US" w:eastAsia="zh-CN" w:bidi="ar"/>
                    </w:rPr>
                    <w:t>EVA鞋底擦清洁剂</w:t>
                  </w:r>
                </w:p>
              </w:tc>
              <w:tc>
                <w:tcPr>
                  <w:tcW w:w="704" w:type="dxa"/>
                  <w:vMerge w:val="continue"/>
                  <w:vAlign w:val="center"/>
                </w:tcPr>
                <w:p w14:paraId="615F58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1103" w:type="dxa"/>
                  <w:vAlign w:val="center"/>
                </w:tcPr>
                <w:p w14:paraId="6A7535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0.014</w:t>
                  </w:r>
                </w:p>
              </w:tc>
              <w:tc>
                <w:tcPr>
                  <w:tcW w:w="1011" w:type="dxa"/>
                  <w:vAlign w:val="center"/>
                </w:tcPr>
                <w:p w14:paraId="223996D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100</w:t>
                  </w:r>
                </w:p>
              </w:tc>
              <w:tc>
                <w:tcPr>
                  <w:tcW w:w="989" w:type="dxa"/>
                  <w:vAlign w:val="center"/>
                </w:tcPr>
                <w:p w14:paraId="4CEE1B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20</w:t>
                  </w:r>
                </w:p>
              </w:tc>
              <w:tc>
                <w:tcPr>
                  <w:tcW w:w="1011" w:type="dxa"/>
                  <w:vAlign w:val="center"/>
                </w:tcPr>
                <w:p w14:paraId="25A11F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w:t>
                  </w:r>
                </w:p>
              </w:tc>
              <w:tc>
                <w:tcPr>
                  <w:tcW w:w="1091" w:type="dxa"/>
                  <w:vAlign w:val="center"/>
                </w:tcPr>
                <w:p w14:paraId="298F60C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1.09</w:t>
                  </w:r>
                </w:p>
              </w:tc>
              <w:tc>
                <w:tcPr>
                  <w:tcW w:w="691" w:type="dxa"/>
                  <w:vAlign w:val="center"/>
                </w:tcPr>
                <w:p w14:paraId="7C0E22B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95%</w:t>
                  </w:r>
                </w:p>
              </w:tc>
              <w:tc>
                <w:tcPr>
                  <w:tcW w:w="889" w:type="dxa"/>
                  <w:vAlign w:val="center"/>
                </w:tcPr>
                <w:p w14:paraId="044695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bCs/>
                      <w:i w:val="0"/>
                      <w:iCs w:val="0"/>
                      <w:color w:val="auto"/>
                      <w:kern w:val="0"/>
                      <w:sz w:val="21"/>
                      <w:szCs w:val="21"/>
                      <w:u w:val="none"/>
                      <w:lang w:val="en-US" w:eastAsia="zh-CN" w:bidi="ar"/>
                    </w:rPr>
                  </w:pPr>
                  <w:r>
                    <w:rPr>
                      <w:rFonts w:hint="default" w:ascii="Times New Roman" w:hAnsi="Times New Roman" w:eastAsia="宋体" w:cs="Times New Roman"/>
                      <w:b w:val="0"/>
                      <w:bCs/>
                      <w:i w:val="0"/>
                      <w:iCs w:val="0"/>
                      <w:color w:val="000000"/>
                      <w:kern w:val="0"/>
                      <w:sz w:val="21"/>
                      <w:szCs w:val="21"/>
                      <w:u w:val="none"/>
                      <w:lang w:val="en-US" w:eastAsia="zh-CN" w:bidi="ar"/>
                    </w:rPr>
                    <w:t>0.32</w:t>
                  </w:r>
                </w:p>
              </w:tc>
              <w:tc>
                <w:tcPr>
                  <w:tcW w:w="889" w:type="dxa"/>
                  <w:vAlign w:val="center"/>
                </w:tcPr>
                <w:p w14:paraId="66E9F8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bCs/>
                      <w:i w:val="0"/>
                      <w:iCs w:val="0"/>
                      <w:color w:val="auto"/>
                      <w:kern w:val="0"/>
                      <w:sz w:val="21"/>
                      <w:szCs w:val="21"/>
                      <w:u w:val="none"/>
                      <w:lang w:val="en-US" w:eastAsia="zh-CN" w:bidi="ar"/>
                    </w:rPr>
                  </w:pPr>
                  <w:r>
                    <w:rPr>
                      <w:rFonts w:hint="eastAsia" w:ascii="Times New Roman" w:hAnsi="Times New Roman" w:eastAsia="宋体" w:cs="宋体"/>
                      <w:b w:val="0"/>
                      <w:bCs/>
                      <w:i w:val="0"/>
                      <w:iCs w:val="0"/>
                      <w:color w:val="000000"/>
                      <w:kern w:val="0"/>
                      <w:sz w:val="21"/>
                      <w:szCs w:val="21"/>
                      <w:u w:val="none"/>
                      <w:lang w:val="en-US" w:eastAsia="zh-CN" w:bidi="ar"/>
                    </w:rPr>
                    <w:t>0.</w:t>
                  </w:r>
                  <w:r>
                    <w:rPr>
                      <w:rFonts w:hint="eastAsia" w:ascii="Times New Roman" w:hAnsi="Times New Roman" w:cs="宋体"/>
                      <w:b w:val="0"/>
                      <w:bCs/>
                      <w:i w:val="0"/>
                      <w:iCs w:val="0"/>
                      <w:color w:val="000000"/>
                      <w:kern w:val="0"/>
                      <w:sz w:val="21"/>
                      <w:szCs w:val="21"/>
                      <w:u w:val="none"/>
                      <w:lang w:val="en-US" w:eastAsia="zh-CN" w:bidi="ar"/>
                    </w:rPr>
                    <w:t>5</w:t>
                  </w:r>
                </w:p>
              </w:tc>
            </w:tr>
            <w:tr w14:paraId="4C48A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395" w:type="dxa"/>
                  <w:vAlign w:val="center"/>
                </w:tcPr>
                <w:p w14:paraId="4076FF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鞋面擦清洁剂</w:t>
                  </w:r>
                </w:p>
              </w:tc>
              <w:tc>
                <w:tcPr>
                  <w:tcW w:w="704" w:type="dxa"/>
                  <w:vMerge w:val="continue"/>
                  <w:vAlign w:val="center"/>
                </w:tcPr>
                <w:p w14:paraId="78BFDB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1103" w:type="dxa"/>
                  <w:vAlign w:val="center"/>
                </w:tcPr>
                <w:p w14:paraId="2E904DA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0.014</w:t>
                  </w:r>
                </w:p>
              </w:tc>
              <w:tc>
                <w:tcPr>
                  <w:tcW w:w="1011" w:type="dxa"/>
                  <w:vAlign w:val="center"/>
                </w:tcPr>
                <w:p w14:paraId="1E3E66F3">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500</w:t>
                  </w:r>
                </w:p>
              </w:tc>
              <w:tc>
                <w:tcPr>
                  <w:tcW w:w="989" w:type="dxa"/>
                  <w:vAlign w:val="center"/>
                </w:tcPr>
                <w:p w14:paraId="03518CF4">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20</w:t>
                  </w:r>
                </w:p>
              </w:tc>
              <w:tc>
                <w:tcPr>
                  <w:tcW w:w="1011" w:type="dxa"/>
                  <w:vAlign w:val="center"/>
                </w:tcPr>
                <w:p w14:paraId="51B340CE">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w:t>
                  </w:r>
                </w:p>
              </w:tc>
              <w:tc>
                <w:tcPr>
                  <w:tcW w:w="1091" w:type="dxa"/>
                  <w:vAlign w:val="center"/>
                </w:tcPr>
                <w:p w14:paraId="684BEF3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1.09</w:t>
                  </w:r>
                </w:p>
              </w:tc>
              <w:tc>
                <w:tcPr>
                  <w:tcW w:w="691" w:type="dxa"/>
                  <w:vAlign w:val="center"/>
                </w:tcPr>
                <w:p w14:paraId="0513488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95%</w:t>
                  </w:r>
                </w:p>
              </w:tc>
              <w:tc>
                <w:tcPr>
                  <w:tcW w:w="889" w:type="dxa"/>
                  <w:vAlign w:val="center"/>
                </w:tcPr>
                <w:p w14:paraId="678604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bCs/>
                      <w:i w:val="0"/>
                      <w:iCs w:val="0"/>
                      <w:color w:val="auto"/>
                      <w:kern w:val="0"/>
                      <w:sz w:val="21"/>
                      <w:szCs w:val="21"/>
                      <w:u w:val="none"/>
                      <w:lang w:val="en-US" w:eastAsia="zh-CN" w:bidi="ar"/>
                    </w:rPr>
                  </w:pPr>
                  <w:r>
                    <w:rPr>
                      <w:rFonts w:hint="default" w:ascii="Times New Roman" w:hAnsi="Times New Roman" w:eastAsia="宋体" w:cs="Times New Roman"/>
                      <w:b w:val="0"/>
                      <w:bCs/>
                      <w:i w:val="0"/>
                      <w:iCs w:val="0"/>
                      <w:color w:val="000000"/>
                      <w:kern w:val="0"/>
                      <w:sz w:val="21"/>
                      <w:szCs w:val="21"/>
                      <w:u w:val="none"/>
                      <w:lang w:val="en-US" w:eastAsia="zh-CN" w:bidi="ar"/>
                    </w:rPr>
                    <w:t>1.61</w:t>
                  </w:r>
                </w:p>
              </w:tc>
              <w:tc>
                <w:tcPr>
                  <w:tcW w:w="889" w:type="dxa"/>
                  <w:vAlign w:val="center"/>
                </w:tcPr>
                <w:p w14:paraId="6B2438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bCs/>
                      <w:i w:val="0"/>
                      <w:iCs w:val="0"/>
                      <w:color w:val="auto"/>
                      <w:kern w:val="0"/>
                      <w:sz w:val="21"/>
                      <w:szCs w:val="21"/>
                      <w:u w:val="none"/>
                      <w:lang w:val="en-US" w:eastAsia="zh-CN" w:bidi="ar"/>
                    </w:rPr>
                  </w:pPr>
                  <w:r>
                    <w:rPr>
                      <w:rFonts w:hint="eastAsia" w:ascii="Times New Roman" w:hAnsi="Times New Roman" w:eastAsia="宋体" w:cs="宋体"/>
                      <w:b w:val="0"/>
                      <w:bCs/>
                      <w:i w:val="0"/>
                      <w:iCs w:val="0"/>
                      <w:color w:val="000000"/>
                      <w:kern w:val="0"/>
                      <w:sz w:val="21"/>
                      <w:szCs w:val="21"/>
                      <w:u w:val="none"/>
                      <w:lang w:val="en-US" w:eastAsia="zh-CN" w:bidi="ar"/>
                    </w:rPr>
                    <w:t>1.7</w:t>
                  </w:r>
                </w:p>
              </w:tc>
            </w:tr>
            <w:tr w14:paraId="69C6E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jc w:val="center"/>
              </w:trPr>
              <w:tc>
                <w:tcPr>
                  <w:tcW w:w="9773" w:type="dxa"/>
                  <w:gridSpan w:val="10"/>
                  <w:vAlign w:val="center"/>
                </w:tcPr>
                <w:p w14:paraId="3731270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rFonts w:hint="default" w:ascii="Times New Roman" w:hAnsi="Times New Roman" w:eastAsia="宋体"/>
                      <w:b w:val="0"/>
                      <w:bCs w:val="0"/>
                      <w:color w:val="auto"/>
                      <w:sz w:val="21"/>
                    </w:rPr>
                  </w:pPr>
                  <w:r>
                    <w:rPr>
                      <w:rFonts w:hint="default" w:ascii="Times New Roman" w:hAnsi="Times New Roman" w:eastAsia="宋体" w:cs="var(--dsw-font-markdown-h2)"/>
                      <w:b w:val="0"/>
                      <w:bCs w:val="0"/>
                      <w:i w:val="0"/>
                      <w:iCs w:val="0"/>
                      <w:caps w:val="0"/>
                      <w:color w:val="auto"/>
                      <w:spacing w:val="0"/>
                      <w:sz w:val="21"/>
                      <w:shd w:val="clear" w:fill="FFFFFF"/>
                    </w:rPr>
                    <w:t>注：</w:t>
                  </w:r>
                  <w:r>
                    <w:rPr>
                      <w:rFonts w:hint="default" w:ascii="Times New Roman" w:hAnsi="Times New Roman" w:eastAsia="宋体" w:cs="var(--dsw-font-markdown-h3)"/>
                      <w:b w:val="0"/>
                      <w:bCs w:val="0"/>
                      <w:i w:val="0"/>
                      <w:iCs w:val="0"/>
                      <w:caps w:val="0"/>
                      <w:color w:val="auto"/>
                      <w:spacing w:val="0"/>
                      <w:sz w:val="21"/>
                      <w:shd w:val="clear" w:fill="FFFFFF"/>
                    </w:rPr>
                    <w:t>①</w:t>
                  </w:r>
                  <w:bookmarkEnd w:id="10"/>
                  <w:bookmarkEnd w:id="11"/>
                  <w:r>
                    <w:rPr>
                      <w:rFonts w:hint="eastAsia" w:cs="var(--dsw-font-markdown-table)"/>
                      <w:b w:val="0"/>
                      <w:bCs w:val="0"/>
                      <w:color w:val="auto"/>
                      <w:kern w:val="0"/>
                      <w:sz w:val="21"/>
                      <w:szCs w:val="24"/>
                      <w:lang w:val="en-US" w:eastAsia="zh-CN" w:bidi="ar"/>
                    </w:rPr>
                    <w:t>EVA鞋底擦清洁剂和</w:t>
                  </w:r>
                  <w:r>
                    <w:rPr>
                      <w:rFonts w:hint="eastAsia" w:cs="var(--dsw-font-markdown-h3)"/>
                      <w:b w:val="0"/>
                      <w:bCs w:val="0"/>
                      <w:i w:val="0"/>
                      <w:iCs w:val="0"/>
                      <w:caps w:val="0"/>
                      <w:color w:val="auto"/>
                      <w:spacing w:val="0"/>
                      <w:sz w:val="21"/>
                      <w:shd w:val="clear" w:fill="FFFFFF"/>
                      <w:lang w:val="en-US" w:eastAsia="zh-CN"/>
                    </w:rPr>
                    <w:t>橡胶</w:t>
                  </w:r>
                  <w:r>
                    <w:rPr>
                      <w:rFonts w:hint="eastAsia" w:cs="var(--dsw-font-markdown-base)"/>
                      <w:b w:val="0"/>
                      <w:bCs w:val="0"/>
                      <w:i w:val="0"/>
                      <w:iCs w:val="0"/>
                      <w:caps w:val="0"/>
                      <w:color w:val="auto"/>
                      <w:spacing w:val="0"/>
                      <w:sz w:val="21"/>
                      <w:szCs w:val="21"/>
                      <w:shd w:val="clear" w:fill="FFFFFF"/>
                      <w:lang w:val="en-US" w:eastAsia="zh-CN"/>
                    </w:rPr>
                    <w:t>鞋底</w:t>
                  </w:r>
                  <w:r>
                    <w:rPr>
                      <w:rFonts w:hint="default" w:ascii="Times New Roman" w:hAnsi="Times New Roman" w:eastAsia="宋体" w:cs="var(--dsw-font-markdown-base)"/>
                      <w:b w:val="0"/>
                      <w:bCs w:val="0"/>
                      <w:i w:val="0"/>
                      <w:iCs w:val="0"/>
                      <w:caps w:val="0"/>
                      <w:color w:val="auto"/>
                      <w:spacing w:val="0"/>
                      <w:sz w:val="21"/>
                      <w:szCs w:val="21"/>
                      <w:shd w:val="clear" w:fill="FFFFFF"/>
                    </w:rPr>
                    <w:t>刷</w:t>
                  </w:r>
                  <w:r>
                    <w:rPr>
                      <w:rFonts w:hint="eastAsia" w:cs="var(--dsw-font-markdown-base)"/>
                      <w:b w:val="0"/>
                      <w:bCs w:val="0"/>
                      <w:i w:val="0"/>
                      <w:iCs w:val="0"/>
                      <w:caps w:val="0"/>
                      <w:color w:val="auto"/>
                      <w:spacing w:val="0"/>
                      <w:sz w:val="21"/>
                      <w:szCs w:val="21"/>
                      <w:shd w:val="clear" w:fill="FFFFFF"/>
                      <w:lang w:val="en-US" w:eastAsia="zh-CN"/>
                    </w:rPr>
                    <w:t>水性橡胶</w:t>
                  </w:r>
                  <w:r>
                    <w:rPr>
                      <w:rFonts w:hint="default" w:ascii="Times New Roman" w:hAnsi="Times New Roman" w:eastAsia="宋体" w:cs="var(--dsw-font-markdown-base)"/>
                      <w:b w:val="0"/>
                      <w:bCs w:val="0"/>
                      <w:i w:val="0"/>
                      <w:iCs w:val="0"/>
                      <w:caps w:val="0"/>
                      <w:color w:val="auto"/>
                      <w:spacing w:val="0"/>
                      <w:sz w:val="21"/>
                      <w:szCs w:val="21"/>
                      <w:shd w:val="clear" w:fill="FFFFFF"/>
                    </w:rPr>
                    <w:t>处理剂</w:t>
                  </w:r>
                  <w:r>
                    <w:rPr>
                      <w:rFonts w:hint="eastAsia" w:cs="var(--dsw-font-markdown-base)"/>
                      <w:b w:val="0"/>
                      <w:bCs w:val="0"/>
                      <w:i w:val="0"/>
                      <w:iCs w:val="0"/>
                      <w:caps w:val="0"/>
                      <w:color w:val="auto"/>
                      <w:spacing w:val="0"/>
                      <w:sz w:val="21"/>
                      <w:szCs w:val="21"/>
                      <w:shd w:val="clear" w:fill="FFFFFF"/>
                      <w:lang w:val="en-US" w:eastAsia="zh-CN"/>
                    </w:rPr>
                    <w:t>的面积</w:t>
                  </w:r>
                  <w:r>
                    <w:rPr>
                      <w:rFonts w:hint="default" w:ascii="Times New Roman" w:hAnsi="Times New Roman" w:eastAsia="宋体" w:cs="var(--dsw-font-markdown-base)"/>
                      <w:b w:val="0"/>
                      <w:bCs w:val="0"/>
                      <w:i w:val="0"/>
                      <w:iCs w:val="0"/>
                      <w:caps w:val="0"/>
                      <w:color w:val="auto"/>
                      <w:spacing w:val="0"/>
                      <w:sz w:val="21"/>
                      <w:szCs w:val="21"/>
                      <w:shd w:val="clear" w:fill="FFFFFF"/>
                    </w:rPr>
                    <w:t>与</w:t>
                  </w:r>
                  <w:r>
                    <w:rPr>
                      <w:rFonts w:hint="eastAsia" w:cs="var(--dsw-font-markdown-base)"/>
                      <w:b w:val="0"/>
                      <w:bCs w:val="0"/>
                      <w:i w:val="0"/>
                      <w:iCs w:val="0"/>
                      <w:caps w:val="0"/>
                      <w:color w:val="auto"/>
                      <w:spacing w:val="0"/>
                      <w:sz w:val="21"/>
                      <w:szCs w:val="21"/>
                      <w:shd w:val="clear" w:fill="FFFFFF"/>
                      <w:lang w:val="en-US" w:eastAsia="zh-CN"/>
                    </w:rPr>
                    <w:t>鞋底</w:t>
                  </w:r>
                  <w:r>
                    <w:rPr>
                      <w:rFonts w:hint="default" w:ascii="Times New Roman" w:hAnsi="Times New Roman" w:eastAsia="宋体" w:cs="var(--dsw-font-markdown-base)"/>
                      <w:b w:val="0"/>
                      <w:bCs w:val="0"/>
                      <w:i w:val="0"/>
                      <w:iCs w:val="0"/>
                      <w:caps w:val="0"/>
                      <w:color w:val="auto"/>
                      <w:spacing w:val="0"/>
                      <w:sz w:val="21"/>
                      <w:szCs w:val="21"/>
                      <w:shd w:val="clear" w:fill="FFFFFF"/>
                    </w:rPr>
                    <w:t>刷涂胶面积一致</w:t>
                  </w:r>
                  <w:r>
                    <w:rPr>
                      <w:rFonts w:hint="eastAsia" w:cs="var(--dsw-font-markdown-base)"/>
                      <w:b w:val="0"/>
                      <w:bCs w:val="0"/>
                      <w:i w:val="0"/>
                      <w:iCs w:val="0"/>
                      <w:caps w:val="0"/>
                      <w:color w:val="auto"/>
                      <w:spacing w:val="0"/>
                      <w:sz w:val="21"/>
                      <w:szCs w:val="21"/>
                      <w:shd w:val="clear" w:fill="FFFFFF"/>
                      <w:lang w:eastAsia="zh-CN"/>
                    </w:rPr>
                    <w:t>（</w:t>
                  </w:r>
                  <w:r>
                    <w:rPr>
                      <w:rFonts w:hint="eastAsia" w:cs="var(--dsw-font-markdown-base)"/>
                      <w:b w:val="0"/>
                      <w:bCs w:val="0"/>
                      <w:i w:val="0"/>
                      <w:iCs w:val="0"/>
                      <w:caps w:val="0"/>
                      <w:color w:val="auto"/>
                      <w:spacing w:val="0"/>
                      <w:sz w:val="21"/>
                      <w:szCs w:val="21"/>
                      <w:shd w:val="clear" w:fill="FFFFFF"/>
                      <w:lang w:val="en-US" w:eastAsia="zh-CN"/>
                    </w:rPr>
                    <w:t>全面涂胶</w:t>
                  </w:r>
                  <w:r>
                    <w:rPr>
                      <w:rFonts w:hint="eastAsia" w:cs="var(--dsw-font-markdown-base)"/>
                      <w:b w:val="0"/>
                      <w:bCs w:val="0"/>
                      <w:i w:val="0"/>
                      <w:iCs w:val="0"/>
                      <w:caps w:val="0"/>
                      <w:color w:val="auto"/>
                      <w:spacing w:val="0"/>
                      <w:sz w:val="21"/>
                      <w:szCs w:val="21"/>
                      <w:shd w:val="clear" w:fill="FFFFFF"/>
                      <w:lang w:eastAsia="zh-CN"/>
                    </w:rPr>
                    <w:t>）</w:t>
                  </w:r>
                  <w:r>
                    <w:rPr>
                      <w:rFonts w:hint="eastAsia" w:ascii="Times New Roman" w:hAnsi="Times New Roman" w:eastAsia="宋体" w:cs="var(--dsw-font-markdown-base)"/>
                      <w:b w:val="0"/>
                      <w:bCs w:val="0"/>
                      <w:i w:val="0"/>
                      <w:iCs w:val="0"/>
                      <w:caps w:val="0"/>
                      <w:color w:val="auto"/>
                      <w:spacing w:val="0"/>
                      <w:sz w:val="21"/>
                      <w:szCs w:val="21"/>
                      <w:shd w:val="clear" w:fill="FFFFFF"/>
                      <w:lang w:eastAsia="zh-CN"/>
                    </w:rPr>
                    <w:t>；</w:t>
                  </w:r>
                  <w:r>
                    <w:rPr>
                      <w:rFonts w:hint="eastAsia" w:cs="var(--dsw-font-markdown-base)"/>
                      <w:b w:val="0"/>
                      <w:bCs w:val="0"/>
                      <w:i w:val="0"/>
                      <w:iCs w:val="0"/>
                      <w:caps w:val="0"/>
                      <w:color w:val="auto"/>
                      <w:spacing w:val="0"/>
                      <w:sz w:val="21"/>
                      <w:szCs w:val="21"/>
                      <w:shd w:val="clear" w:fill="FFFFFF"/>
                      <w:lang w:val="en-US" w:eastAsia="zh-CN"/>
                    </w:rPr>
                    <w:t>成品组装过程中</w:t>
                  </w:r>
                  <w:r>
                    <w:rPr>
                      <w:rFonts w:hint="default" w:ascii="Times New Roman" w:hAnsi="Times New Roman" w:eastAsia="宋体" w:cs="var(--dsw-font-markdown-base)"/>
                      <w:b w:val="0"/>
                      <w:bCs w:val="0"/>
                      <w:i w:val="0"/>
                      <w:iCs w:val="0"/>
                      <w:caps w:val="0"/>
                      <w:color w:val="auto"/>
                      <w:spacing w:val="0"/>
                      <w:sz w:val="21"/>
                      <w:szCs w:val="21"/>
                      <w:shd w:val="clear" w:fill="FFFFFF"/>
                    </w:rPr>
                    <w:t>刷</w:t>
                  </w:r>
                  <w:r>
                    <w:rPr>
                      <w:rFonts w:hint="eastAsia" w:cs="var(--dsw-font-markdown-base)"/>
                      <w:b w:val="0"/>
                      <w:bCs w:val="0"/>
                      <w:i w:val="0"/>
                      <w:iCs w:val="0"/>
                      <w:caps w:val="0"/>
                      <w:color w:val="auto"/>
                      <w:spacing w:val="0"/>
                      <w:sz w:val="21"/>
                      <w:szCs w:val="21"/>
                      <w:shd w:val="clear" w:fill="FFFFFF"/>
                      <w:lang w:val="en-US" w:eastAsia="zh-CN"/>
                    </w:rPr>
                    <w:t>水性橡胶</w:t>
                  </w:r>
                  <w:r>
                    <w:rPr>
                      <w:rFonts w:hint="default" w:ascii="Times New Roman" w:hAnsi="Times New Roman" w:eastAsia="宋体" w:cs="var(--dsw-font-markdown-base)"/>
                      <w:b w:val="0"/>
                      <w:bCs w:val="0"/>
                      <w:i w:val="0"/>
                      <w:iCs w:val="0"/>
                      <w:caps w:val="0"/>
                      <w:color w:val="auto"/>
                      <w:spacing w:val="0"/>
                      <w:sz w:val="21"/>
                      <w:szCs w:val="21"/>
                      <w:shd w:val="clear" w:fill="FFFFFF"/>
                    </w:rPr>
                    <w:t>处理剂与</w:t>
                  </w:r>
                  <w:r>
                    <w:rPr>
                      <w:rFonts w:hint="eastAsia" w:cs="var(--dsw-font-markdown-base)"/>
                      <w:b w:val="0"/>
                      <w:bCs w:val="0"/>
                      <w:i w:val="0"/>
                      <w:iCs w:val="0"/>
                      <w:caps w:val="0"/>
                      <w:color w:val="auto"/>
                      <w:spacing w:val="0"/>
                      <w:sz w:val="21"/>
                      <w:szCs w:val="21"/>
                      <w:shd w:val="clear" w:fill="FFFFFF"/>
                      <w:lang w:val="en-US" w:eastAsia="zh-CN"/>
                    </w:rPr>
                    <w:t>成品组装过程中</w:t>
                  </w:r>
                  <w:r>
                    <w:rPr>
                      <w:rFonts w:hint="default" w:ascii="Times New Roman" w:hAnsi="Times New Roman" w:eastAsia="宋体" w:cs="var(--dsw-font-markdown-base)"/>
                      <w:b w:val="0"/>
                      <w:bCs w:val="0"/>
                      <w:i w:val="0"/>
                      <w:iCs w:val="0"/>
                      <w:caps w:val="0"/>
                      <w:color w:val="auto"/>
                      <w:spacing w:val="0"/>
                      <w:sz w:val="21"/>
                      <w:szCs w:val="21"/>
                      <w:shd w:val="clear" w:fill="FFFFFF"/>
                    </w:rPr>
                    <w:t>涂胶面积一致（边缘涂布）</w:t>
                  </w:r>
                  <w:r>
                    <w:rPr>
                      <w:rFonts w:hint="eastAsia" w:ascii="Times New Roman" w:cs="var(--dsw-font-markdown-base)"/>
                      <w:b w:val="0"/>
                      <w:bCs w:val="0"/>
                      <w:i w:val="0"/>
                      <w:iCs w:val="0"/>
                      <w:caps w:val="0"/>
                      <w:color w:val="auto"/>
                      <w:spacing w:val="0"/>
                      <w:sz w:val="21"/>
                      <w:szCs w:val="21"/>
                      <w:shd w:val="clear" w:fill="FFFFFF"/>
                      <w:lang w:eastAsia="zh-CN"/>
                    </w:rPr>
                    <w:t>；</w:t>
                  </w:r>
                </w:p>
                <w:p w14:paraId="15561A3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rFonts w:hint="eastAsia" w:cs="var(--dsw-font-markdown-base)"/>
                      <w:b w:val="0"/>
                      <w:bCs w:val="0"/>
                      <w:i w:val="0"/>
                      <w:iCs w:val="0"/>
                      <w:caps w:val="0"/>
                      <w:color w:val="auto"/>
                      <w:spacing w:val="0"/>
                      <w:sz w:val="21"/>
                      <w:szCs w:val="21"/>
                      <w:shd w:val="clear" w:fill="FFFFFF"/>
                      <w:lang w:val="en-US" w:eastAsia="zh-CN"/>
                    </w:rPr>
                  </w:pPr>
                  <w:bookmarkStart w:id="12" w:name="_Toc27317"/>
                  <w:bookmarkStart w:id="13" w:name="_Toc12267"/>
                  <w:r>
                    <w:rPr>
                      <w:rFonts w:hint="default" w:ascii="Times New Roman" w:hAnsi="Times New Roman" w:eastAsia="宋体" w:cs="var(--dsw-font-markdown-h3)"/>
                      <w:b w:val="0"/>
                      <w:bCs w:val="0"/>
                      <w:i w:val="0"/>
                      <w:iCs w:val="0"/>
                      <w:caps w:val="0"/>
                      <w:color w:val="auto"/>
                      <w:spacing w:val="0"/>
                      <w:sz w:val="21"/>
                      <w:shd w:val="clear" w:fill="FFFFFF"/>
                    </w:rPr>
                    <w:t>②</w:t>
                  </w:r>
                  <w:bookmarkEnd w:id="12"/>
                  <w:r>
                    <w:rPr>
                      <w:rFonts w:hint="default" w:ascii="Times New Roman" w:hAnsi="Times New Roman" w:eastAsia="宋体" w:cs="var(--dsw-font-markdown-h3)"/>
                      <w:b w:val="0"/>
                      <w:bCs w:val="0"/>
                      <w:i w:val="0"/>
                      <w:iCs w:val="0"/>
                      <w:caps w:val="0"/>
                      <w:color w:val="auto"/>
                      <w:spacing w:val="0"/>
                      <w:sz w:val="21"/>
                      <w:shd w:val="clear" w:fill="FFFFFF"/>
                    </w:rPr>
                    <w:t>涂布次数说明</w:t>
                  </w:r>
                  <w:r>
                    <w:rPr>
                      <w:rFonts w:hint="eastAsia" w:cs="var(--dsw-font-markdown-h3)"/>
                      <w:b w:val="0"/>
                      <w:bCs w:val="0"/>
                      <w:i w:val="0"/>
                      <w:iCs w:val="0"/>
                      <w:caps w:val="0"/>
                      <w:color w:val="auto"/>
                      <w:spacing w:val="0"/>
                      <w:sz w:val="21"/>
                      <w:shd w:val="clear" w:fill="FFFFFF"/>
                      <w:lang w:eastAsia="zh-CN"/>
                    </w:rPr>
                    <w:t>：</w:t>
                  </w:r>
                  <w:r>
                    <w:rPr>
                      <w:rFonts w:hint="default" w:ascii="Times New Roman" w:hAnsi="Times New Roman" w:eastAsia="宋体" w:cs="var(--dsw-font-markdown-table)"/>
                      <w:b w:val="0"/>
                      <w:bCs w:val="0"/>
                      <w:color w:val="auto"/>
                      <w:kern w:val="0"/>
                      <w:sz w:val="21"/>
                      <w:szCs w:val="24"/>
                      <w:lang w:val="en-US" w:eastAsia="zh-CN" w:bidi="ar"/>
                    </w:rPr>
                    <w:t>成品</w:t>
                  </w:r>
                  <w:r>
                    <w:rPr>
                      <w:rFonts w:hint="eastAsia" w:cs="var(--dsw-font-markdown-table)"/>
                      <w:b w:val="0"/>
                      <w:bCs w:val="0"/>
                      <w:color w:val="auto"/>
                      <w:kern w:val="0"/>
                      <w:sz w:val="21"/>
                      <w:szCs w:val="24"/>
                      <w:lang w:val="en-US" w:eastAsia="zh-CN" w:bidi="ar"/>
                    </w:rPr>
                    <w:t>组装</w:t>
                  </w:r>
                  <w:r>
                    <w:rPr>
                      <w:rFonts w:hint="eastAsia" w:cs="var(--dsw-font-markdown-table-h"/>
                      <w:b w:val="0"/>
                      <w:bCs w:val="0"/>
                      <w:color w:val="auto"/>
                      <w:kern w:val="0"/>
                      <w:sz w:val="21"/>
                      <w:szCs w:val="24"/>
                      <w:lang w:val="en-US" w:eastAsia="zh-CN" w:bidi="ar"/>
                    </w:rPr>
                    <w:t>复合鞋底400万双/年、</w:t>
                  </w:r>
                  <w:r>
                    <w:rPr>
                      <w:rFonts w:hint="default" w:ascii="Times New Roman" w:hAnsi="Times New Roman" w:eastAsia="宋体" w:cs="var(--dsw-font-markdown-table)"/>
                      <w:b w:val="0"/>
                      <w:bCs w:val="0"/>
                      <w:color w:val="auto"/>
                      <w:kern w:val="0"/>
                      <w:sz w:val="21"/>
                      <w:szCs w:val="24"/>
                      <w:lang w:val="en-US" w:eastAsia="zh-CN" w:bidi="ar"/>
                    </w:rPr>
                    <w:t>成品</w:t>
                  </w:r>
                  <w:r>
                    <w:rPr>
                      <w:rFonts w:hint="eastAsia" w:cs="var(--dsw-font-markdown-table)"/>
                      <w:b w:val="0"/>
                      <w:bCs w:val="0"/>
                      <w:color w:val="auto"/>
                      <w:kern w:val="0"/>
                      <w:sz w:val="21"/>
                      <w:szCs w:val="24"/>
                      <w:lang w:val="en-US" w:eastAsia="zh-CN" w:bidi="ar"/>
                    </w:rPr>
                    <w:t>组装EVA鞋底擦清洁剂100万双/年、鞋面擦清洁剂500万双/年；</w:t>
                  </w:r>
                  <w:r>
                    <w:rPr>
                      <w:rFonts w:hint="eastAsia" w:cs="var(--dsw-font-markdown-base)"/>
                      <w:b w:val="0"/>
                      <w:bCs w:val="0"/>
                      <w:i w:val="0"/>
                      <w:iCs w:val="0"/>
                      <w:caps w:val="0"/>
                      <w:color w:val="auto"/>
                      <w:spacing w:val="0"/>
                      <w:sz w:val="21"/>
                      <w:szCs w:val="21"/>
                      <w:shd w:val="clear" w:fill="FFFFFF"/>
                      <w:lang w:val="en-US" w:eastAsia="zh-CN"/>
                    </w:rPr>
                    <w:t>EVA鞋底和</w:t>
                  </w:r>
                  <w:r>
                    <w:rPr>
                      <w:rFonts w:hint="eastAsia" w:ascii="Times New Roman" w:hAnsi="Times New Roman" w:cs="var(--dsw-font-markdown-base)"/>
                      <w:b w:val="0"/>
                      <w:bCs w:val="0"/>
                      <w:i w:val="0"/>
                      <w:iCs w:val="0"/>
                      <w:caps w:val="0"/>
                      <w:color w:val="auto"/>
                      <w:spacing w:val="0"/>
                      <w:sz w:val="21"/>
                      <w:szCs w:val="21"/>
                      <w:shd w:val="clear" w:fill="FFFFFF"/>
                      <w:lang w:val="en-US" w:eastAsia="zh-CN"/>
                    </w:rPr>
                    <w:t>橡胶</w:t>
                  </w:r>
                  <w:r>
                    <w:rPr>
                      <w:rFonts w:hint="eastAsia" w:cs="var(--dsw-font-markdown-table-h"/>
                      <w:b w:val="0"/>
                      <w:bCs w:val="0"/>
                      <w:color w:val="auto"/>
                      <w:kern w:val="0"/>
                      <w:sz w:val="21"/>
                      <w:szCs w:val="24"/>
                      <w:lang w:val="en-US" w:eastAsia="zh-CN" w:bidi="ar"/>
                    </w:rPr>
                    <w:t>鞋底贴合400万双/年，全面</w:t>
                  </w:r>
                  <w:r>
                    <w:rPr>
                      <w:rFonts w:hint="eastAsia" w:cs="var(--dsw-font-markdown-table)"/>
                      <w:b w:val="0"/>
                      <w:bCs w:val="0"/>
                      <w:color w:val="auto"/>
                      <w:kern w:val="0"/>
                      <w:sz w:val="21"/>
                      <w:szCs w:val="24"/>
                      <w:lang w:val="en-US" w:eastAsia="zh-CN" w:bidi="ar"/>
                    </w:rPr>
                    <w:t>刷橡胶处理剂</w:t>
                  </w:r>
                  <w:r>
                    <w:rPr>
                      <w:rFonts w:hint="eastAsia" w:ascii="Times New Roman" w:hAnsi="Times New Roman" w:eastAsia="宋体" w:cs="var(--dsw-font-markdown-base)"/>
                      <w:b w:val="0"/>
                      <w:bCs w:val="0"/>
                      <w:i w:val="0"/>
                      <w:iCs w:val="0"/>
                      <w:caps w:val="0"/>
                      <w:color w:val="auto"/>
                      <w:spacing w:val="0"/>
                      <w:sz w:val="21"/>
                      <w:szCs w:val="21"/>
                      <w:shd w:val="clear" w:fill="FFFFFF"/>
                      <w:lang w:val="en-US" w:eastAsia="zh-CN"/>
                    </w:rPr>
                    <w:t>一次</w:t>
                  </w:r>
                  <w:r>
                    <w:rPr>
                      <w:rFonts w:hint="eastAsia" w:cs="var(--dsw-font-markdown-base)"/>
                      <w:b w:val="0"/>
                      <w:bCs w:val="0"/>
                      <w:i w:val="0"/>
                      <w:iCs w:val="0"/>
                      <w:caps w:val="0"/>
                      <w:color w:val="auto"/>
                      <w:spacing w:val="0"/>
                      <w:sz w:val="21"/>
                      <w:szCs w:val="21"/>
                      <w:shd w:val="clear" w:fill="FFFFFF"/>
                      <w:lang w:val="en-US" w:eastAsia="zh-CN"/>
                    </w:rPr>
                    <w:t>。</w:t>
                  </w:r>
                  <w:bookmarkEnd w:id="13"/>
                </w:p>
                <w:p w14:paraId="4CD265C8">
                  <w:pPr>
                    <w:keepNext w:val="0"/>
                    <w:keepLines w:val="0"/>
                    <w:suppressLineNumbers w:val="0"/>
                    <w:spacing w:before="0" w:beforeAutospacing="0" w:after="0" w:afterAutospacing="0"/>
                    <w:ind w:left="0" w:right="0"/>
                    <w:rPr>
                      <w:rFonts w:hint="default"/>
                      <w:lang w:val="en-US" w:eastAsia="zh-CN"/>
                    </w:rPr>
                  </w:pPr>
                  <w:r>
                    <w:rPr>
                      <w:rFonts w:hint="default" w:ascii="Calibri" w:hAnsi="Calibri" w:cs="Calibri"/>
                      <w:lang w:val="en-US" w:eastAsia="zh-CN"/>
                    </w:rPr>
                    <w:t>③</w:t>
                  </w:r>
                  <w:r>
                    <w:rPr>
                      <w:rFonts w:hint="eastAsia" w:cs="var(--dsw-font-markdown-base)"/>
                      <w:b w:val="0"/>
                      <w:bCs w:val="0"/>
                      <w:i w:val="0"/>
                      <w:iCs w:val="0"/>
                      <w:caps w:val="0"/>
                      <w:color w:val="auto"/>
                      <w:spacing w:val="0"/>
                      <w:sz w:val="21"/>
                      <w:szCs w:val="21"/>
                      <w:shd w:val="clear" w:fill="FFFFFF"/>
                      <w:lang w:val="en-US" w:eastAsia="zh-CN"/>
                    </w:rPr>
                    <w:t>综上橡胶处理剂4t/a、清洁剂用量4.5t/a，满足要求。</w:t>
                  </w:r>
                </w:p>
              </w:tc>
            </w:tr>
          </w:tbl>
          <w:p w14:paraId="3AC5038F">
            <w:pPr>
              <w:keepNext w:val="0"/>
              <w:keepLines w:val="0"/>
              <w:pageBreakBefore w:val="0"/>
              <w:widowControl/>
              <w:numPr>
                <w:ilvl w:val="0"/>
                <w:numId w:val="12"/>
              </w:numPr>
              <w:suppressLineNumbers w:val="0"/>
              <w:kinsoku/>
              <w:wordWrap/>
              <w:overflowPunct/>
              <w:topLinePunct w:val="0"/>
              <w:autoSpaceDE/>
              <w:autoSpaceDN/>
              <w:bidi w:val="0"/>
              <w:adjustRightInd/>
              <w:snapToGrid/>
              <w:spacing w:before="157" w:beforeLines="50" w:beforeAutospacing="0" w:after="0" w:afterAutospacing="0" w:line="360" w:lineRule="auto"/>
              <w:ind w:left="0" w:leftChars="0" w:right="0" w:rightChars="0" w:firstLine="422" w:firstLineChars="200"/>
              <w:jc w:val="left"/>
              <w:textAlignment w:val="auto"/>
              <w:rPr>
                <w:rFonts w:hint="default" w:ascii="Times New Roman" w:hAnsi="Times New Roman" w:eastAsia="宋体" w:cs="var(--dsw-font-markdown-table)"/>
                <w:b/>
                <w:color w:val="auto"/>
                <w:kern w:val="0"/>
                <w:sz w:val="21"/>
                <w:szCs w:val="24"/>
                <w:lang w:val="en-US" w:eastAsia="zh-CN" w:bidi="ar"/>
              </w:rPr>
            </w:pPr>
            <w:r>
              <w:rPr>
                <w:rFonts w:hint="eastAsia" w:ascii="Times New Roman" w:hAnsi="Times New Roman" w:eastAsia="宋体" w:cs="var(--dsw-font-markdown-table)"/>
                <w:b/>
                <w:color w:val="auto"/>
                <w:kern w:val="0"/>
                <w:sz w:val="21"/>
                <w:szCs w:val="24"/>
                <w:lang w:val="en-US" w:eastAsia="zh-CN" w:bidi="ar"/>
              </w:rPr>
              <w:t>油墨原料用量核算：</w:t>
            </w:r>
          </w:p>
          <w:p w14:paraId="28FB1D72">
            <w:pPr>
              <w:pStyle w:val="9"/>
              <w:numPr>
                <w:ilvl w:val="0"/>
                <w:numId w:val="8"/>
              </w:numPr>
              <w:suppressLineNumbers w:val="0"/>
              <w:spacing w:before="0" w:beforeAutospacing="0" w:after="0" w:afterAutospacing="0" w:line="240" w:lineRule="auto"/>
              <w:ind w:right="0"/>
              <w:jc w:val="center"/>
              <w:rPr>
                <w:rFonts w:hint="eastAsia" w:ascii="Times New Roman" w:hAnsi="Times New Roman" w:eastAsia="宋体"/>
                <w:b/>
                <w:color w:val="auto"/>
                <w:sz w:val="21"/>
                <w:szCs w:val="24"/>
              </w:rPr>
            </w:pPr>
            <w:r>
              <w:rPr>
                <w:rFonts w:hint="eastAsia" w:ascii="Times New Roman" w:hAnsi="Times New Roman" w:eastAsia="宋体"/>
                <w:b/>
                <w:color w:val="auto"/>
                <w:sz w:val="21"/>
                <w:szCs w:val="24"/>
              </w:rPr>
              <w:t>油墨原料用量核算表</w:t>
            </w:r>
          </w:p>
          <w:tbl>
            <w:tblPr>
              <w:tblStyle w:val="48"/>
              <w:tblW w:w="98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8"/>
              <w:gridCol w:w="970"/>
              <w:gridCol w:w="1068"/>
              <w:gridCol w:w="1023"/>
              <w:gridCol w:w="1000"/>
              <w:gridCol w:w="881"/>
              <w:gridCol w:w="751"/>
              <w:gridCol w:w="710"/>
              <w:gridCol w:w="649"/>
              <w:gridCol w:w="872"/>
              <w:gridCol w:w="872"/>
            </w:tblGrid>
            <w:tr w14:paraId="5DD70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1078" w:type="dxa"/>
                  <w:vAlign w:val="center"/>
                </w:tcPr>
                <w:p w14:paraId="7789A9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b/>
                      <w:bCs/>
                      <w:color w:val="auto"/>
                      <w:sz w:val="21"/>
                      <w:szCs w:val="21"/>
                    </w:rPr>
                  </w:pPr>
                  <w:r>
                    <w:rPr>
                      <w:rFonts w:hint="default" w:ascii="Times New Roman" w:hAnsi="Times New Roman" w:eastAsia="宋体" w:cs="var(--dsw-font-markdown-table-h"/>
                      <w:b/>
                      <w:bCs/>
                      <w:color w:val="auto"/>
                      <w:kern w:val="0"/>
                      <w:sz w:val="21"/>
                      <w:szCs w:val="24"/>
                      <w:lang w:val="en-US" w:eastAsia="zh-CN" w:bidi="ar"/>
                    </w:rPr>
                    <w:t>油墨类型</w:t>
                  </w:r>
                </w:p>
              </w:tc>
              <w:tc>
                <w:tcPr>
                  <w:tcW w:w="970" w:type="dxa"/>
                  <w:vAlign w:val="center"/>
                </w:tcPr>
                <w:p w14:paraId="30DD67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b/>
                      <w:bCs/>
                      <w:color w:val="auto"/>
                      <w:sz w:val="21"/>
                      <w:szCs w:val="21"/>
                      <w:lang w:val="en-US"/>
                    </w:rPr>
                  </w:pPr>
                  <w:r>
                    <w:rPr>
                      <w:rFonts w:hint="default" w:ascii="Times New Roman" w:hAnsi="Times New Roman" w:eastAsia="宋体" w:cs="var(--dsw-font-markdown-table-h"/>
                      <w:b/>
                      <w:bCs/>
                      <w:color w:val="auto"/>
                      <w:kern w:val="0"/>
                      <w:sz w:val="21"/>
                      <w:szCs w:val="24"/>
                      <w:lang w:val="en-US" w:eastAsia="zh-CN" w:bidi="ar"/>
                    </w:rPr>
                    <w:t>产品数量（万双）</w:t>
                  </w:r>
                </w:p>
              </w:tc>
              <w:tc>
                <w:tcPr>
                  <w:tcW w:w="1068" w:type="dxa"/>
                  <w:vAlign w:val="center"/>
                </w:tcPr>
                <w:p w14:paraId="4D3251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b/>
                      <w:bCs/>
                      <w:color w:val="auto"/>
                      <w:sz w:val="21"/>
                      <w:szCs w:val="21"/>
                    </w:rPr>
                  </w:pPr>
                  <w:r>
                    <w:rPr>
                      <w:rFonts w:hint="default" w:ascii="Times New Roman" w:hAnsi="Times New Roman" w:eastAsia="宋体" w:cs="var(--dsw-font-markdown-table-h"/>
                      <w:b/>
                      <w:bCs/>
                      <w:color w:val="auto"/>
                      <w:kern w:val="0"/>
                      <w:sz w:val="21"/>
                      <w:szCs w:val="24"/>
                      <w:lang w:val="en-US" w:eastAsia="zh-CN" w:bidi="ar"/>
                    </w:rPr>
                    <w:t>单双印刷面积（m²）</w:t>
                  </w:r>
                </w:p>
              </w:tc>
              <w:tc>
                <w:tcPr>
                  <w:tcW w:w="1023" w:type="dxa"/>
                  <w:vAlign w:val="center"/>
                </w:tcPr>
                <w:p w14:paraId="720C42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b/>
                      <w:bCs/>
                      <w:color w:val="auto"/>
                      <w:sz w:val="21"/>
                      <w:szCs w:val="21"/>
                    </w:rPr>
                  </w:pPr>
                  <w:r>
                    <w:rPr>
                      <w:rFonts w:hint="default" w:ascii="Times New Roman" w:hAnsi="Times New Roman" w:eastAsia="宋体" w:cs="var(--dsw-font-markdown-table-h"/>
                      <w:b/>
                      <w:bCs/>
                      <w:color w:val="auto"/>
                      <w:kern w:val="0"/>
                      <w:sz w:val="21"/>
                      <w:szCs w:val="24"/>
                      <w:lang w:val="en-US" w:eastAsia="zh-CN" w:bidi="ar"/>
                    </w:rPr>
                    <w:t>总印刷面积（m²）</w:t>
                  </w:r>
                </w:p>
              </w:tc>
              <w:tc>
                <w:tcPr>
                  <w:tcW w:w="1000" w:type="dxa"/>
                  <w:vAlign w:val="center"/>
                </w:tcPr>
                <w:p w14:paraId="40D06F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b/>
                      <w:bCs/>
                      <w:color w:val="auto"/>
                      <w:sz w:val="21"/>
                      <w:szCs w:val="21"/>
                    </w:rPr>
                  </w:pPr>
                  <w:r>
                    <w:rPr>
                      <w:rFonts w:hint="default" w:ascii="Times New Roman" w:hAnsi="Times New Roman" w:eastAsia="宋体" w:cs="var(--dsw-font-markdown-table-h"/>
                      <w:b/>
                      <w:bCs/>
                      <w:color w:val="auto"/>
                      <w:kern w:val="0"/>
                      <w:sz w:val="21"/>
                      <w:szCs w:val="24"/>
                      <w:lang w:val="en-US" w:eastAsia="zh-CN" w:bidi="ar"/>
                    </w:rPr>
                    <w:t>油墨厚度（μm）</w:t>
                  </w:r>
                </w:p>
              </w:tc>
              <w:tc>
                <w:tcPr>
                  <w:tcW w:w="881" w:type="dxa"/>
                  <w:vAlign w:val="center"/>
                </w:tcPr>
                <w:p w14:paraId="4760E2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b/>
                      <w:bCs/>
                      <w:color w:val="auto"/>
                      <w:sz w:val="21"/>
                      <w:szCs w:val="21"/>
                    </w:rPr>
                  </w:pPr>
                  <w:r>
                    <w:rPr>
                      <w:rFonts w:hint="default" w:ascii="Times New Roman" w:hAnsi="Times New Roman" w:eastAsia="宋体" w:cs="var(--dsw-font-markdown-table-h"/>
                      <w:b/>
                      <w:bCs/>
                      <w:color w:val="auto"/>
                      <w:kern w:val="0"/>
                      <w:sz w:val="21"/>
                      <w:szCs w:val="24"/>
                      <w:lang w:val="en-US" w:eastAsia="zh-CN" w:bidi="ar"/>
                    </w:rPr>
                    <w:t>密度（g/cm³）</w:t>
                  </w:r>
                </w:p>
              </w:tc>
              <w:tc>
                <w:tcPr>
                  <w:tcW w:w="751" w:type="dxa"/>
                  <w:vAlign w:val="center"/>
                </w:tcPr>
                <w:p w14:paraId="3A060C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b/>
                      <w:bCs/>
                      <w:color w:val="auto"/>
                      <w:sz w:val="21"/>
                      <w:szCs w:val="21"/>
                    </w:rPr>
                  </w:pPr>
                  <w:r>
                    <w:rPr>
                      <w:rFonts w:hint="default" w:ascii="Times New Roman" w:hAnsi="Times New Roman" w:eastAsia="宋体" w:cs="var(--dsw-font-markdown-table-h"/>
                      <w:b/>
                      <w:bCs/>
                      <w:color w:val="auto"/>
                      <w:kern w:val="0"/>
                      <w:sz w:val="21"/>
                      <w:szCs w:val="24"/>
                      <w:lang w:val="en-US" w:eastAsia="zh-CN" w:bidi="ar"/>
                    </w:rPr>
                    <w:t>利用率</w:t>
                  </w:r>
                </w:p>
              </w:tc>
              <w:tc>
                <w:tcPr>
                  <w:tcW w:w="710" w:type="dxa"/>
                  <w:vAlign w:val="center"/>
                </w:tcPr>
                <w:p w14:paraId="2549F7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Segoe UI"/>
                      <w:i w:val="0"/>
                      <w:iCs w:val="0"/>
                      <w:caps w:val="0"/>
                      <w:color w:val="auto"/>
                      <w:spacing w:val="0"/>
                      <w:sz w:val="21"/>
                      <w:szCs w:val="24"/>
                      <w:shd w:val="clear" w:fill="FFFFFF"/>
                      <w:lang w:val="en-US" w:eastAsia="zh-CN"/>
                    </w:rPr>
                  </w:pPr>
                  <w:r>
                    <w:rPr>
                      <w:rFonts w:hint="default" w:ascii="Times New Roman" w:hAnsi="Times New Roman" w:eastAsia="宋体" w:cs="var(--dsw-font-markdown-table-h"/>
                      <w:b/>
                      <w:bCs/>
                      <w:color w:val="auto"/>
                      <w:kern w:val="0"/>
                      <w:sz w:val="21"/>
                      <w:szCs w:val="24"/>
                      <w:lang w:val="en-US" w:eastAsia="zh-CN" w:bidi="ar"/>
                    </w:rPr>
                    <w:t>固含量</w:t>
                  </w:r>
                </w:p>
              </w:tc>
              <w:tc>
                <w:tcPr>
                  <w:tcW w:w="649" w:type="dxa"/>
                  <w:vAlign w:val="center"/>
                </w:tcPr>
                <w:p w14:paraId="3DF65D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i w:val="0"/>
                      <w:iCs w:val="0"/>
                      <w:caps w:val="0"/>
                      <w:color w:val="auto"/>
                      <w:spacing w:val="0"/>
                      <w:sz w:val="21"/>
                      <w:szCs w:val="24"/>
                      <w:shd w:val="clear" w:fill="FFFFFF"/>
                      <w:lang w:val="en-US" w:eastAsia="zh-CN"/>
                    </w:rPr>
                  </w:pPr>
                  <w:r>
                    <w:rPr>
                      <w:rFonts w:hint="default" w:ascii="Times New Roman" w:hAnsi="Times New Roman" w:eastAsia="宋体" w:cs="var(--dsw-font-markdown-table-h"/>
                      <w:b/>
                      <w:bCs/>
                      <w:color w:val="auto"/>
                      <w:kern w:val="0"/>
                      <w:sz w:val="21"/>
                      <w:szCs w:val="24"/>
                      <w:lang w:val="en-US" w:eastAsia="zh-CN" w:bidi="ar"/>
                    </w:rPr>
                    <w:t>损耗</w:t>
                  </w:r>
                </w:p>
              </w:tc>
              <w:tc>
                <w:tcPr>
                  <w:tcW w:w="872" w:type="dxa"/>
                  <w:vAlign w:val="center"/>
                </w:tcPr>
                <w:p w14:paraId="5AA52E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Segoe UI"/>
                      <w:i w:val="0"/>
                      <w:iCs w:val="0"/>
                      <w:caps w:val="0"/>
                      <w:color w:val="auto"/>
                      <w:spacing w:val="0"/>
                      <w:sz w:val="21"/>
                      <w:szCs w:val="24"/>
                      <w:shd w:val="clear" w:fill="FFFFFF"/>
                      <w:lang w:val="en-US" w:eastAsia="zh-CN"/>
                    </w:rPr>
                  </w:pPr>
                  <w:r>
                    <w:rPr>
                      <w:rFonts w:hint="default" w:ascii="Times New Roman" w:hAnsi="Times New Roman" w:eastAsia="宋体" w:cs="var(--dsw-font-markdown-table-h"/>
                      <w:b/>
                      <w:bCs/>
                      <w:color w:val="auto"/>
                      <w:kern w:val="0"/>
                      <w:sz w:val="21"/>
                      <w:szCs w:val="24"/>
                      <w:lang w:val="en-US" w:eastAsia="zh-CN" w:bidi="ar"/>
                    </w:rPr>
                    <w:t>理论用量（t/a）</w:t>
                  </w:r>
                </w:p>
              </w:tc>
              <w:tc>
                <w:tcPr>
                  <w:tcW w:w="872" w:type="dxa"/>
                  <w:vAlign w:val="center"/>
                </w:tcPr>
                <w:p w14:paraId="38BF6B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h"/>
                      <w:b/>
                      <w:bCs/>
                      <w:color w:val="auto"/>
                      <w:kern w:val="0"/>
                      <w:sz w:val="21"/>
                      <w:szCs w:val="24"/>
                      <w:lang w:val="en-US" w:eastAsia="zh-CN" w:bidi="ar"/>
                    </w:rPr>
                  </w:pPr>
                  <w:r>
                    <w:rPr>
                      <w:rFonts w:hint="eastAsia" w:ascii="Times New Roman" w:hAnsi="Times New Roman" w:eastAsia="宋体" w:cs="var(--dsw-font-markdown-table-h"/>
                      <w:b/>
                      <w:bCs/>
                      <w:color w:val="auto"/>
                      <w:kern w:val="0"/>
                      <w:sz w:val="21"/>
                      <w:szCs w:val="24"/>
                      <w:lang w:val="en-US" w:eastAsia="zh-CN" w:bidi="ar"/>
                    </w:rPr>
                    <w:t>申请</w:t>
                  </w:r>
                  <w:r>
                    <w:rPr>
                      <w:rFonts w:hint="default" w:ascii="Times New Roman" w:hAnsi="Times New Roman" w:eastAsia="宋体" w:cs="var(--dsw-font-markdown-table-h"/>
                      <w:b/>
                      <w:bCs/>
                      <w:color w:val="auto"/>
                      <w:kern w:val="0"/>
                      <w:sz w:val="21"/>
                      <w:szCs w:val="24"/>
                      <w:lang w:val="en-US" w:eastAsia="zh-CN" w:bidi="ar"/>
                    </w:rPr>
                    <w:t>用量（t/a）</w:t>
                  </w:r>
                </w:p>
              </w:tc>
            </w:tr>
            <w:tr w14:paraId="7620B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078" w:type="dxa"/>
                  <w:vAlign w:val="center"/>
                </w:tcPr>
                <w:p w14:paraId="48A7D2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color w:val="auto"/>
                      <w:sz w:val="21"/>
                      <w:szCs w:val="21"/>
                    </w:rPr>
                  </w:pPr>
                  <w:r>
                    <w:rPr>
                      <w:rFonts w:hint="default" w:ascii="Times New Roman" w:hAnsi="Times New Roman" w:eastAsia="宋体" w:cs="var(--dsw-font-markdown-table)"/>
                      <w:color w:val="auto"/>
                      <w:kern w:val="0"/>
                      <w:sz w:val="21"/>
                      <w:szCs w:val="24"/>
                      <w:lang w:val="en-US" w:eastAsia="zh-CN" w:bidi="ar"/>
                    </w:rPr>
                    <w:t>丝印油墨</w:t>
                  </w:r>
                </w:p>
              </w:tc>
              <w:tc>
                <w:tcPr>
                  <w:tcW w:w="970" w:type="dxa"/>
                  <w:vAlign w:val="center"/>
                </w:tcPr>
                <w:p w14:paraId="3B42D1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300</w:t>
                  </w:r>
                </w:p>
              </w:tc>
              <w:tc>
                <w:tcPr>
                  <w:tcW w:w="1068" w:type="dxa"/>
                  <w:shd w:val="clear" w:color="auto" w:fill="auto"/>
                  <w:vAlign w:val="center"/>
                </w:tcPr>
                <w:p w14:paraId="5EADD27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0.006</w:t>
                  </w:r>
                </w:p>
              </w:tc>
              <w:tc>
                <w:tcPr>
                  <w:tcW w:w="1023" w:type="dxa"/>
                  <w:vAlign w:val="center"/>
                </w:tcPr>
                <w:p w14:paraId="2DAAD9A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18,000</w:t>
                  </w:r>
                </w:p>
              </w:tc>
              <w:tc>
                <w:tcPr>
                  <w:tcW w:w="1000" w:type="dxa"/>
                  <w:vAlign w:val="center"/>
                </w:tcPr>
                <w:p w14:paraId="4A3229D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30</w:t>
                  </w:r>
                </w:p>
              </w:tc>
              <w:tc>
                <w:tcPr>
                  <w:tcW w:w="881" w:type="dxa"/>
                  <w:vAlign w:val="center"/>
                </w:tcPr>
                <w:p w14:paraId="12A962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lang w:val="en-US"/>
                    </w:rPr>
                  </w:pPr>
                  <w:r>
                    <w:rPr>
                      <w:rFonts w:hint="default" w:ascii="Times New Roman" w:hAnsi="Times New Roman" w:eastAsia="宋体" w:cs="Times New Roman"/>
                      <w:i w:val="0"/>
                      <w:iCs w:val="0"/>
                      <w:color w:val="auto"/>
                      <w:kern w:val="0"/>
                      <w:sz w:val="21"/>
                      <w:szCs w:val="21"/>
                      <w:u w:val="none"/>
                      <w:lang w:val="en-US" w:eastAsia="zh-CN" w:bidi="ar"/>
                    </w:rPr>
                    <w:t>1.75</w:t>
                  </w:r>
                </w:p>
              </w:tc>
              <w:tc>
                <w:tcPr>
                  <w:tcW w:w="751" w:type="dxa"/>
                  <w:vAlign w:val="center"/>
                </w:tcPr>
                <w:p w14:paraId="51B78E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90%</w:t>
                  </w:r>
                </w:p>
              </w:tc>
              <w:tc>
                <w:tcPr>
                  <w:tcW w:w="710" w:type="dxa"/>
                  <w:vAlign w:val="center"/>
                </w:tcPr>
                <w:p w14:paraId="15D2912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b/>
                      <w:bCs/>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85%</w:t>
                  </w:r>
                </w:p>
              </w:tc>
              <w:tc>
                <w:tcPr>
                  <w:tcW w:w="649" w:type="dxa"/>
                  <w:vAlign w:val="center"/>
                </w:tcPr>
                <w:p w14:paraId="3B31FD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b/>
                      <w:bCs/>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w:t>
                  </w:r>
                </w:p>
              </w:tc>
              <w:tc>
                <w:tcPr>
                  <w:tcW w:w="872" w:type="dxa"/>
                  <w:vAlign w:val="center"/>
                </w:tcPr>
                <w:p w14:paraId="23633B1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b/>
                      <w:bCs/>
                      <w:color w:val="auto"/>
                      <w:kern w:val="0"/>
                      <w:sz w:val="21"/>
                      <w:szCs w:val="24"/>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1.37</w:t>
                  </w:r>
                </w:p>
              </w:tc>
              <w:tc>
                <w:tcPr>
                  <w:tcW w:w="872" w:type="dxa"/>
                  <w:vAlign w:val="center"/>
                </w:tcPr>
                <w:p w14:paraId="30D78F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b/>
                      <w:bCs/>
                      <w:color w:val="auto"/>
                      <w:kern w:val="0"/>
                      <w:sz w:val="21"/>
                      <w:szCs w:val="24"/>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1.50</w:t>
                  </w:r>
                </w:p>
              </w:tc>
            </w:tr>
            <w:tr w14:paraId="6352F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078" w:type="dxa"/>
                  <w:vAlign w:val="center"/>
                </w:tcPr>
                <w:p w14:paraId="54F0CF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b/>
                      <w:bCs/>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UV油墨</w:t>
                  </w:r>
                </w:p>
              </w:tc>
              <w:tc>
                <w:tcPr>
                  <w:tcW w:w="970" w:type="dxa"/>
                  <w:vAlign w:val="center"/>
                </w:tcPr>
                <w:p w14:paraId="353D48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125</w:t>
                  </w:r>
                </w:p>
              </w:tc>
              <w:tc>
                <w:tcPr>
                  <w:tcW w:w="1068" w:type="dxa"/>
                  <w:shd w:val="clear" w:color="auto" w:fill="auto"/>
                  <w:vAlign w:val="center"/>
                </w:tcPr>
                <w:p w14:paraId="4555D11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color w:val="auto"/>
                      <w:kern w:val="0"/>
                      <w:sz w:val="21"/>
                      <w:szCs w:val="24"/>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0.009</w:t>
                  </w:r>
                </w:p>
              </w:tc>
              <w:tc>
                <w:tcPr>
                  <w:tcW w:w="1023" w:type="dxa"/>
                  <w:vAlign w:val="center"/>
                </w:tcPr>
                <w:p w14:paraId="52FF42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11,250</w:t>
                  </w:r>
                </w:p>
              </w:tc>
              <w:tc>
                <w:tcPr>
                  <w:tcW w:w="1000" w:type="dxa"/>
                  <w:vAlign w:val="center"/>
                </w:tcPr>
                <w:p w14:paraId="2F93083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w:t>
                  </w:r>
                </w:p>
              </w:tc>
              <w:tc>
                <w:tcPr>
                  <w:tcW w:w="881" w:type="dxa"/>
                  <w:vAlign w:val="center"/>
                </w:tcPr>
                <w:p w14:paraId="645B8E0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b/>
                      <w:bCs/>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1.09</w:t>
                  </w:r>
                </w:p>
              </w:tc>
              <w:tc>
                <w:tcPr>
                  <w:tcW w:w="751" w:type="dxa"/>
                  <w:vAlign w:val="center"/>
                </w:tcPr>
                <w:p w14:paraId="75D3D5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b/>
                      <w:bCs/>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95%</w:t>
                  </w:r>
                </w:p>
              </w:tc>
              <w:tc>
                <w:tcPr>
                  <w:tcW w:w="710" w:type="dxa"/>
                  <w:vAlign w:val="center"/>
                </w:tcPr>
                <w:p w14:paraId="2293BB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b/>
                      <w:bCs/>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95%</w:t>
                  </w:r>
                </w:p>
              </w:tc>
              <w:tc>
                <w:tcPr>
                  <w:tcW w:w="649" w:type="dxa"/>
                  <w:vAlign w:val="center"/>
                </w:tcPr>
                <w:p w14:paraId="1E8692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b/>
                      <w:bCs/>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w:t>
                  </w:r>
                </w:p>
              </w:tc>
              <w:tc>
                <w:tcPr>
                  <w:tcW w:w="872" w:type="dxa"/>
                  <w:vAlign w:val="center"/>
                </w:tcPr>
                <w:p w14:paraId="7834DC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b/>
                      <w:bCs/>
                      <w:color w:val="auto"/>
                      <w:kern w:val="0"/>
                      <w:sz w:val="21"/>
                      <w:szCs w:val="24"/>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0.23</w:t>
                  </w:r>
                </w:p>
              </w:tc>
              <w:tc>
                <w:tcPr>
                  <w:tcW w:w="872" w:type="dxa"/>
                  <w:vAlign w:val="center"/>
                </w:tcPr>
                <w:p w14:paraId="3609E1D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b/>
                      <w:bCs/>
                      <w:color w:val="auto"/>
                      <w:kern w:val="0"/>
                      <w:sz w:val="21"/>
                      <w:szCs w:val="24"/>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0.30</w:t>
                  </w:r>
                </w:p>
              </w:tc>
            </w:tr>
            <w:tr w14:paraId="4C9D2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1078" w:type="dxa"/>
                  <w:vAlign w:val="center"/>
                </w:tcPr>
                <w:p w14:paraId="20FD16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eastAsia" w:ascii="Segoe UI" w:hAnsi="Segoe UI" w:cs="Segoe UI"/>
                      <w:i w:val="0"/>
                      <w:iCs w:val="0"/>
                      <w:caps w:val="0"/>
                      <w:color w:val="auto"/>
                      <w:spacing w:val="0"/>
                      <w:sz w:val="21"/>
                      <w:szCs w:val="21"/>
                      <w:shd w:val="clear" w:fill="FFFFFF"/>
                      <w:lang w:val="en-US" w:eastAsia="zh-CN"/>
                    </w:rPr>
                    <w:t>转印油墨</w:t>
                  </w:r>
                </w:p>
              </w:tc>
              <w:tc>
                <w:tcPr>
                  <w:tcW w:w="970" w:type="dxa"/>
                  <w:vAlign w:val="center"/>
                </w:tcPr>
                <w:p w14:paraId="760AC9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75</w:t>
                  </w:r>
                </w:p>
              </w:tc>
              <w:tc>
                <w:tcPr>
                  <w:tcW w:w="1068" w:type="dxa"/>
                  <w:shd w:val="clear" w:color="auto" w:fill="auto"/>
                  <w:vAlign w:val="center"/>
                </w:tcPr>
                <w:p w14:paraId="440CBD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color w:val="auto"/>
                      <w:kern w:val="0"/>
                      <w:sz w:val="21"/>
                      <w:szCs w:val="24"/>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0.009</w:t>
                  </w:r>
                </w:p>
              </w:tc>
              <w:tc>
                <w:tcPr>
                  <w:tcW w:w="1023" w:type="dxa"/>
                  <w:vAlign w:val="center"/>
                </w:tcPr>
                <w:p w14:paraId="552D9E3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6,750</w:t>
                  </w:r>
                </w:p>
              </w:tc>
              <w:tc>
                <w:tcPr>
                  <w:tcW w:w="1000" w:type="dxa"/>
                  <w:vAlign w:val="center"/>
                </w:tcPr>
                <w:p w14:paraId="5037F32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w:t>
                  </w:r>
                </w:p>
              </w:tc>
              <w:tc>
                <w:tcPr>
                  <w:tcW w:w="881" w:type="dxa"/>
                  <w:vAlign w:val="center"/>
                </w:tcPr>
                <w:p w14:paraId="3A7BC0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1.75</w:t>
                  </w:r>
                </w:p>
              </w:tc>
              <w:tc>
                <w:tcPr>
                  <w:tcW w:w="751" w:type="dxa"/>
                  <w:vAlign w:val="center"/>
                </w:tcPr>
                <w:p w14:paraId="7DAFBA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95%</w:t>
                  </w:r>
                </w:p>
              </w:tc>
              <w:tc>
                <w:tcPr>
                  <w:tcW w:w="710" w:type="dxa"/>
                  <w:vAlign w:val="center"/>
                </w:tcPr>
                <w:p w14:paraId="774A2B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80%</w:t>
                  </w:r>
                </w:p>
              </w:tc>
              <w:tc>
                <w:tcPr>
                  <w:tcW w:w="649" w:type="dxa"/>
                  <w:vAlign w:val="center"/>
                </w:tcPr>
                <w:p w14:paraId="05DAE4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w:t>
                  </w:r>
                </w:p>
              </w:tc>
              <w:tc>
                <w:tcPr>
                  <w:tcW w:w="872" w:type="dxa"/>
                  <w:vAlign w:val="center"/>
                </w:tcPr>
                <w:p w14:paraId="3311DB1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b/>
                      <w:bCs/>
                      <w:color w:val="auto"/>
                      <w:kern w:val="0"/>
                      <w:sz w:val="21"/>
                      <w:szCs w:val="24"/>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0.35</w:t>
                  </w:r>
                </w:p>
              </w:tc>
              <w:tc>
                <w:tcPr>
                  <w:tcW w:w="872" w:type="dxa"/>
                  <w:vAlign w:val="center"/>
                </w:tcPr>
                <w:p w14:paraId="6F9FDC87">
                  <w:pPr>
                    <w:keepNext w:val="0"/>
                    <w:keepLines w:val="0"/>
                    <w:widowControl/>
                    <w:suppressLineNumbers w:val="0"/>
                    <w:spacing w:before="0" w:beforeAutospacing="0" w:after="0" w:afterAutospacing="0"/>
                    <w:ind w:left="0" w:right="0"/>
                    <w:jc w:val="center"/>
                    <w:textAlignment w:val="center"/>
                    <w:rPr>
                      <w:rFonts w:hint="default" w:cs="var(--dsw-font-markdown-table)"/>
                      <w:b/>
                      <w:bCs/>
                      <w:color w:val="auto"/>
                      <w:kern w:val="0"/>
                      <w:sz w:val="21"/>
                      <w:szCs w:val="24"/>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0.40</w:t>
                  </w:r>
                </w:p>
              </w:tc>
            </w:tr>
            <w:tr w14:paraId="7F559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9874" w:type="dxa"/>
                  <w:gridSpan w:val="11"/>
                  <w:vAlign w:val="center"/>
                </w:tcPr>
                <w:p w14:paraId="70447C95">
                  <w:pPr>
                    <w:keepNext w:val="0"/>
                    <w:keepLines w:val="0"/>
                    <w:widowControl/>
                    <w:suppressLineNumbers w:val="0"/>
                    <w:spacing w:before="0" w:beforeAutospacing="0" w:after="0" w:afterAutospacing="0"/>
                    <w:ind w:left="0" w:right="0"/>
                    <w:jc w:val="center"/>
                    <w:textAlignment w:val="center"/>
                    <w:rPr>
                      <w:rFonts w:hint="eastAsia" w:ascii="Times New Roman" w:hAnsi="Times New Roman"/>
                      <w:b w:val="0"/>
                      <w:bCs w:val="0"/>
                      <w:color w:val="auto"/>
                      <w:szCs w:val="21"/>
                      <w:lang w:val="en-US" w:eastAsia="zh-CN"/>
                    </w:rPr>
                  </w:pPr>
                  <w:r>
                    <w:rPr>
                      <w:rFonts w:hint="eastAsia" w:cs="Times New Roman"/>
                      <w:b w:val="0"/>
                      <w:bCs w:val="0"/>
                      <w:i w:val="0"/>
                      <w:iCs w:val="0"/>
                      <w:color w:val="auto"/>
                      <w:kern w:val="0"/>
                      <w:sz w:val="21"/>
                      <w:szCs w:val="21"/>
                      <w:u w:val="none"/>
                      <w:lang w:val="en-US" w:eastAsia="zh-CN" w:bidi="ar"/>
                    </w:rPr>
                    <w:t>注</w:t>
                  </w:r>
                  <w:r>
                    <w:rPr>
                      <w:rFonts w:hint="eastAsia" w:ascii="Times New Roman" w:hAnsi="Times New Roman"/>
                      <w:b w:val="0"/>
                      <w:bCs w:val="0"/>
                      <w:color w:val="auto"/>
                      <w:szCs w:val="21"/>
                      <w:lang w:val="en-US" w:eastAsia="zh-CN"/>
                    </w:rPr>
                    <w:t>：</w:t>
                  </w:r>
                  <w:r>
                    <w:rPr>
                      <w:rFonts w:hint="default" w:ascii="Times New Roman" w:hAnsi="Times New Roman"/>
                      <w:b w:val="0"/>
                      <w:bCs w:val="0"/>
                      <w:color w:val="auto"/>
                      <w:szCs w:val="21"/>
                      <w:lang w:val="en-US" w:eastAsia="zh-CN"/>
                    </w:rPr>
                    <w:t>①</w:t>
                  </w:r>
                  <w:r>
                    <w:rPr>
                      <w:rFonts w:hint="eastAsia" w:ascii="Times New Roman" w:hAnsi="Times New Roman"/>
                      <w:b w:val="0"/>
                      <w:bCs w:val="0"/>
                      <w:color w:val="auto"/>
                      <w:szCs w:val="21"/>
                      <w:lang w:val="en-US" w:eastAsia="zh-CN"/>
                    </w:rPr>
                    <w:t>根据企业提供的数据</w:t>
                  </w:r>
                  <w:r>
                    <w:rPr>
                      <w:rFonts w:hint="eastAsia"/>
                      <w:b w:val="0"/>
                      <w:bCs w:val="0"/>
                      <w:color w:val="auto"/>
                      <w:szCs w:val="21"/>
                      <w:lang w:val="en-US" w:eastAsia="zh-CN"/>
                    </w:rPr>
                    <w:t>，需用</w:t>
                  </w:r>
                  <w:r>
                    <w:rPr>
                      <w:rFonts w:hint="eastAsia" w:ascii="Times New Roman" w:hAnsi="Times New Roman"/>
                      <w:b w:val="0"/>
                      <w:bCs w:val="0"/>
                      <w:color w:val="auto"/>
                      <w:szCs w:val="21"/>
                      <w:lang w:val="en-US" w:eastAsia="zh-CN"/>
                    </w:rPr>
                    <w:t>丝印油墨300万双/年、UV油墨125万双/年、热转印油墨75万双/年</w:t>
                  </w:r>
                  <w:r>
                    <w:rPr>
                      <w:rFonts w:hint="eastAsia"/>
                      <w:b w:val="0"/>
                      <w:bCs w:val="0"/>
                      <w:color w:val="auto"/>
                      <w:szCs w:val="21"/>
                      <w:lang w:val="en-US" w:eastAsia="zh-CN"/>
                    </w:rPr>
                    <w:t>。</w:t>
                  </w:r>
                </w:p>
                <w:p w14:paraId="04F35EBE">
                  <w:pPr>
                    <w:pStyle w:val="65"/>
                    <w:keepNext w:val="0"/>
                    <w:keepLines w:val="0"/>
                    <w:pageBreakBefore w:val="0"/>
                    <w:suppressLineNumbers w:val="0"/>
                    <w:kinsoku/>
                    <w:wordWrap/>
                    <w:overflowPunct/>
                    <w:topLinePunct w:val="0"/>
                    <w:bidi w:val="0"/>
                    <w:snapToGrid/>
                    <w:spacing w:before="0" w:beforeAutospacing="0" w:after="0" w:afterAutospacing="0" w:line="240" w:lineRule="auto"/>
                    <w:ind w:left="0" w:right="0" w:firstLine="420" w:firstLineChars="200"/>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var(--dsw-font-markdown-h3)"/>
                      <w:b w:val="0"/>
                      <w:bCs w:val="0"/>
                      <w:i w:val="0"/>
                      <w:iCs w:val="0"/>
                      <w:caps w:val="0"/>
                      <w:color w:val="auto"/>
                      <w:spacing w:val="0"/>
                      <w:sz w:val="21"/>
                      <w:shd w:val="clear" w:fill="FFFFFF"/>
                      <w:lang w:val="en-US" w:eastAsia="zh-CN"/>
                    </w:rPr>
                    <w:t>②</w:t>
                  </w:r>
                  <w:r>
                    <w:rPr>
                      <w:rFonts w:hint="default" w:ascii="Times New Roman" w:hAnsi="Times New Roman" w:eastAsia="宋体" w:cs="var(--dsw-font-markdown-h3)"/>
                      <w:b w:val="0"/>
                      <w:bCs w:val="0"/>
                      <w:i w:val="0"/>
                      <w:iCs w:val="0"/>
                      <w:caps w:val="0"/>
                      <w:color w:val="auto"/>
                      <w:spacing w:val="0"/>
                      <w:sz w:val="21"/>
                      <w:shd w:val="clear" w:fill="FFFFFF"/>
                    </w:rPr>
                    <w:t>本项目儿童运动鞋鞋码为25~40EU（取中间码32码），单只鞋面展开面积约0.03m²。单双印刷面积取值说明：丝印图案主要位于鞋腰部位，占比约20%，取0.006m²/双；UV打印及热转印图案覆盖鞋面外侧及后跟等主要装饰区域，占比约30%，取0.009m²/双。</w:t>
                  </w:r>
                </w:p>
              </w:tc>
            </w:tr>
          </w:tbl>
          <w:p w14:paraId="22C39E04">
            <w:pPr>
              <w:keepNext w:val="0"/>
              <w:keepLines w:val="0"/>
              <w:pageBreakBefore w:val="0"/>
              <w:widowControl/>
              <w:numPr>
                <w:ilvl w:val="0"/>
                <w:numId w:val="12"/>
              </w:numPr>
              <w:suppressLineNumbers w:val="0"/>
              <w:kinsoku/>
              <w:wordWrap/>
              <w:overflowPunct/>
              <w:topLinePunct w:val="0"/>
              <w:autoSpaceDE/>
              <w:autoSpaceDN/>
              <w:bidi w:val="0"/>
              <w:adjustRightInd/>
              <w:snapToGrid/>
              <w:spacing w:before="157" w:beforeLines="50" w:beforeAutospacing="0" w:after="0" w:afterAutospacing="0" w:line="360" w:lineRule="auto"/>
              <w:ind w:left="0" w:leftChars="0" w:right="0" w:rightChars="0" w:firstLine="422" w:firstLineChars="200"/>
              <w:jc w:val="left"/>
              <w:textAlignment w:val="auto"/>
              <w:rPr>
                <w:rFonts w:hint="default" w:ascii="Times New Roman" w:hAnsi="Times New Roman" w:eastAsia="宋体" w:cs="var(--dsw-font-markdown-table)"/>
                <w:b/>
                <w:color w:val="auto"/>
                <w:kern w:val="0"/>
                <w:sz w:val="21"/>
                <w:szCs w:val="24"/>
                <w:lang w:val="en-US" w:eastAsia="zh-CN" w:bidi="ar"/>
              </w:rPr>
            </w:pPr>
            <w:r>
              <w:rPr>
                <w:rFonts w:hint="default" w:ascii="Times New Roman" w:hAnsi="Times New Roman" w:eastAsia="宋体" w:cs="var(--dsw-font-markdown-table)"/>
                <w:b/>
                <w:color w:val="auto"/>
                <w:kern w:val="0"/>
                <w:sz w:val="21"/>
                <w:szCs w:val="24"/>
                <w:lang w:val="en-US" w:eastAsia="zh-CN" w:bidi="ar"/>
              </w:rPr>
              <w:t>EVA鞋底生产物料平衡表</w:t>
            </w:r>
          </w:p>
          <w:p w14:paraId="5D325864">
            <w:pPr>
              <w:pStyle w:val="9"/>
              <w:numPr>
                <w:ilvl w:val="0"/>
                <w:numId w:val="8"/>
              </w:numPr>
              <w:suppressLineNumbers w:val="0"/>
              <w:spacing w:before="0" w:beforeAutospacing="0" w:after="0" w:afterAutospacing="0" w:line="240" w:lineRule="auto"/>
              <w:ind w:right="0"/>
              <w:jc w:val="center"/>
              <w:rPr>
                <w:rFonts w:hint="default" w:ascii="Times New Roman" w:hAnsi="Times New Roman" w:eastAsia="宋体"/>
                <w:b/>
                <w:color w:val="auto"/>
                <w:sz w:val="21"/>
                <w:szCs w:val="24"/>
              </w:rPr>
            </w:pPr>
            <w:r>
              <w:rPr>
                <w:rFonts w:hint="default" w:ascii="Times New Roman" w:hAnsi="Times New Roman" w:eastAsia="宋体" w:cs="var(--dsw-font-markdown-table)"/>
                <w:b/>
                <w:color w:val="auto"/>
                <w:kern w:val="0"/>
                <w:sz w:val="21"/>
                <w:szCs w:val="24"/>
                <w:lang w:val="en-US" w:eastAsia="zh-CN" w:bidi="ar"/>
              </w:rPr>
              <w:t>EVA鞋底生产</w:t>
            </w:r>
            <w:r>
              <w:rPr>
                <w:rFonts w:hint="default" w:ascii="Times New Roman" w:hAnsi="Times New Roman" w:eastAsia="宋体"/>
                <w:b/>
                <w:color w:val="auto"/>
                <w:sz w:val="21"/>
                <w:szCs w:val="24"/>
              </w:rPr>
              <w:t>物料平衡表（单位：吨）</w:t>
            </w:r>
          </w:p>
          <w:tbl>
            <w:tblPr>
              <w:tblStyle w:val="49"/>
              <w:tblW w:w="97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9"/>
              <w:gridCol w:w="2440"/>
              <w:gridCol w:w="2440"/>
              <w:gridCol w:w="2440"/>
            </w:tblGrid>
            <w:tr w14:paraId="43103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9" w:type="dxa"/>
                  <w:vAlign w:val="center"/>
                </w:tcPr>
                <w:p w14:paraId="66E2A7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h"/>
                      <w:b/>
                      <w:bCs/>
                      <w:color w:val="auto"/>
                      <w:kern w:val="0"/>
                      <w:sz w:val="21"/>
                      <w:szCs w:val="24"/>
                      <w:shd w:val="clear" w:color="auto" w:fill="auto"/>
                      <w:lang w:val="en-US" w:eastAsia="zh-CN" w:bidi="ar"/>
                    </w:rPr>
                  </w:pPr>
                  <w:r>
                    <w:rPr>
                      <w:rFonts w:hint="default" w:ascii="Times New Roman" w:hAnsi="Times New Roman" w:eastAsia="宋体" w:cs="var(--dsw-font-markdown-table-h"/>
                      <w:b/>
                      <w:bCs/>
                      <w:color w:val="auto"/>
                      <w:kern w:val="0"/>
                      <w:sz w:val="21"/>
                      <w:szCs w:val="24"/>
                      <w:shd w:val="clear" w:color="auto" w:fill="auto"/>
                      <w:lang w:val="en-US" w:eastAsia="zh-CN" w:bidi="ar"/>
                    </w:rPr>
                    <w:t>投入项目</w:t>
                  </w:r>
                </w:p>
              </w:tc>
              <w:tc>
                <w:tcPr>
                  <w:tcW w:w="2440" w:type="dxa"/>
                  <w:vAlign w:val="center"/>
                </w:tcPr>
                <w:p w14:paraId="2FC7D6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h"/>
                      <w:b/>
                      <w:bCs/>
                      <w:color w:val="auto"/>
                      <w:kern w:val="0"/>
                      <w:sz w:val="21"/>
                      <w:szCs w:val="24"/>
                      <w:shd w:val="clear" w:color="auto" w:fill="auto"/>
                      <w:lang w:val="en-US" w:eastAsia="zh-CN" w:bidi="ar"/>
                    </w:rPr>
                  </w:pPr>
                  <w:r>
                    <w:rPr>
                      <w:rFonts w:hint="default" w:ascii="Times New Roman" w:hAnsi="Times New Roman" w:eastAsia="宋体" w:cs="var(--dsw-font-markdown-table-h"/>
                      <w:b/>
                      <w:bCs/>
                      <w:color w:val="auto"/>
                      <w:kern w:val="0"/>
                      <w:sz w:val="21"/>
                      <w:szCs w:val="24"/>
                      <w:shd w:val="clear" w:color="auto" w:fill="auto"/>
                      <w:lang w:val="en-US" w:eastAsia="zh-CN" w:bidi="ar"/>
                    </w:rPr>
                    <w:t>数量（t/a）</w:t>
                  </w:r>
                </w:p>
              </w:tc>
              <w:tc>
                <w:tcPr>
                  <w:tcW w:w="2440" w:type="dxa"/>
                  <w:vAlign w:val="center"/>
                </w:tcPr>
                <w:p w14:paraId="657DD1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h"/>
                      <w:b/>
                      <w:bCs/>
                      <w:color w:val="auto"/>
                      <w:kern w:val="0"/>
                      <w:sz w:val="21"/>
                      <w:szCs w:val="24"/>
                      <w:shd w:val="clear" w:color="auto" w:fill="auto"/>
                      <w:lang w:val="en-US" w:eastAsia="zh-CN" w:bidi="ar"/>
                    </w:rPr>
                  </w:pPr>
                  <w:r>
                    <w:rPr>
                      <w:rFonts w:hint="default" w:ascii="Times New Roman" w:hAnsi="Times New Roman" w:eastAsia="宋体" w:cs="var(--dsw-font-markdown-table-h"/>
                      <w:b/>
                      <w:bCs/>
                      <w:color w:val="auto"/>
                      <w:kern w:val="0"/>
                      <w:sz w:val="21"/>
                      <w:szCs w:val="24"/>
                      <w:shd w:val="clear" w:color="auto" w:fill="auto"/>
                      <w:lang w:val="en-US" w:eastAsia="zh-CN" w:bidi="ar"/>
                    </w:rPr>
                    <w:t>产出项目</w:t>
                  </w:r>
                </w:p>
              </w:tc>
              <w:tc>
                <w:tcPr>
                  <w:tcW w:w="2440" w:type="dxa"/>
                  <w:vAlign w:val="center"/>
                </w:tcPr>
                <w:p w14:paraId="7D02C7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h"/>
                      <w:b/>
                      <w:bCs/>
                      <w:color w:val="auto"/>
                      <w:kern w:val="0"/>
                      <w:sz w:val="21"/>
                      <w:szCs w:val="24"/>
                      <w:shd w:val="clear" w:color="auto" w:fill="auto"/>
                      <w:lang w:val="en-US" w:eastAsia="zh-CN" w:bidi="ar"/>
                    </w:rPr>
                  </w:pPr>
                  <w:r>
                    <w:rPr>
                      <w:rFonts w:hint="default" w:ascii="Times New Roman" w:hAnsi="Times New Roman" w:eastAsia="宋体" w:cs="var(--dsw-font-markdown-table-h"/>
                      <w:b/>
                      <w:bCs/>
                      <w:color w:val="auto"/>
                      <w:kern w:val="0"/>
                      <w:sz w:val="21"/>
                      <w:szCs w:val="24"/>
                      <w:shd w:val="clear" w:color="auto" w:fill="auto"/>
                      <w:lang w:val="en-US" w:eastAsia="zh-CN" w:bidi="ar"/>
                    </w:rPr>
                    <w:t>数量（t/a）</w:t>
                  </w:r>
                </w:p>
              </w:tc>
            </w:tr>
            <w:tr w14:paraId="5E61D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9" w:type="dxa"/>
                  <w:vAlign w:val="center"/>
                </w:tcPr>
                <w:p w14:paraId="50533C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var(--dsw-font-markdown-table-h"/>
                      <w:b w:val="0"/>
                      <w:bCs w:val="0"/>
                      <w:color w:val="auto"/>
                      <w:kern w:val="0"/>
                      <w:sz w:val="21"/>
                      <w:szCs w:val="24"/>
                      <w:shd w:val="clear" w:color="auto" w:fill="auto"/>
                      <w:lang w:val="en-US" w:eastAsia="zh-CN" w:bidi="ar"/>
                    </w:rPr>
                  </w:pPr>
                  <w:r>
                    <w:rPr>
                      <w:rFonts w:hint="default" w:ascii="Times New Roman" w:hAnsi="Times New Roman" w:eastAsia="宋体" w:cs="var(--dsw-font-markdown-table)"/>
                      <w:b w:val="0"/>
                      <w:bCs w:val="0"/>
                      <w:color w:val="auto"/>
                      <w:kern w:val="0"/>
                      <w:sz w:val="21"/>
                      <w:szCs w:val="24"/>
                      <w:shd w:val="clear" w:color="auto" w:fill="auto"/>
                      <w:lang w:val="en-US" w:eastAsia="zh-CN" w:bidi="ar"/>
                    </w:rPr>
                    <w:t>EVA颗粒</w:t>
                  </w:r>
                </w:p>
              </w:tc>
              <w:tc>
                <w:tcPr>
                  <w:tcW w:w="2440" w:type="dxa"/>
                  <w:vAlign w:val="center"/>
                </w:tcPr>
                <w:p w14:paraId="6172E4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var(--dsw-font-markdown-table-h"/>
                      <w:b w:val="0"/>
                      <w:bCs w:val="0"/>
                      <w:color w:val="auto"/>
                      <w:kern w:val="0"/>
                      <w:sz w:val="21"/>
                      <w:szCs w:val="24"/>
                      <w:shd w:val="clear" w:color="auto" w:fill="auto"/>
                      <w:lang w:val="en-US" w:eastAsia="zh-CN" w:bidi="ar"/>
                    </w:rPr>
                  </w:pPr>
                  <w:r>
                    <w:rPr>
                      <w:rFonts w:hint="default" w:ascii="Times New Roman" w:hAnsi="Times New Roman" w:eastAsia="宋体" w:cs="var(--dsw-font-markdown-table)"/>
                      <w:b w:val="0"/>
                      <w:bCs w:val="0"/>
                      <w:color w:val="auto"/>
                      <w:kern w:val="0"/>
                      <w:sz w:val="21"/>
                      <w:szCs w:val="24"/>
                      <w:shd w:val="clear" w:color="auto" w:fill="auto"/>
                      <w:lang w:val="en-US" w:eastAsia="zh-CN" w:bidi="ar"/>
                    </w:rPr>
                    <w:t>1</w:t>
                  </w:r>
                  <w:r>
                    <w:rPr>
                      <w:rFonts w:hint="eastAsia" w:cs="var(--dsw-font-markdown-table)"/>
                      <w:b w:val="0"/>
                      <w:bCs w:val="0"/>
                      <w:color w:val="auto"/>
                      <w:kern w:val="0"/>
                      <w:sz w:val="21"/>
                      <w:szCs w:val="24"/>
                      <w:shd w:val="clear" w:color="auto" w:fill="auto"/>
                      <w:lang w:val="en-US" w:eastAsia="zh-CN" w:bidi="ar"/>
                    </w:rPr>
                    <w:t>53</w:t>
                  </w:r>
                </w:p>
              </w:tc>
              <w:tc>
                <w:tcPr>
                  <w:tcW w:w="2440" w:type="dxa"/>
                  <w:vAlign w:val="center"/>
                </w:tcPr>
                <w:p w14:paraId="5DEEC6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var(--dsw-font-markdown-table-h"/>
                      <w:b w:val="0"/>
                      <w:bCs w:val="0"/>
                      <w:color w:val="auto"/>
                      <w:kern w:val="0"/>
                      <w:sz w:val="21"/>
                      <w:szCs w:val="24"/>
                      <w:shd w:val="clear" w:color="auto" w:fill="auto"/>
                      <w:lang w:val="en-US" w:eastAsia="zh-CN" w:bidi="ar"/>
                    </w:rPr>
                  </w:pPr>
                  <w:r>
                    <w:rPr>
                      <w:rFonts w:hint="default" w:ascii="Times New Roman" w:hAnsi="Times New Roman" w:eastAsia="宋体" w:cs="var(--dsw-font-markdown-table)"/>
                      <w:b w:val="0"/>
                      <w:bCs w:val="0"/>
                      <w:color w:val="auto"/>
                      <w:kern w:val="0"/>
                      <w:sz w:val="21"/>
                      <w:szCs w:val="24"/>
                      <w:shd w:val="clear" w:color="auto" w:fill="auto"/>
                      <w:lang w:val="en-US" w:eastAsia="zh-CN" w:bidi="ar"/>
                    </w:rPr>
                    <w:t>EVA中底（产品）</w:t>
                  </w:r>
                </w:p>
              </w:tc>
              <w:tc>
                <w:tcPr>
                  <w:tcW w:w="2440" w:type="dxa"/>
                  <w:vAlign w:val="center"/>
                </w:tcPr>
                <w:p w14:paraId="5B51B6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var(--dsw-font-markdown-table-h"/>
                      <w:b w:val="0"/>
                      <w:bCs w:val="0"/>
                      <w:color w:val="auto"/>
                      <w:kern w:val="0"/>
                      <w:sz w:val="21"/>
                      <w:szCs w:val="24"/>
                      <w:shd w:val="clear" w:color="auto" w:fill="auto"/>
                      <w:lang w:val="en-US" w:eastAsia="zh-CN" w:bidi="ar"/>
                    </w:rPr>
                  </w:pPr>
                  <w:r>
                    <w:rPr>
                      <w:rFonts w:hint="default" w:ascii="Times New Roman" w:hAnsi="Times New Roman" w:eastAsia="宋体" w:cs="var(--dsw-font-markdown-table)"/>
                      <w:b w:val="0"/>
                      <w:bCs w:val="0"/>
                      <w:color w:val="auto"/>
                      <w:kern w:val="0"/>
                      <w:sz w:val="21"/>
                      <w:szCs w:val="24"/>
                      <w:shd w:val="clear" w:color="auto" w:fill="auto"/>
                      <w:lang w:val="en-US" w:eastAsia="zh-CN" w:bidi="ar"/>
                    </w:rPr>
                    <w:t>187.5</w:t>
                  </w:r>
                </w:p>
              </w:tc>
            </w:tr>
            <w:tr w14:paraId="4DA0E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9" w:type="dxa"/>
                  <w:vAlign w:val="center"/>
                </w:tcPr>
                <w:p w14:paraId="2B0E6F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var(--dsw-font-markdown-table-h"/>
                      <w:b w:val="0"/>
                      <w:bCs w:val="0"/>
                      <w:color w:val="auto"/>
                      <w:kern w:val="0"/>
                      <w:sz w:val="21"/>
                      <w:szCs w:val="24"/>
                      <w:shd w:val="clear" w:color="auto" w:fill="auto"/>
                      <w:lang w:val="en-US" w:eastAsia="zh-CN" w:bidi="ar"/>
                    </w:rPr>
                  </w:pPr>
                  <w:r>
                    <w:rPr>
                      <w:rFonts w:hint="default" w:ascii="Times New Roman" w:hAnsi="Times New Roman" w:eastAsia="宋体" w:cs="var(--dsw-font-markdown-table)"/>
                      <w:b w:val="0"/>
                      <w:bCs w:val="0"/>
                      <w:color w:val="auto"/>
                      <w:kern w:val="0"/>
                      <w:sz w:val="21"/>
                      <w:szCs w:val="24"/>
                      <w:shd w:val="clear" w:color="auto" w:fill="auto"/>
                      <w:lang w:val="en-US" w:eastAsia="zh-CN" w:bidi="ar"/>
                    </w:rPr>
                    <w:t>AC发泡剂</w:t>
                  </w:r>
                </w:p>
              </w:tc>
              <w:tc>
                <w:tcPr>
                  <w:tcW w:w="2440" w:type="dxa"/>
                  <w:vAlign w:val="center"/>
                </w:tcPr>
                <w:p w14:paraId="7DD0BF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var(--dsw-font-markdown-table-h"/>
                      <w:b w:val="0"/>
                      <w:bCs w:val="0"/>
                      <w:color w:val="auto"/>
                      <w:kern w:val="0"/>
                      <w:sz w:val="21"/>
                      <w:szCs w:val="24"/>
                      <w:shd w:val="clear" w:color="auto" w:fill="auto"/>
                      <w:lang w:val="en-US" w:eastAsia="zh-CN" w:bidi="ar"/>
                    </w:rPr>
                  </w:pPr>
                  <w:r>
                    <w:rPr>
                      <w:rFonts w:hint="eastAsia" w:cs="var(--dsw-font-markdown-table)"/>
                      <w:b w:val="0"/>
                      <w:bCs w:val="0"/>
                      <w:color w:val="auto"/>
                      <w:kern w:val="0"/>
                      <w:sz w:val="21"/>
                      <w:szCs w:val="24"/>
                      <w:shd w:val="clear" w:color="auto" w:fill="auto"/>
                      <w:lang w:val="en-US" w:eastAsia="zh-CN" w:bidi="ar"/>
                    </w:rPr>
                    <w:t>8</w:t>
                  </w:r>
                </w:p>
              </w:tc>
              <w:tc>
                <w:tcPr>
                  <w:tcW w:w="2440" w:type="dxa"/>
                  <w:vAlign w:val="center"/>
                </w:tcPr>
                <w:p w14:paraId="452C90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var(--dsw-font-markdown-table-h"/>
                      <w:b w:val="0"/>
                      <w:bCs w:val="0"/>
                      <w:color w:val="auto"/>
                      <w:kern w:val="0"/>
                      <w:sz w:val="21"/>
                      <w:szCs w:val="24"/>
                      <w:shd w:val="clear" w:color="auto" w:fill="auto"/>
                      <w:lang w:val="en-US" w:eastAsia="zh-CN" w:bidi="ar"/>
                    </w:rPr>
                  </w:pPr>
                  <w:r>
                    <w:rPr>
                      <w:rFonts w:hint="default" w:ascii="Times New Roman" w:hAnsi="Times New Roman" w:eastAsia="宋体" w:cs="var(--dsw-font-markdown-table)"/>
                      <w:b w:val="0"/>
                      <w:bCs w:val="0"/>
                      <w:color w:val="auto"/>
                      <w:kern w:val="0"/>
                      <w:sz w:val="21"/>
                      <w:szCs w:val="24"/>
                      <w:shd w:val="clear" w:color="auto" w:fill="auto"/>
                      <w:lang w:val="en-US" w:eastAsia="zh-CN" w:bidi="ar"/>
                    </w:rPr>
                    <w:t>废气（颗粒物+VOCs）</w:t>
                  </w:r>
                </w:p>
              </w:tc>
              <w:tc>
                <w:tcPr>
                  <w:tcW w:w="2440" w:type="dxa"/>
                  <w:vAlign w:val="center"/>
                </w:tcPr>
                <w:p w14:paraId="1085AB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var(--dsw-font-markdown-table-h"/>
                      <w:b w:val="0"/>
                      <w:bCs w:val="0"/>
                      <w:color w:val="auto"/>
                      <w:kern w:val="0"/>
                      <w:sz w:val="21"/>
                      <w:szCs w:val="24"/>
                      <w:shd w:val="clear" w:color="auto" w:fill="auto"/>
                      <w:lang w:val="en-US" w:eastAsia="zh-CN" w:bidi="ar"/>
                    </w:rPr>
                  </w:pPr>
                  <w:r>
                    <w:rPr>
                      <w:rFonts w:hint="eastAsia" w:cs="var(--dsw-font-markdown-table-h"/>
                      <w:b w:val="0"/>
                      <w:bCs w:val="0"/>
                      <w:color w:val="auto"/>
                      <w:kern w:val="0"/>
                      <w:sz w:val="21"/>
                      <w:szCs w:val="24"/>
                      <w:shd w:val="clear" w:color="auto" w:fill="auto"/>
                      <w:lang w:val="en-US" w:eastAsia="zh-CN" w:bidi="ar"/>
                    </w:rPr>
                    <w:t>1.39</w:t>
                  </w:r>
                </w:p>
              </w:tc>
            </w:tr>
            <w:tr w14:paraId="782B2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9" w:type="dxa"/>
                  <w:vAlign w:val="center"/>
                </w:tcPr>
                <w:p w14:paraId="1CCEDB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var(--dsw-font-markdown-table-h"/>
                      <w:b w:val="0"/>
                      <w:bCs w:val="0"/>
                      <w:color w:val="auto"/>
                      <w:kern w:val="0"/>
                      <w:sz w:val="21"/>
                      <w:szCs w:val="24"/>
                      <w:shd w:val="clear" w:color="auto" w:fill="auto"/>
                      <w:lang w:val="en-US" w:eastAsia="zh-CN" w:bidi="ar"/>
                    </w:rPr>
                  </w:pPr>
                  <w:r>
                    <w:rPr>
                      <w:rFonts w:hint="default" w:ascii="Times New Roman" w:hAnsi="Times New Roman" w:eastAsia="宋体" w:cs="var(--dsw-font-markdown-table)"/>
                      <w:b w:val="0"/>
                      <w:bCs w:val="0"/>
                      <w:color w:val="auto"/>
                      <w:kern w:val="0"/>
                      <w:sz w:val="21"/>
                      <w:szCs w:val="24"/>
                      <w:shd w:val="clear" w:color="auto" w:fill="auto"/>
                      <w:lang w:val="en-US" w:eastAsia="zh-CN" w:bidi="ar"/>
                    </w:rPr>
                    <w:t>滑石粉（EVA用）</w:t>
                  </w:r>
                </w:p>
              </w:tc>
              <w:tc>
                <w:tcPr>
                  <w:tcW w:w="2440" w:type="dxa"/>
                  <w:vAlign w:val="center"/>
                </w:tcPr>
                <w:p w14:paraId="7172B0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var(--dsw-font-markdown-table-h"/>
                      <w:b w:val="0"/>
                      <w:bCs w:val="0"/>
                      <w:color w:val="auto"/>
                      <w:kern w:val="0"/>
                      <w:sz w:val="21"/>
                      <w:szCs w:val="24"/>
                      <w:shd w:val="clear" w:color="auto" w:fill="auto"/>
                      <w:lang w:val="en-US" w:eastAsia="zh-CN" w:bidi="ar"/>
                    </w:rPr>
                  </w:pPr>
                  <w:r>
                    <w:rPr>
                      <w:rFonts w:hint="eastAsia" w:cs="var(--dsw-font-markdown-table)"/>
                      <w:b w:val="0"/>
                      <w:bCs w:val="0"/>
                      <w:color w:val="auto"/>
                      <w:kern w:val="0"/>
                      <w:sz w:val="21"/>
                      <w:szCs w:val="24"/>
                      <w:shd w:val="clear" w:color="auto" w:fill="auto"/>
                      <w:lang w:val="en-US" w:eastAsia="zh-CN" w:bidi="ar"/>
                    </w:rPr>
                    <w:t>32</w:t>
                  </w:r>
                </w:p>
              </w:tc>
              <w:tc>
                <w:tcPr>
                  <w:tcW w:w="2440" w:type="dxa"/>
                  <w:vAlign w:val="center"/>
                </w:tcPr>
                <w:p w14:paraId="3A2139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var(--dsw-font-markdown-table-h"/>
                      <w:b w:val="0"/>
                      <w:bCs w:val="0"/>
                      <w:color w:val="auto"/>
                      <w:kern w:val="0"/>
                      <w:sz w:val="21"/>
                      <w:szCs w:val="24"/>
                      <w:shd w:val="clear" w:color="auto" w:fill="auto"/>
                      <w:lang w:val="en-US" w:eastAsia="zh-CN" w:bidi="ar"/>
                    </w:rPr>
                  </w:pPr>
                  <w:r>
                    <w:rPr>
                      <w:rFonts w:hint="default" w:ascii="Times New Roman" w:hAnsi="Times New Roman" w:eastAsia="宋体" w:cs="var(--dsw-font-markdown-table)"/>
                      <w:b w:val="0"/>
                      <w:bCs w:val="0"/>
                      <w:color w:val="auto"/>
                      <w:kern w:val="0"/>
                      <w:sz w:val="21"/>
                      <w:szCs w:val="24"/>
                      <w:shd w:val="clear" w:color="auto" w:fill="auto"/>
                      <w:lang w:val="en-US" w:eastAsia="zh-CN" w:bidi="ar"/>
                    </w:rPr>
                    <w:t>固废（边角料+不合格品）</w:t>
                  </w:r>
                </w:p>
              </w:tc>
              <w:tc>
                <w:tcPr>
                  <w:tcW w:w="2440" w:type="dxa"/>
                  <w:vAlign w:val="center"/>
                </w:tcPr>
                <w:p w14:paraId="2433E7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var(--dsw-font-markdown-table-h"/>
                      <w:b w:val="0"/>
                      <w:bCs w:val="0"/>
                      <w:color w:val="auto"/>
                      <w:kern w:val="0"/>
                      <w:sz w:val="21"/>
                      <w:szCs w:val="24"/>
                      <w:shd w:val="clear" w:color="auto" w:fill="auto"/>
                      <w:lang w:val="en-US" w:eastAsia="zh-CN" w:bidi="ar"/>
                    </w:rPr>
                  </w:pPr>
                  <w:r>
                    <w:rPr>
                      <w:rFonts w:hint="eastAsia" w:cs="var(--dsw-font-markdown-table-h"/>
                      <w:b w:val="0"/>
                      <w:bCs w:val="0"/>
                      <w:color w:val="auto"/>
                      <w:kern w:val="0"/>
                      <w:sz w:val="21"/>
                      <w:szCs w:val="24"/>
                      <w:shd w:val="clear" w:color="auto" w:fill="auto"/>
                      <w:lang w:val="en-US" w:eastAsia="zh-CN" w:bidi="ar"/>
                    </w:rPr>
                    <w:t>4.11</w:t>
                  </w:r>
                </w:p>
              </w:tc>
            </w:tr>
            <w:tr w14:paraId="36810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9" w:type="dxa"/>
                  <w:vAlign w:val="center"/>
                </w:tcPr>
                <w:p w14:paraId="14867C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var(--dsw-font-markdown-table-h"/>
                      <w:b w:val="0"/>
                      <w:bCs w:val="0"/>
                      <w:color w:val="auto"/>
                      <w:kern w:val="0"/>
                      <w:sz w:val="21"/>
                      <w:szCs w:val="24"/>
                      <w:shd w:val="clear" w:color="auto" w:fill="auto"/>
                      <w:lang w:val="en-US" w:eastAsia="zh-CN" w:bidi="ar"/>
                    </w:rPr>
                  </w:pPr>
                  <w:r>
                    <w:rPr>
                      <w:rFonts w:hint="default" w:ascii="Times New Roman" w:hAnsi="Times New Roman" w:eastAsia="宋体" w:cs="var(--dsw-font-markdown-table)"/>
                      <w:b w:val="0"/>
                      <w:bCs w:val="0"/>
                      <w:color w:val="auto"/>
                      <w:kern w:val="0"/>
                      <w:sz w:val="21"/>
                      <w:szCs w:val="24"/>
                      <w:shd w:val="clear" w:color="auto" w:fill="auto"/>
                      <w:lang w:val="en-US" w:eastAsia="zh-CN" w:bidi="ar"/>
                    </w:rPr>
                    <w:t>合计投入</w:t>
                  </w:r>
                </w:p>
              </w:tc>
              <w:tc>
                <w:tcPr>
                  <w:tcW w:w="2440" w:type="dxa"/>
                  <w:vAlign w:val="center"/>
                </w:tcPr>
                <w:p w14:paraId="5FAFB7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var(--dsw-font-markdown-table-h"/>
                      <w:b w:val="0"/>
                      <w:bCs w:val="0"/>
                      <w:color w:val="auto"/>
                      <w:kern w:val="0"/>
                      <w:sz w:val="21"/>
                      <w:szCs w:val="24"/>
                      <w:shd w:val="clear" w:color="auto" w:fill="auto"/>
                      <w:lang w:val="en-US" w:eastAsia="zh-CN" w:bidi="ar"/>
                    </w:rPr>
                  </w:pPr>
                  <w:r>
                    <w:rPr>
                      <w:rFonts w:hint="default" w:ascii="Times New Roman" w:hAnsi="Times New Roman" w:eastAsia="宋体" w:cs="var(--dsw-font-markdown-table-h"/>
                      <w:b w:val="0"/>
                      <w:bCs w:val="0"/>
                      <w:color w:val="auto"/>
                      <w:kern w:val="0"/>
                      <w:sz w:val="21"/>
                      <w:szCs w:val="24"/>
                      <w:shd w:val="clear" w:color="auto" w:fill="auto"/>
                      <w:lang w:val="en-US" w:eastAsia="zh-CN" w:bidi="ar"/>
                    </w:rPr>
                    <w:fldChar w:fldCharType="begin"/>
                  </w:r>
                  <w:r>
                    <w:rPr>
                      <w:rFonts w:hint="default" w:ascii="Times New Roman" w:hAnsi="Times New Roman" w:eastAsia="宋体" w:cs="var(--dsw-font-markdown-table-h"/>
                      <w:b w:val="0"/>
                      <w:bCs w:val="0"/>
                      <w:color w:val="auto"/>
                      <w:kern w:val="0"/>
                      <w:sz w:val="21"/>
                      <w:szCs w:val="24"/>
                      <w:shd w:val="clear" w:color="auto" w:fill="auto"/>
                      <w:lang w:val="en-US" w:eastAsia="zh-CN" w:bidi="ar"/>
                    </w:rPr>
                    <w:instrText xml:space="preserve">=sum(B2:B4)\*MERGEFORMAT</w:instrText>
                  </w:r>
                  <w:r>
                    <w:rPr>
                      <w:rFonts w:hint="default" w:ascii="Times New Roman" w:hAnsi="Times New Roman" w:eastAsia="宋体" w:cs="var(--dsw-font-markdown-table-h"/>
                      <w:b w:val="0"/>
                      <w:bCs w:val="0"/>
                      <w:color w:val="auto"/>
                      <w:kern w:val="0"/>
                      <w:sz w:val="21"/>
                      <w:szCs w:val="24"/>
                      <w:shd w:val="clear" w:color="auto" w:fill="auto"/>
                      <w:lang w:val="en-US" w:eastAsia="zh-CN" w:bidi="ar"/>
                    </w:rPr>
                    <w:fldChar w:fldCharType="separate"/>
                  </w:r>
                  <w:r>
                    <w:rPr>
                      <w:rFonts w:hint="default" w:ascii="Times New Roman" w:hAnsi="Times New Roman" w:eastAsia="宋体" w:cs="var(--dsw-font-markdown-table-h"/>
                      <w:b w:val="0"/>
                      <w:bCs w:val="0"/>
                      <w:color w:val="auto"/>
                      <w:kern w:val="0"/>
                      <w:sz w:val="21"/>
                      <w:szCs w:val="24"/>
                      <w:shd w:val="clear" w:color="auto" w:fill="auto"/>
                      <w:lang w:val="en-US" w:eastAsia="zh-CN" w:bidi="ar"/>
                    </w:rPr>
                    <w:t>193</w:t>
                  </w:r>
                  <w:r>
                    <w:rPr>
                      <w:rFonts w:hint="default" w:ascii="Times New Roman" w:hAnsi="Times New Roman" w:eastAsia="宋体" w:cs="var(--dsw-font-markdown-table-h"/>
                      <w:b w:val="0"/>
                      <w:bCs w:val="0"/>
                      <w:color w:val="auto"/>
                      <w:kern w:val="0"/>
                      <w:sz w:val="21"/>
                      <w:szCs w:val="24"/>
                      <w:shd w:val="clear" w:color="auto" w:fill="auto"/>
                      <w:lang w:val="en-US" w:eastAsia="zh-CN" w:bidi="ar"/>
                    </w:rPr>
                    <w:fldChar w:fldCharType="end"/>
                  </w:r>
                </w:p>
              </w:tc>
              <w:tc>
                <w:tcPr>
                  <w:tcW w:w="2440" w:type="dxa"/>
                  <w:vAlign w:val="center"/>
                </w:tcPr>
                <w:p w14:paraId="4D81A1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var(--dsw-font-markdown-table-h"/>
                      <w:b w:val="0"/>
                      <w:bCs w:val="0"/>
                      <w:color w:val="auto"/>
                      <w:kern w:val="0"/>
                      <w:sz w:val="21"/>
                      <w:szCs w:val="24"/>
                      <w:shd w:val="clear" w:color="auto" w:fill="auto"/>
                      <w:lang w:val="en-US" w:eastAsia="zh-CN" w:bidi="ar"/>
                    </w:rPr>
                  </w:pPr>
                  <w:r>
                    <w:rPr>
                      <w:rFonts w:hint="default" w:ascii="Times New Roman" w:hAnsi="Times New Roman" w:eastAsia="宋体" w:cs="var(--dsw-font-markdown-table)"/>
                      <w:b w:val="0"/>
                      <w:bCs w:val="0"/>
                      <w:color w:val="auto"/>
                      <w:kern w:val="0"/>
                      <w:sz w:val="21"/>
                      <w:szCs w:val="24"/>
                      <w:shd w:val="clear" w:color="auto" w:fill="auto"/>
                      <w:lang w:val="en-US" w:eastAsia="zh-CN" w:bidi="ar"/>
                    </w:rPr>
                    <w:t>合计产出</w:t>
                  </w:r>
                </w:p>
              </w:tc>
              <w:tc>
                <w:tcPr>
                  <w:tcW w:w="2440" w:type="dxa"/>
                  <w:vAlign w:val="center"/>
                </w:tcPr>
                <w:p w14:paraId="0D4680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var(--dsw-font-markdown-table-h"/>
                      <w:b w:val="0"/>
                      <w:bCs w:val="0"/>
                      <w:color w:val="auto"/>
                      <w:kern w:val="0"/>
                      <w:sz w:val="21"/>
                      <w:szCs w:val="24"/>
                      <w:shd w:val="clear" w:color="auto" w:fill="auto"/>
                      <w:lang w:val="en-US" w:eastAsia="zh-CN" w:bidi="ar"/>
                    </w:rPr>
                  </w:pPr>
                  <w:r>
                    <w:rPr>
                      <w:rFonts w:hint="eastAsia" w:cs="var(--dsw-font-markdown-table)"/>
                      <w:b w:val="0"/>
                      <w:bCs w:val="0"/>
                      <w:color w:val="auto"/>
                      <w:kern w:val="0"/>
                      <w:sz w:val="21"/>
                      <w:szCs w:val="24"/>
                      <w:shd w:val="clear" w:color="auto" w:fill="auto"/>
                      <w:lang w:val="en-US" w:eastAsia="zh-CN" w:bidi="ar"/>
                    </w:rPr>
                    <w:t>193</w:t>
                  </w:r>
                </w:p>
              </w:tc>
            </w:tr>
            <w:tr w14:paraId="136B7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9" w:type="dxa"/>
                  <w:gridSpan w:val="4"/>
                  <w:vAlign w:val="center"/>
                </w:tcPr>
                <w:p w14:paraId="4B509D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eastAsia" w:cs="var(--dsw-font-markdown-table-h"/>
                      <w:b w:val="0"/>
                      <w:bCs w:val="0"/>
                      <w:color w:val="auto"/>
                      <w:kern w:val="0"/>
                      <w:sz w:val="21"/>
                      <w:szCs w:val="24"/>
                      <w:lang w:val="en-US" w:eastAsia="zh-CN" w:bidi="ar"/>
                    </w:rPr>
                  </w:pPr>
                  <w:r>
                    <w:rPr>
                      <w:rFonts w:hint="eastAsia" w:cs="var(--dsw-font-markdown-table-h"/>
                      <w:b w:val="0"/>
                      <w:bCs w:val="0"/>
                      <w:color w:val="auto"/>
                      <w:kern w:val="0"/>
                      <w:sz w:val="21"/>
                      <w:szCs w:val="24"/>
                      <w:lang w:val="en-US" w:eastAsia="zh-CN" w:bidi="ar"/>
                    </w:rPr>
                    <w:t>注：根据企业提供的信息，EVA鞋底100万双/年、复合鞋底400万双/年，根据EVA鞋底的重量取中间值37.5g/双核算</w:t>
                  </w:r>
                </w:p>
              </w:tc>
            </w:tr>
          </w:tbl>
          <w:p w14:paraId="4821DF00">
            <w:pPr>
              <w:pStyle w:val="5"/>
              <w:keepNext w:val="0"/>
              <w:keepLines w:val="0"/>
              <w:pageBreakBefore w:val="0"/>
              <w:widowControl/>
              <w:suppressLineNumbers w:val="0"/>
              <w:shd w:val="clear" w:fill="FFFFFF"/>
              <w:kinsoku/>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5、主要生产设备</w:t>
            </w:r>
          </w:p>
          <w:p w14:paraId="31C2711F">
            <w:pPr>
              <w:pStyle w:val="9"/>
              <w:numPr>
                <w:ilvl w:val="0"/>
                <w:numId w:val="8"/>
              </w:numPr>
              <w:suppressLineNumbers w:val="0"/>
              <w:spacing w:before="0" w:beforeAutospacing="0" w:after="0" w:afterAutospacing="0" w:line="240" w:lineRule="auto"/>
              <w:ind w:right="0"/>
              <w:jc w:val="center"/>
              <w:rPr>
                <w:rFonts w:hint="default" w:ascii="Times New Roman" w:hAnsi="Times New Roman" w:eastAsia="宋体" w:cs="Times New Roman"/>
                <w:b/>
                <w:color w:val="auto"/>
                <w:sz w:val="21"/>
                <w:szCs w:val="24"/>
              </w:rPr>
            </w:pPr>
            <w:r>
              <w:rPr>
                <w:rFonts w:hint="default" w:ascii="Times New Roman" w:hAnsi="Times New Roman" w:eastAsia="宋体" w:cs="Times New Roman"/>
                <w:b/>
                <w:color w:val="auto"/>
                <w:sz w:val="21"/>
                <w:szCs w:val="24"/>
              </w:rPr>
              <w:t>项目主要设备一览表</w:t>
            </w:r>
          </w:p>
          <w:tbl>
            <w:tblPr>
              <w:tblStyle w:val="49"/>
              <w:tblW w:w="97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2755"/>
              <w:gridCol w:w="3354"/>
              <w:gridCol w:w="968"/>
              <w:gridCol w:w="1952"/>
            </w:tblGrid>
            <w:tr w14:paraId="7A02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0" w:type="dxa"/>
                  <w:vAlign w:val="center"/>
                </w:tcPr>
                <w:p w14:paraId="5E72E23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h"/>
                      <w:b/>
                      <w:bCs/>
                      <w:color w:val="auto"/>
                      <w:kern w:val="0"/>
                      <w:sz w:val="21"/>
                      <w:szCs w:val="24"/>
                      <w:lang w:val="en-US" w:eastAsia="zh-CN" w:bidi="ar"/>
                    </w:rPr>
                    <w:t>序号</w:t>
                  </w:r>
                </w:p>
              </w:tc>
              <w:tc>
                <w:tcPr>
                  <w:tcW w:w="2755" w:type="dxa"/>
                  <w:vAlign w:val="center"/>
                </w:tcPr>
                <w:p w14:paraId="39A751B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h"/>
                      <w:b/>
                      <w:bCs/>
                      <w:color w:val="auto"/>
                      <w:kern w:val="0"/>
                      <w:sz w:val="21"/>
                      <w:szCs w:val="24"/>
                      <w:lang w:val="en-US" w:eastAsia="zh-CN" w:bidi="ar"/>
                    </w:rPr>
                    <w:t>设备名称</w:t>
                  </w:r>
                </w:p>
              </w:tc>
              <w:tc>
                <w:tcPr>
                  <w:tcW w:w="3354" w:type="dxa"/>
                  <w:vAlign w:val="center"/>
                </w:tcPr>
                <w:p w14:paraId="49C6244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h"/>
                      <w:b/>
                      <w:bCs/>
                      <w:color w:val="auto"/>
                      <w:kern w:val="0"/>
                      <w:sz w:val="21"/>
                      <w:szCs w:val="24"/>
                      <w:lang w:val="en-US" w:eastAsia="zh-CN" w:bidi="ar"/>
                    </w:rPr>
                    <w:t>型号</w:t>
                  </w:r>
                </w:p>
              </w:tc>
              <w:tc>
                <w:tcPr>
                  <w:tcW w:w="968" w:type="dxa"/>
                  <w:vAlign w:val="center"/>
                </w:tcPr>
                <w:p w14:paraId="575E887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h"/>
                      <w:b/>
                      <w:bCs/>
                      <w:color w:val="auto"/>
                      <w:kern w:val="0"/>
                      <w:sz w:val="21"/>
                      <w:szCs w:val="24"/>
                      <w:lang w:val="en-US" w:eastAsia="zh-CN" w:bidi="ar"/>
                    </w:rPr>
                    <w:t>数量</w:t>
                  </w:r>
                </w:p>
              </w:tc>
              <w:tc>
                <w:tcPr>
                  <w:tcW w:w="1952" w:type="dxa"/>
                  <w:vAlign w:val="center"/>
                </w:tcPr>
                <w:p w14:paraId="4398A50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h"/>
                      <w:b/>
                      <w:bCs/>
                      <w:color w:val="auto"/>
                      <w:kern w:val="0"/>
                      <w:sz w:val="21"/>
                      <w:szCs w:val="24"/>
                      <w:lang w:val="en-US" w:eastAsia="zh-CN" w:bidi="ar"/>
                    </w:rPr>
                    <w:t>所属工序</w:t>
                  </w:r>
                </w:p>
              </w:tc>
            </w:tr>
            <w:tr w14:paraId="40E0E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7666CFC8">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p>
              </w:tc>
              <w:tc>
                <w:tcPr>
                  <w:tcW w:w="2755" w:type="dxa"/>
                  <w:vAlign w:val="center"/>
                </w:tcPr>
                <w:p w14:paraId="34DA9B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拌料机</w:t>
                  </w:r>
                </w:p>
              </w:tc>
              <w:tc>
                <w:tcPr>
                  <w:tcW w:w="3354" w:type="dxa"/>
                  <w:vAlign w:val="center"/>
                </w:tcPr>
                <w:p w14:paraId="0EB214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w:t>
                  </w:r>
                </w:p>
              </w:tc>
              <w:tc>
                <w:tcPr>
                  <w:tcW w:w="968" w:type="dxa"/>
                  <w:vAlign w:val="center"/>
                </w:tcPr>
                <w:p w14:paraId="6913D1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2台</w:t>
                  </w:r>
                </w:p>
              </w:tc>
              <w:tc>
                <w:tcPr>
                  <w:tcW w:w="1952" w:type="dxa"/>
                  <w:vAlign w:val="center"/>
                </w:tcPr>
                <w:p w14:paraId="274298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拌料</w:t>
                  </w:r>
                </w:p>
              </w:tc>
            </w:tr>
            <w:tr w14:paraId="7C460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584B4E29">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var(--dsw-font-markdown-table)"/>
                      <w:b w:val="0"/>
                      <w:bCs w:val="0"/>
                      <w:color w:val="auto"/>
                      <w:kern w:val="0"/>
                      <w:sz w:val="21"/>
                      <w:szCs w:val="24"/>
                      <w:lang w:val="en-US" w:eastAsia="zh-CN" w:bidi="ar"/>
                    </w:rPr>
                  </w:pPr>
                </w:p>
              </w:tc>
              <w:tc>
                <w:tcPr>
                  <w:tcW w:w="2755" w:type="dxa"/>
                  <w:vAlign w:val="center"/>
                </w:tcPr>
                <w:p w14:paraId="292EE6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EVA发泡机</w:t>
                  </w:r>
                </w:p>
              </w:tc>
              <w:tc>
                <w:tcPr>
                  <w:tcW w:w="3354" w:type="dxa"/>
                  <w:vAlign w:val="center"/>
                </w:tcPr>
                <w:p w14:paraId="3112DF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10腔</w:t>
                  </w:r>
                </w:p>
              </w:tc>
              <w:tc>
                <w:tcPr>
                  <w:tcW w:w="968" w:type="dxa"/>
                  <w:vAlign w:val="center"/>
                </w:tcPr>
                <w:p w14:paraId="319399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5台</w:t>
                  </w:r>
                </w:p>
              </w:tc>
              <w:tc>
                <w:tcPr>
                  <w:tcW w:w="1952" w:type="dxa"/>
                  <w:vAlign w:val="center"/>
                </w:tcPr>
                <w:p w14:paraId="44134F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发泡成型</w:t>
                  </w:r>
                </w:p>
              </w:tc>
            </w:tr>
            <w:tr w14:paraId="06A3D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1DAAF7DF">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4770F16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冷却水池</w:t>
                  </w:r>
                </w:p>
              </w:tc>
              <w:tc>
                <w:tcPr>
                  <w:tcW w:w="3354" w:type="dxa"/>
                  <w:vAlign w:val="center"/>
                </w:tcPr>
                <w:p w14:paraId="2175804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4m×2.5m×1m，有效水深0.8m</w:t>
                  </w:r>
                </w:p>
              </w:tc>
              <w:tc>
                <w:tcPr>
                  <w:tcW w:w="968" w:type="dxa"/>
                  <w:vAlign w:val="center"/>
                </w:tcPr>
                <w:p w14:paraId="4FE89D1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1个</w:t>
                  </w:r>
                </w:p>
              </w:tc>
              <w:tc>
                <w:tcPr>
                  <w:tcW w:w="1952" w:type="dxa"/>
                  <w:vMerge w:val="restart"/>
                  <w:vAlign w:val="center"/>
                </w:tcPr>
                <w:p w14:paraId="3B33878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辅助</w:t>
                  </w:r>
                </w:p>
              </w:tc>
            </w:tr>
            <w:tr w14:paraId="677B4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537C0323">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50CD888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冷水机</w:t>
                  </w:r>
                </w:p>
              </w:tc>
              <w:tc>
                <w:tcPr>
                  <w:tcW w:w="3354" w:type="dxa"/>
                  <w:vAlign w:val="center"/>
                </w:tcPr>
                <w:p w14:paraId="257E74D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2t/h</w:t>
                  </w:r>
                </w:p>
              </w:tc>
              <w:tc>
                <w:tcPr>
                  <w:tcW w:w="968" w:type="dxa"/>
                  <w:vAlign w:val="center"/>
                </w:tcPr>
                <w:p w14:paraId="6281423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1台</w:t>
                  </w:r>
                </w:p>
              </w:tc>
              <w:tc>
                <w:tcPr>
                  <w:tcW w:w="1952" w:type="dxa"/>
                  <w:vMerge w:val="continue"/>
                  <w:vAlign w:val="center"/>
                </w:tcPr>
                <w:p w14:paraId="5A772FF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589F0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57C876DB">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78C8694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裁断机</w:t>
                  </w:r>
                </w:p>
              </w:tc>
              <w:tc>
                <w:tcPr>
                  <w:tcW w:w="3354" w:type="dxa"/>
                  <w:vAlign w:val="center"/>
                </w:tcPr>
                <w:p w14:paraId="63E073B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39E818D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30台</w:t>
                  </w:r>
                </w:p>
              </w:tc>
              <w:tc>
                <w:tcPr>
                  <w:tcW w:w="1952" w:type="dxa"/>
                  <w:vAlign w:val="center"/>
                </w:tcPr>
                <w:p w14:paraId="556CD4B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裁切</w:t>
                  </w:r>
                </w:p>
              </w:tc>
            </w:tr>
            <w:tr w14:paraId="633DA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0E865A68">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3BDFC86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自动剪线针车</w:t>
                  </w:r>
                </w:p>
              </w:tc>
              <w:tc>
                <w:tcPr>
                  <w:tcW w:w="3354" w:type="dxa"/>
                  <w:vAlign w:val="center"/>
                </w:tcPr>
                <w:p w14:paraId="144EA2E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1108292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100台</w:t>
                  </w:r>
                </w:p>
              </w:tc>
              <w:tc>
                <w:tcPr>
                  <w:tcW w:w="1952" w:type="dxa"/>
                  <w:vMerge w:val="restart"/>
                  <w:vAlign w:val="center"/>
                </w:tcPr>
                <w:p w14:paraId="2A38FDD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针车</w:t>
                  </w:r>
                </w:p>
              </w:tc>
            </w:tr>
            <w:tr w14:paraId="65A25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7B0F5E21">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53FD51E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自动花样机</w:t>
                  </w:r>
                </w:p>
              </w:tc>
              <w:tc>
                <w:tcPr>
                  <w:tcW w:w="3354" w:type="dxa"/>
                  <w:vAlign w:val="center"/>
                </w:tcPr>
                <w:p w14:paraId="3AD5BDF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66D0A46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8台</w:t>
                  </w:r>
                </w:p>
              </w:tc>
              <w:tc>
                <w:tcPr>
                  <w:tcW w:w="1952" w:type="dxa"/>
                  <w:vMerge w:val="continue"/>
                  <w:vAlign w:val="center"/>
                </w:tcPr>
                <w:p w14:paraId="326CA60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379EB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5C27A2E2">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559DCE8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包边车</w:t>
                  </w:r>
                </w:p>
              </w:tc>
              <w:tc>
                <w:tcPr>
                  <w:tcW w:w="3354" w:type="dxa"/>
                  <w:vAlign w:val="center"/>
                </w:tcPr>
                <w:p w14:paraId="2F10BE0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59F967D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20台</w:t>
                  </w:r>
                </w:p>
              </w:tc>
              <w:tc>
                <w:tcPr>
                  <w:tcW w:w="1952" w:type="dxa"/>
                  <w:vMerge w:val="continue"/>
                  <w:vAlign w:val="center"/>
                </w:tcPr>
                <w:p w14:paraId="48B00F5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2567B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7259479E">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78B7658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四针六线机</w:t>
                  </w:r>
                </w:p>
              </w:tc>
              <w:tc>
                <w:tcPr>
                  <w:tcW w:w="3354" w:type="dxa"/>
                  <w:vAlign w:val="center"/>
                </w:tcPr>
                <w:p w14:paraId="4B0DF38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57C7518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15台</w:t>
                  </w:r>
                </w:p>
              </w:tc>
              <w:tc>
                <w:tcPr>
                  <w:tcW w:w="1952" w:type="dxa"/>
                  <w:vMerge w:val="continue"/>
                  <w:vAlign w:val="center"/>
                </w:tcPr>
                <w:p w14:paraId="1555C55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091C0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193F007A">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683FDEA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人字车</w:t>
                  </w:r>
                </w:p>
              </w:tc>
              <w:tc>
                <w:tcPr>
                  <w:tcW w:w="3354" w:type="dxa"/>
                  <w:vAlign w:val="center"/>
                </w:tcPr>
                <w:p w14:paraId="380C402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1AA5A05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50台</w:t>
                  </w:r>
                </w:p>
              </w:tc>
              <w:tc>
                <w:tcPr>
                  <w:tcW w:w="1952" w:type="dxa"/>
                  <w:vMerge w:val="continue"/>
                  <w:vAlign w:val="center"/>
                </w:tcPr>
                <w:p w14:paraId="6BBAD24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0D13F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0692EE4E">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776AEF2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全自动震动刀切割机</w:t>
                  </w:r>
                </w:p>
              </w:tc>
              <w:tc>
                <w:tcPr>
                  <w:tcW w:w="3354" w:type="dxa"/>
                  <w:vAlign w:val="center"/>
                </w:tcPr>
                <w:p w14:paraId="7ED8716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1C0EC99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10台</w:t>
                  </w:r>
                </w:p>
              </w:tc>
              <w:tc>
                <w:tcPr>
                  <w:tcW w:w="1952" w:type="dxa"/>
                  <w:vMerge w:val="restart"/>
                  <w:vAlign w:val="center"/>
                </w:tcPr>
                <w:p w14:paraId="60D5839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裁切</w:t>
                  </w:r>
                </w:p>
              </w:tc>
            </w:tr>
            <w:tr w14:paraId="5FCCE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049BB10F">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38B9D56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激光切割机</w:t>
                  </w:r>
                </w:p>
              </w:tc>
              <w:tc>
                <w:tcPr>
                  <w:tcW w:w="3354" w:type="dxa"/>
                  <w:vAlign w:val="center"/>
                </w:tcPr>
                <w:p w14:paraId="23FFC27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0F5331B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20台</w:t>
                  </w:r>
                </w:p>
              </w:tc>
              <w:tc>
                <w:tcPr>
                  <w:tcW w:w="1952" w:type="dxa"/>
                  <w:vMerge w:val="continue"/>
                  <w:vAlign w:val="center"/>
                </w:tcPr>
                <w:p w14:paraId="4531AE2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757B1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614EBF29">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34849D2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熔断机</w:t>
                  </w:r>
                </w:p>
              </w:tc>
              <w:tc>
                <w:tcPr>
                  <w:tcW w:w="3354" w:type="dxa"/>
                  <w:vAlign w:val="center"/>
                </w:tcPr>
                <w:p w14:paraId="67809F4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2F5389F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200台</w:t>
                  </w:r>
                </w:p>
              </w:tc>
              <w:tc>
                <w:tcPr>
                  <w:tcW w:w="1952" w:type="dxa"/>
                  <w:vAlign w:val="center"/>
                </w:tcPr>
                <w:p w14:paraId="06D58C7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熔断</w:t>
                  </w:r>
                </w:p>
              </w:tc>
            </w:tr>
            <w:tr w14:paraId="137C0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43AE398E">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49AC25C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高周波</w:t>
                  </w:r>
                </w:p>
              </w:tc>
              <w:tc>
                <w:tcPr>
                  <w:tcW w:w="3354" w:type="dxa"/>
                  <w:vAlign w:val="center"/>
                </w:tcPr>
                <w:p w14:paraId="0F8DC03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1ACA48C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15台</w:t>
                  </w:r>
                </w:p>
              </w:tc>
              <w:tc>
                <w:tcPr>
                  <w:tcW w:w="1952" w:type="dxa"/>
                  <w:vAlign w:val="center"/>
                </w:tcPr>
                <w:p w14:paraId="3AF0611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高频</w:t>
                  </w:r>
                </w:p>
              </w:tc>
            </w:tr>
            <w:tr w14:paraId="2148A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26A881F4">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38C2223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削皮机</w:t>
                  </w:r>
                </w:p>
              </w:tc>
              <w:tc>
                <w:tcPr>
                  <w:tcW w:w="3354" w:type="dxa"/>
                  <w:vAlign w:val="center"/>
                </w:tcPr>
                <w:p w14:paraId="7588D66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52631B2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15台</w:t>
                  </w:r>
                </w:p>
              </w:tc>
              <w:tc>
                <w:tcPr>
                  <w:tcW w:w="1952" w:type="dxa"/>
                  <w:vAlign w:val="center"/>
                </w:tcPr>
                <w:p w14:paraId="0D890FC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削皮</w:t>
                  </w:r>
                </w:p>
              </w:tc>
            </w:tr>
            <w:tr w14:paraId="761D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4A52DCFA">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7ED5682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UV打印机</w:t>
                  </w:r>
                </w:p>
              </w:tc>
              <w:tc>
                <w:tcPr>
                  <w:tcW w:w="3354" w:type="dxa"/>
                  <w:vAlign w:val="center"/>
                </w:tcPr>
                <w:p w14:paraId="036AB0E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6B9C9D5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4台</w:t>
                  </w:r>
                </w:p>
              </w:tc>
              <w:tc>
                <w:tcPr>
                  <w:tcW w:w="1952" w:type="dxa"/>
                  <w:vAlign w:val="center"/>
                </w:tcPr>
                <w:p w14:paraId="111AC02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UV打印</w:t>
                  </w:r>
                </w:p>
              </w:tc>
            </w:tr>
            <w:tr w14:paraId="15D70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6A8CC5DF">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6B0FAAB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转印纸打印机</w:t>
                  </w:r>
                </w:p>
              </w:tc>
              <w:tc>
                <w:tcPr>
                  <w:tcW w:w="3354" w:type="dxa"/>
                  <w:vAlign w:val="center"/>
                </w:tcPr>
                <w:p w14:paraId="1E8A869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590A89F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2台</w:t>
                  </w:r>
                </w:p>
              </w:tc>
              <w:tc>
                <w:tcPr>
                  <w:tcW w:w="1952" w:type="dxa"/>
                  <w:vAlign w:val="center"/>
                </w:tcPr>
                <w:p w14:paraId="5E2594F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打印</w:t>
                  </w:r>
                </w:p>
              </w:tc>
            </w:tr>
            <w:tr w14:paraId="188B6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69594726">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36F8488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热转印机</w:t>
                  </w:r>
                </w:p>
              </w:tc>
              <w:tc>
                <w:tcPr>
                  <w:tcW w:w="3354" w:type="dxa"/>
                  <w:vAlign w:val="center"/>
                </w:tcPr>
                <w:p w14:paraId="142C968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76AE788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2台</w:t>
                  </w:r>
                </w:p>
              </w:tc>
              <w:tc>
                <w:tcPr>
                  <w:tcW w:w="1952" w:type="dxa"/>
                  <w:vAlign w:val="center"/>
                </w:tcPr>
                <w:p w14:paraId="4A40DE3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热转印</w:t>
                  </w:r>
                </w:p>
              </w:tc>
            </w:tr>
            <w:tr w14:paraId="28BE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64F7FDBF">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21A9902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锤平机</w:t>
                  </w:r>
                </w:p>
              </w:tc>
              <w:tc>
                <w:tcPr>
                  <w:tcW w:w="3354" w:type="dxa"/>
                  <w:vAlign w:val="center"/>
                </w:tcPr>
                <w:p w14:paraId="7648D93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2094AF9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eastAsia" w:cs="var(--dsw-font-markdown-table)"/>
                      <w:color w:val="auto"/>
                      <w:kern w:val="0"/>
                      <w:sz w:val="21"/>
                      <w:szCs w:val="24"/>
                      <w:lang w:val="en-US" w:eastAsia="zh-CN" w:bidi="ar"/>
                    </w:rPr>
                    <w:t>30</w:t>
                  </w:r>
                  <w:r>
                    <w:rPr>
                      <w:rFonts w:hint="default" w:ascii="Times New Roman" w:hAnsi="Times New Roman" w:eastAsia="宋体" w:cs="var(--dsw-font-markdown-table)"/>
                      <w:color w:val="auto"/>
                      <w:kern w:val="0"/>
                      <w:sz w:val="21"/>
                      <w:szCs w:val="24"/>
                      <w:lang w:val="en-US" w:eastAsia="zh-CN" w:bidi="ar"/>
                    </w:rPr>
                    <w:t>台</w:t>
                  </w:r>
                </w:p>
              </w:tc>
              <w:tc>
                <w:tcPr>
                  <w:tcW w:w="1952" w:type="dxa"/>
                  <w:vAlign w:val="center"/>
                </w:tcPr>
                <w:p w14:paraId="141FF52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锤平</w:t>
                  </w:r>
                </w:p>
              </w:tc>
            </w:tr>
            <w:tr w14:paraId="6F186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3991E872">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29E01D2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烫平机</w:t>
                  </w:r>
                </w:p>
              </w:tc>
              <w:tc>
                <w:tcPr>
                  <w:tcW w:w="3354" w:type="dxa"/>
                  <w:vAlign w:val="center"/>
                </w:tcPr>
                <w:p w14:paraId="30C4BB9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51E9A2C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15台</w:t>
                  </w:r>
                </w:p>
              </w:tc>
              <w:tc>
                <w:tcPr>
                  <w:tcW w:w="1952" w:type="dxa"/>
                  <w:vAlign w:val="center"/>
                </w:tcPr>
                <w:p w14:paraId="79E5B56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烫平</w:t>
                  </w:r>
                </w:p>
              </w:tc>
            </w:tr>
            <w:tr w14:paraId="07D0E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77DEC56C">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5B7E91A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修边机</w:t>
                  </w:r>
                </w:p>
              </w:tc>
              <w:tc>
                <w:tcPr>
                  <w:tcW w:w="3354" w:type="dxa"/>
                  <w:vAlign w:val="center"/>
                </w:tcPr>
                <w:p w14:paraId="105089A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1623BA6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15台</w:t>
                  </w:r>
                </w:p>
              </w:tc>
              <w:tc>
                <w:tcPr>
                  <w:tcW w:w="1952" w:type="dxa"/>
                  <w:vAlign w:val="center"/>
                </w:tcPr>
                <w:p w14:paraId="2F481B6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修边</w:t>
                  </w:r>
                </w:p>
              </w:tc>
            </w:tr>
            <w:tr w14:paraId="638A5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260C158C">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354FE11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冲孔机</w:t>
                  </w:r>
                </w:p>
              </w:tc>
              <w:tc>
                <w:tcPr>
                  <w:tcW w:w="3354" w:type="dxa"/>
                  <w:vAlign w:val="center"/>
                </w:tcPr>
                <w:p w14:paraId="1F84782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075E1DC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15台</w:t>
                  </w:r>
                </w:p>
              </w:tc>
              <w:tc>
                <w:tcPr>
                  <w:tcW w:w="1952" w:type="dxa"/>
                  <w:vAlign w:val="center"/>
                </w:tcPr>
                <w:p w14:paraId="065375E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冲孔</w:t>
                  </w:r>
                </w:p>
              </w:tc>
            </w:tr>
            <w:tr w14:paraId="10A14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2E7FDAF1">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00EBE8F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蒸湿机</w:t>
                  </w:r>
                </w:p>
              </w:tc>
              <w:tc>
                <w:tcPr>
                  <w:tcW w:w="3354" w:type="dxa"/>
                  <w:vAlign w:val="center"/>
                </w:tcPr>
                <w:p w14:paraId="5192057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54E93A8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eastAsia" w:cs="var(--dsw-font-markdown-table)"/>
                      <w:color w:val="auto"/>
                      <w:kern w:val="0"/>
                      <w:sz w:val="21"/>
                      <w:szCs w:val="24"/>
                      <w:lang w:val="en-US" w:eastAsia="zh-CN" w:bidi="ar"/>
                    </w:rPr>
                    <w:t>12</w:t>
                  </w:r>
                  <w:r>
                    <w:rPr>
                      <w:rFonts w:hint="default" w:ascii="Times New Roman" w:hAnsi="Times New Roman" w:eastAsia="宋体" w:cs="var(--dsw-font-markdown-table)"/>
                      <w:color w:val="auto"/>
                      <w:kern w:val="0"/>
                      <w:sz w:val="21"/>
                      <w:szCs w:val="24"/>
                      <w:lang w:val="en-US" w:eastAsia="zh-CN" w:bidi="ar"/>
                    </w:rPr>
                    <w:t>台</w:t>
                  </w:r>
                </w:p>
              </w:tc>
              <w:tc>
                <w:tcPr>
                  <w:tcW w:w="1952" w:type="dxa"/>
                  <w:vAlign w:val="center"/>
                </w:tcPr>
                <w:p w14:paraId="586B3B5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蒸湿</w:t>
                  </w:r>
                </w:p>
              </w:tc>
            </w:tr>
            <w:tr w14:paraId="6F144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6852390F">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4320B37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传送除皱机</w:t>
                  </w:r>
                </w:p>
              </w:tc>
              <w:tc>
                <w:tcPr>
                  <w:tcW w:w="3354" w:type="dxa"/>
                  <w:vAlign w:val="center"/>
                </w:tcPr>
                <w:p w14:paraId="06F50AC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7BC6E45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8台</w:t>
                  </w:r>
                </w:p>
              </w:tc>
              <w:tc>
                <w:tcPr>
                  <w:tcW w:w="1952" w:type="dxa"/>
                  <w:vMerge w:val="restart"/>
                  <w:vAlign w:val="center"/>
                </w:tcPr>
                <w:p w14:paraId="5950D11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除皱</w:t>
                  </w:r>
                </w:p>
              </w:tc>
            </w:tr>
            <w:tr w14:paraId="5CDB2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5E66A644">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3F2D298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小除皱机</w:t>
                  </w:r>
                </w:p>
              </w:tc>
              <w:tc>
                <w:tcPr>
                  <w:tcW w:w="3354" w:type="dxa"/>
                  <w:vAlign w:val="center"/>
                </w:tcPr>
                <w:p w14:paraId="2E3A77F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375E722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20台</w:t>
                  </w:r>
                </w:p>
              </w:tc>
              <w:tc>
                <w:tcPr>
                  <w:tcW w:w="1952" w:type="dxa"/>
                  <w:vMerge w:val="continue"/>
                  <w:vAlign w:val="center"/>
                </w:tcPr>
                <w:p w14:paraId="72F9487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51B00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56BF7077">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4912707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后锺定型机</w:t>
                  </w:r>
                </w:p>
              </w:tc>
              <w:tc>
                <w:tcPr>
                  <w:tcW w:w="3354" w:type="dxa"/>
                  <w:vAlign w:val="center"/>
                </w:tcPr>
                <w:p w14:paraId="7BA433C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4A0203F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eastAsia" w:cs="var(--dsw-font-markdown-table)"/>
                      <w:color w:val="auto"/>
                      <w:kern w:val="0"/>
                      <w:sz w:val="21"/>
                      <w:szCs w:val="24"/>
                      <w:lang w:val="en-US" w:eastAsia="zh-CN" w:bidi="ar"/>
                    </w:rPr>
                    <w:t>12</w:t>
                  </w:r>
                  <w:r>
                    <w:rPr>
                      <w:rFonts w:hint="default" w:ascii="Times New Roman" w:hAnsi="Times New Roman" w:eastAsia="宋体" w:cs="var(--dsw-font-markdown-table)"/>
                      <w:color w:val="auto"/>
                      <w:kern w:val="0"/>
                      <w:sz w:val="21"/>
                      <w:szCs w:val="24"/>
                      <w:lang w:val="en-US" w:eastAsia="zh-CN" w:bidi="ar"/>
                    </w:rPr>
                    <w:t>台</w:t>
                  </w:r>
                </w:p>
              </w:tc>
              <w:tc>
                <w:tcPr>
                  <w:tcW w:w="1952" w:type="dxa"/>
                  <w:vMerge w:val="restart"/>
                  <w:vAlign w:val="center"/>
                </w:tcPr>
                <w:p w14:paraId="72C6394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定型</w:t>
                  </w:r>
                </w:p>
              </w:tc>
            </w:tr>
            <w:tr w14:paraId="6E6E3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37D56353">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10B74AE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鞋头定型机</w:t>
                  </w:r>
                </w:p>
              </w:tc>
              <w:tc>
                <w:tcPr>
                  <w:tcW w:w="3354" w:type="dxa"/>
                  <w:vAlign w:val="center"/>
                </w:tcPr>
                <w:p w14:paraId="27AEC32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3E4E6EE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eastAsia" w:cs="var(--dsw-font-markdown-table)"/>
                      <w:color w:val="auto"/>
                      <w:kern w:val="0"/>
                      <w:sz w:val="21"/>
                      <w:szCs w:val="24"/>
                      <w:lang w:val="en-US" w:eastAsia="zh-CN" w:bidi="ar"/>
                    </w:rPr>
                    <w:t>12</w:t>
                  </w:r>
                  <w:r>
                    <w:rPr>
                      <w:rFonts w:hint="default" w:ascii="Times New Roman" w:hAnsi="Times New Roman" w:eastAsia="宋体" w:cs="var(--dsw-font-markdown-table)"/>
                      <w:color w:val="auto"/>
                      <w:kern w:val="0"/>
                      <w:sz w:val="21"/>
                      <w:szCs w:val="24"/>
                      <w:lang w:val="en-US" w:eastAsia="zh-CN" w:bidi="ar"/>
                    </w:rPr>
                    <w:t>台</w:t>
                  </w:r>
                </w:p>
              </w:tc>
              <w:tc>
                <w:tcPr>
                  <w:tcW w:w="1952" w:type="dxa"/>
                  <w:vMerge w:val="continue"/>
                  <w:vAlign w:val="center"/>
                </w:tcPr>
                <w:p w14:paraId="0C35EB4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5D742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2FA1DCA1">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46A2E65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拉帮机</w:t>
                  </w:r>
                </w:p>
              </w:tc>
              <w:tc>
                <w:tcPr>
                  <w:tcW w:w="3354" w:type="dxa"/>
                  <w:vAlign w:val="center"/>
                </w:tcPr>
                <w:p w14:paraId="68F1AD4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22A10DC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eastAsia" w:cs="var(--dsw-font-markdown-table)"/>
                      <w:color w:val="auto"/>
                      <w:kern w:val="0"/>
                      <w:sz w:val="21"/>
                      <w:szCs w:val="24"/>
                      <w:lang w:val="en-US" w:eastAsia="zh-CN" w:bidi="ar"/>
                    </w:rPr>
                    <w:t>12</w:t>
                  </w:r>
                  <w:r>
                    <w:rPr>
                      <w:rFonts w:hint="default" w:ascii="Times New Roman" w:hAnsi="Times New Roman" w:eastAsia="宋体" w:cs="var(--dsw-font-markdown-table)"/>
                      <w:color w:val="auto"/>
                      <w:kern w:val="0"/>
                      <w:sz w:val="21"/>
                      <w:szCs w:val="24"/>
                      <w:lang w:val="en-US" w:eastAsia="zh-CN" w:bidi="ar"/>
                    </w:rPr>
                    <w:t>台</w:t>
                  </w:r>
                </w:p>
              </w:tc>
              <w:tc>
                <w:tcPr>
                  <w:tcW w:w="1952" w:type="dxa"/>
                  <w:vAlign w:val="center"/>
                </w:tcPr>
                <w:p w14:paraId="20169ED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拉帮</w:t>
                  </w:r>
                </w:p>
              </w:tc>
            </w:tr>
            <w:tr w14:paraId="1ACC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734E4960">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58523D9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喷胶机</w:t>
                  </w:r>
                </w:p>
              </w:tc>
              <w:tc>
                <w:tcPr>
                  <w:tcW w:w="3354" w:type="dxa"/>
                  <w:vAlign w:val="center"/>
                </w:tcPr>
                <w:p w14:paraId="75E648F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3FC8883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eastAsia" w:cs="var(--dsw-font-markdown-table)"/>
                      <w:color w:val="auto"/>
                      <w:kern w:val="0"/>
                      <w:sz w:val="21"/>
                      <w:szCs w:val="24"/>
                      <w:lang w:val="en-US" w:eastAsia="zh-CN" w:bidi="ar"/>
                    </w:rPr>
                    <w:t>26</w:t>
                  </w:r>
                  <w:r>
                    <w:rPr>
                      <w:rFonts w:hint="default" w:ascii="Times New Roman" w:hAnsi="Times New Roman" w:eastAsia="宋体" w:cs="var(--dsw-font-markdown-table)"/>
                      <w:color w:val="auto"/>
                      <w:kern w:val="0"/>
                      <w:sz w:val="21"/>
                      <w:szCs w:val="24"/>
                      <w:lang w:val="en-US" w:eastAsia="zh-CN" w:bidi="ar"/>
                    </w:rPr>
                    <w:t>台</w:t>
                  </w:r>
                </w:p>
              </w:tc>
              <w:tc>
                <w:tcPr>
                  <w:tcW w:w="1952" w:type="dxa"/>
                  <w:vAlign w:val="center"/>
                </w:tcPr>
                <w:p w14:paraId="71F4386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喷胶</w:t>
                  </w:r>
                </w:p>
              </w:tc>
            </w:tr>
            <w:tr w14:paraId="05861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3310E4FD">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280CEB1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刷胶机</w:t>
                  </w:r>
                </w:p>
              </w:tc>
              <w:tc>
                <w:tcPr>
                  <w:tcW w:w="3354" w:type="dxa"/>
                  <w:vAlign w:val="center"/>
                </w:tcPr>
                <w:p w14:paraId="634B488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0216FC8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eastAsia" w:cs="var(--dsw-font-markdown-table)"/>
                      <w:color w:val="auto"/>
                      <w:kern w:val="0"/>
                      <w:sz w:val="21"/>
                      <w:szCs w:val="24"/>
                      <w:lang w:val="en-US" w:eastAsia="zh-CN" w:bidi="ar"/>
                    </w:rPr>
                    <w:t>14</w:t>
                  </w:r>
                  <w:r>
                    <w:rPr>
                      <w:rFonts w:hint="default" w:ascii="Times New Roman" w:hAnsi="Times New Roman" w:eastAsia="宋体" w:cs="var(--dsw-font-markdown-table)"/>
                      <w:color w:val="auto"/>
                      <w:kern w:val="0"/>
                      <w:sz w:val="21"/>
                      <w:szCs w:val="24"/>
                      <w:lang w:val="en-US" w:eastAsia="zh-CN" w:bidi="ar"/>
                    </w:rPr>
                    <w:t>台</w:t>
                  </w:r>
                </w:p>
              </w:tc>
              <w:tc>
                <w:tcPr>
                  <w:tcW w:w="1952" w:type="dxa"/>
                  <w:vAlign w:val="center"/>
                </w:tcPr>
                <w:p w14:paraId="367E9C5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刷胶</w:t>
                  </w:r>
                </w:p>
              </w:tc>
            </w:tr>
            <w:tr w14:paraId="18F8C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1E1A1B7F">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540CD03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前段流水线</w:t>
                  </w:r>
                </w:p>
              </w:tc>
              <w:tc>
                <w:tcPr>
                  <w:tcW w:w="3354" w:type="dxa"/>
                  <w:vAlign w:val="center"/>
                </w:tcPr>
                <w:p w14:paraId="12E98BB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591B37B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12条</w:t>
                  </w:r>
                </w:p>
              </w:tc>
              <w:tc>
                <w:tcPr>
                  <w:tcW w:w="1952" w:type="dxa"/>
                  <w:vAlign w:val="center"/>
                </w:tcPr>
                <w:p w14:paraId="45ED0CC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输送</w:t>
                  </w:r>
                </w:p>
              </w:tc>
            </w:tr>
            <w:tr w14:paraId="01D3D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0" w:type="dxa"/>
                  <w:vAlign w:val="center"/>
                </w:tcPr>
                <w:p w14:paraId="7FAB5387">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7CEA033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打粗机</w:t>
                  </w:r>
                </w:p>
              </w:tc>
              <w:tc>
                <w:tcPr>
                  <w:tcW w:w="3354" w:type="dxa"/>
                  <w:vAlign w:val="center"/>
                </w:tcPr>
                <w:p w14:paraId="1D1F207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384F945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eastAsia" w:cs="var(--dsw-font-markdown-table)"/>
                      <w:color w:val="auto"/>
                      <w:kern w:val="0"/>
                      <w:sz w:val="21"/>
                      <w:szCs w:val="24"/>
                      <w:lang w:val="en-US" w:eastAsia="zh-CN" w:bidi="ar"/>
                    </w:rPr>
                    <w:t>16</w:t>
                  </w:r>
                  <w:r>
                    <w:rPr>
                      <w:rFonts w:hint="default" w:ascii="Times New Roman" w:hAnsi="Times New Roman" w:eastAsia="宋体" w:cs="var(--dsw-font-markdown-table)"/>
                      <w:color w:val="auto"/>
                      <w:kern w:val="0"/>
                      <w:sz w:val="21"/>
                      <w:szCs w:val="24"/>
                      <w:lang w:val="en-US" w:eastAsia="zh-CN" w:bidi="ar"/>
                    </w:rPr>
                    <w:t>台</w:t>
                  </w:r>
                </w:p>
              </w:tc>
              <w:tc>
                <w:tcPr>
                  <w:tcW w:w="1952" w:type="dxa"/>
                  <w:vAlign w:val="center"/>
                </w:tcPr>
                <w:p w14:paraId="062C172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打粗</w:t>
                  </w:r>
                </w:p>
              </w:tc>
            </w:tr>
            <w:tr w14:paraId="07EDC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0D319DD9">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5AC4A24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加硫箱</w:t>
                  </w:r>
                </w:p>
              </w:tc>
              <w:tc>
                <w:tcPr>
                  <w:tcW w:w="3354" w:type="dxa"/>
                  <w:vAlign w:val="center"/>
                </w:tcPr>
                <w:p w14:paraId="1FC523F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510CE91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12台</w:t>
                  </w:r>
                </w:p>
              </w:tc>
              <w:tc>
                <w:tcPr>
                  <w:tcW w:w="1952" w:type="dxa"/>
                  <w:vAlign w:val="center"/>
                </w:tcPr>
                <w:p w14:paraId="1BEA147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加硫</w:t>
                  </w:r>
                </w:p>
              </w:tc>
            </w:tr>
            <w:tr w14:paraId="0F430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673AE622">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7C63441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双红温流水线</w:t>
                  </w:r>
                </w:p>
              </w:tc>
              <w:tc>
                <w:tcPr>
                  <w:tcW w:w="3354" w:type="dxa"/>
                  <w:vAlign w:val="center"/>
                </w:tcPr>
                <w:p w14:paraId="6F563D1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3013540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12条</w:t>
                  </w:r>
                </w:p>
              </w:tc>
              <w:tc>
                <w:tcPr>
                  <w:tcW w:w="1952" w:type="dxa"/>
                  <w:vAlign w:val="center"/>
                </w:tcPr>
                <w:p w14:paraId="1BD02DB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输送</w:t>
                  </w:r>
                </w:p>
              </w:tc>
            </w:tr>
            <w:tr w14:paraId="479AD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77CF72D8">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3AC9FB6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lang w:val="en-US"/>
                    </w:rPr>
                  </w:pPr>
                  <w:r>
                    <w:rPr>
                      <w:rFonts w:hint="default" w:ascii="Times New Roman" w:hAnsi="Times New Roman" w:eastAsia="宋体" w:cs="var(--dsw-font-markdown-table)"/>
                      <w:color w:val="auto"/>
                      <w:kern w:val="0"/>
                      <w:sz w:val="21"/>
                      <w:szCs w:val="24"/>
                      <w:lang w:val="en-US" w:eastAsia="zh-CN" w:bidi="ar"/>
                    </w:rPr>
                    <w:t>补胶</w:t>
                  </w:r>
                  <w:r>
                    <w:rPr>
                      <w:rFonts w:hint="eastAsia" w:cs="var(--dsw-font-markdown-table)"/>
                      <w:color w:val="auto"/>
                      <w:kern w:val="0"/>
                      <w:sz w:val="21"/>
                      <w:szCs w:val="24"/>
                      <w:lang w:val="en-US" w:eastAsia="zh-CN" w:bidi="ar"/>
                    </w:rPr>
                    <w:t>机</w:t>
                  </w:r>
                </w:p>
              </w:tc>
              <w:tc>
                <w:tcPr>
                  <w:tcW w:w="3354" w:type="dxa"/>
                  <w:vAlign w:val="center"/>
                </w:tcPr>
                <w:p w14:paraId="6E8C49F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4B348DA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12</w:t>
                  </w:r>
                  <w:r>
                    <w:rPr>
                      <w:rFonts w:hint="eastAsia" w:cs="var(--dsw-font-markdown-table)"/>
                      <w:color w:val="auto"/>
                      <w:kern w:val="0"/>
                      <w:sz w:val="21"/>
                      <w:szCs w:val="24"/>
                      <w:lang w:val="en-US" w:eastAsia="zh-CN" w:bidi="ar"/>
                    </w:rPr>
                    <w:t>台</w:t>
                  </w:r>
                </w:p>
              </w:tc>
              <w:tc>
                <w:tcPr>
                  <w:tcW w:w="1952" w:type="dxa"/>
                  <w:vAlign w:val="center"/>
                </w:tcPr>
                <w:p w14:paraId="630A816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补胶</w:t>
                  </w:r>
                </w:p>
              </w:tc>
            </w:tr>
            <w:tr w14:paraId="0C8A0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0B503C61">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37BF128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压底机</w:t>
                  </w:r>
                </w:p>
              </w:tc>
              <w:tc>
                <w:tcPr>
                  <w:tcW w:w="3354" w:type="dxa"/>
                  <w:vAlign w:val="center"/>
                </w:tcPr>
                <w:p w14:paraId="6CF70B7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1556664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2</w:t>
                  </w:r>
                  <w:r>
                    <w:rPr>
                      <w:rFonts w:hint="eastAsia" w:cs="var(--dsw-font-markdown-table)"/>
                      <w:color w:val="auto"/>
                      <w:kern w:val="0"/>
                      <w:sz w:val="21"/>
                      <w:szCs w:val="24"/>
                      <w:lang w:val="en-US" w:eastAsia="zh-CN" w:bidi="ar"/>
                    </w:rPr>
                    <w:t>4</w:t>
                  </w:r>
                  <w:r>
                    <w:rPr>
                      <w:rFonts w:hint="default" w:ascii="Times New Roman" w:hAnsi="Times New Roman" w:eastAsia="宋体" w:cs="var(--dsw-font-markdown-table)"/>
                      <w:color w:val="auto"/>
                      <w:kern w:val="0"/>
                      <w:sz w:val="21"/>
                      <w:szCs w:val="24"/>
                      <w:lang w:val="en-US" w:eastAsia="zh-CN" w:bidi="ar"/>
                    </w:rPr>
                    <w:t>台</w:t>
                  </w:r>
                </w:p>
              </w:tc>
              <w:tc>
                <w:tcPr>
                  <w:tcW w:w="1952" w:type="dxa"/>
                  <w:vAlign w:val="center"/>
                </w:tcPr>
                <w:p w14:paraId="7689A77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压底</w:t>
                  </w:r>
                </w:p>
              </w:tc>
            </w:tr>
            <w:tr w14:paraId="1084C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4B239BF8">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7D8F59C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冷柜</w:t>
                  </w:r>
                </w:p>
              </w:tc>
              <w:tc>
                <w:tcPr>
                  <w:tcW w:w="3354" w:type="dxa"/>
                  <w:vAlign w:val="center"/>
                </w:tcPr>
                <w:p w14:paraId="1DEFDC2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383B1E3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12台</w:t>
                  </w:r>
                </w:p>
              </w:tc>
              <w:tc>
                <w:tcPr>
                  <w:tcW w:w="1952" w:type="dxa"/>
                  <w:vAlign w:val="center"/>
                </w:tcPr>
                <w:p w14:paraId="0AD1333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冷却</w:t>
                  </w:r>
                </w:p>
              </w:tc>
            </w:tr>
            <w:tr w14:paraId="526ED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248B16CC">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34FB6CE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全自动切织带机</w:t>
                  </w:r>
                </w:p>
              </w:tc>
              <w:tc>
                <w:tcPr>
                  <w:tcW w:w="3354" w:type="dxa"/>
                  <w:vAlign w:val="center"/>
                </w:tcPr>
                <w:p w14:paraId="25D6891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2A42486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5台</w:t>
                  </w:r>
                </w:p>
              </w:tc>
              <w:tc>
                <w:tcPr>
                  <w:tcW w:w="1952" w:type="dxa"/>
                  <w:vAlign w:val="center"/>
                </w:tcPr>
                <w:p w14:paraId="68EBED4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切织带</w:t>
                  </w:r>
                </w:p>
              </w:tc>
            </w:tr>
            <w:tr w14:paraId="592E9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06830990">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4CFED4F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超声波织带裁切机</w:t>
                  </w:r>
                </w:p>
              </w:tc>
              <w:tc>
                <w:tcPr>
                  <w:tcW w:w="3354" w:type="dxa"/>
                  <w:vAlign w:val="center"/>
                </w:tcPr>
                <w:p w14:paraId="11D695F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5FE5DD3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5台</w:t>
                  </w:r>
                </w:p>
              </w:tc>
              <w:tc>
                <w:tcPr>
                  <w:tcW w:w="1952" w:type="dxa"/>
                  <w:vAlign w:val="center"/>
                </w:tcPr>
                <w:p w14:paraId="6E6E6C1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裁切</w:t>
                  </w:r>
                </w:p>
              </w:tc>
            </w:tr>
            <w:tr w14:paraId="172DF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5C1392FD">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0F6AC01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验针机</w:t>
                  </w:r>
                </w:p>
              </w:tc>
              <w:tc>
                <w:tcPr>
                  <w:tcW w:w="3354" w:type="dxa"/>
                  <w:vAlign w:val="center"/>
                </w:tcPr>
                <w:p w14:paraId="1300C50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4230572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12台</w:t>
                  </w:r>
                </w:p>
              </w:tc>
              <w:tc>
                <w:tcPr>
                  <w:tcW w:w="1952" w:type="dxa"/>
                  <w:vAlign w:val="center"/>
                </w:tcPr>
                <w:p w14:paraId="6FCF916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质检</w:t>
                  </w:r>
                </w:p>
              </w:tc>
            </w:tr>
            <w:tr w14:paraId="5C71E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12390A38">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47546C0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拔楦机</w:t>
                  </w:r>
                </w:p>
              </w:tc>
              <w:tc>
                <w:tcPr>
                  <w:tcW w:w="3354" w:type="dxa"/>
                  <w:vAlign w:val="center"/>
                </w:tcPr>
                <w:p w14:paraId="0CABF40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15C8CE3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eastAsia" w:cs="var(--dsw-font-markdown-table)"/>
                      <w:color w:val="auto"/>
                      <w:kern w:val="0"/>
                      <w:sz w:val="21"/>
                      <w:szCs w:val="24"/>
                      <w:lang w:val="en-US" w:eastAsia="zh-CN" w:bidi="ar"/>
                    </w:rPr>
                    <w:t>12</w:t>
                  </w:r>
                  <w:r>
                    <w:rPr>
                      <w:rFonts w:hint="default" w:ascii="Times New Roman" w:hAnsi="Times New Roman" w:eastAsia="宋体" w:cs="var(--dsw-font-markdown-table)"/>
                      <w:color w:val="auto"/>
                      <w:kern w:val="0"/>
                      <w:sz w:val="21"/>
                      <w:szCs w:val="24"/>
                      <w:lang w:val="en-US" w:eastAsia="zh-CN" w:bidi="ar"/>
                    </w:rPr>
                    <w:t>台</w:t>
                  </w:r>
                </w:p>
              </w:tc>
              <w:tc>
                <w:tcPr>
                  <w:tcW w:w="1952" w:type="dxa"/>
                  <w:vAlign w:val="center"/>
                </w:tcPr>
                <w:p w14:paraId="11583D7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拔楦</w:t>
                  </w:r>
                </w:p>
              </w:tc>
            </w:tr>
            <w:tr w14:paraId="4A504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24255F1A">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51116B1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包装线</w:t>
                  </w:r>
                </w:p>
              </w:tc>
              <w:tc>
                <w:tcPr>
                  <w:tcW w:w="3354" w:type="dxa"/>
                  <w:vAlign w:val="center"/>
                </w:tcPr>
                <w:p w14:paraId="7FDFA02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4EB0481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8条</w:t>
                  </w:r>
                </w:p>
              </w:tc>
              <w:tc>
                <w:tcPr>
                  <w:tcW w:w="1952" w:type="dxa"/>
                  <w:vAlign w:val="center"/>
                </w:tcPr>
                <w:p w14:paraId="38BF455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包装</w:t>
                  </w:r>
                </w:p>
              </w:tc>
            </w:tr>
            <w:tr w14:paraId="036E6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35B11D82">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05F0D73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割版机</w:t>
                  </w:r>
                </w:p>
              </w:tc>
              <w:tc>
                <w:tcPr>
                  <w:tcW w:w="3354" w:type="dxa"/>
                  <w:vAlign w:val="center"/>
                </w:tcPr>
                <w:p w14:paraId="058E7CD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7EA2764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6台</w:t>
                  </w:r>
                </w:p>
              </w:tc>
              <w:tc>
                <w:tcPr>
                  <w:tcW w:w="1952" w:type="dxa"/>
                  <w:vMerge w:val="restart"/>
                  <w:vAlign w:val="center"/>
                </w:tcPr>
                <w:p w14:paraId="5BA8EA1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制版</w:t>
                  </w:r>
                </w:p>
              </w:tc>
            </w:tr>
            <w:tr w14:paraId="6399C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6DDAEFAC">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3FAABF6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版房生产线</w:t>
                  </w:r>
                </w:p>
              </w:tc>
              <w:tc>
                <w:tcPr>
                  <w:tcW w:w="3354" w:type="dxa"/>
                  <w:vAlign w:val="center"/>
                </w:tcPr>
                <w:p w14:paraId="15EFC17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674D134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2条</w:t>
                  </w:r>
                </w:p>
              </w:tc>
              <w:tc>
                <w:tcPr>
                  <w:tcW w:w="1952" w:type="dxa"/>
                  <w:vMerge w:val="continue"/>
                  <w:vAlign w:val="center"/>
                </w:tcPr>
                <w:p w14:paraId="2218A0D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0AE22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57737D9E">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53FE3C7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版房冷冻机</w:t>
                  </w:r>
                </w:p>
              </w:tc>
              <w:tc>
                <w:tcPr>
                  <w:tcW w:w="3354" w:type="dxa"/>
                  <w:vAlign w:val="center"/>
                </w:tcPr>
                <w:p w14:paraId="591C458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w:t>
                  </w:r>
                </w:p>
              </w:tc>
              <w:tc>
                <w:tcPr>
                  <w:tcW w:w="968" w:type="dxa"/>
                  <w:vAlign w:val="center"/>
                </w:tcPr>
                <w:p w14:paraId="5434D9A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2台</w:t>
                  </w:r>
                </w:p>
              </w:tc>
              <w:tc>
                <w:tcPr>
                  <w:tcW w:w="1952" w:type="dxa"/>
                  <w:vMerge w:val="continue"/>
                  <w:vAlign w:val="center"/>
                </w:tcPr>
                <w:p w14:paraId="51F13DF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2C90B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47E8D59C">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4785847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印花跑台</w:t>
                  </w:r>
                </w:p>
              </w:tc>
              <w:tc>
                <w:tcPr>
                  <w:tcW w:w="3354" w:type="dxa"/>
                  <w:vAlign w:val="center"/>
                </w:tcPr>
                <w:p w14:paraId="1613D94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40米</w:t>
                  </w:r>
                </w:p>
              </w:tc>
              <w:tc>
                <w:tcPr>
                  <w:tcW w:w="968" w:type="dxa"/>
                  <w:vAlign w:val="center"/>
                </w:tcPr>
                <w:p w14:paraId="41A5F4D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16条</w:t>
                  </w:r>
                </w:p>
              </w:tc>
              <w:tc>
                <w:tcPr>
                  <w:tcW w:w="1952" w:type="dxa"/>
                  <w:vMerge w:val="restart"/>
                  <w:vAlign w:val="center"/>
                </w:tcPr>
                <w:p w14:paraId="640451B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eastAsia" w:cs="var(--dsw-font-markdown-table)"/>
                      <w:color w:val="auto"/>
                      <w:kern w:val="0"/>
                      <w:sz w:val="21"/>
                      <w:szCs w:val="24"/>
                      <w:lang w:val="en-US" w:eastAsia="zh-CN" w:bidi="ar"/>
                    </w:rPr>
                    <w:t>丝印</w:t>
                  </w:r>
                </w:p>
              </w:tc>
            </w:tr>
            <w:tr w14:paraId="5B290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7A0C39F4">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3F71742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样品印花跑台</w:t>
                  </w:r>
                </w:p>
              </w:tc>
              <w:tc>
                <w:tcPr>
                  <w:tcW w:w="3354" w:type="dxa"/>
                  <w:vAlign w:val="center"/>
                </w:tcPr>
                <w:p w14:paraId="0493058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18米</w:t>
                  </w:r>
                </w:p>
              </w:tc>
              <w:tc>
                <w:tcPr>
                  <w:tcW w:w="968" w:type="dxa"/>
                  <w:vAlign w:val="center"/>
                </w:tcPr>
                <w:p w14:paraId="224DC99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4条</w:t>
                  </w:r>
                </w:p>
              </w:tc>
              <w:tc>
                <w:tcPr>
                  <w:tcW w:w="1952" w:type="dxa"/>
                  <w:vMerge w:val="continue"/>
                  <w:vAlign w:val="center"/>
                </w:tcPr>
                <w:p w14:paraId="31007ED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711C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7C79AE9E">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724AF3F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恒温恒湿试验机</w:t>
                  </w:r>
                </w:p>
              </w:tc>
              <w:tc>
                <w:tcPr>
                  <w:tcW w:w="3354" w:type="dxa"/>
                  <w:vAlign w:val="center"/>
                </w:tcPr>
                <w:p w14:paraId="1EF0721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HYU-6008-1903056</w:t>
                  </w:r>
                </w:p>
              </w:tc>
              <w:tc>
                <w:tcPr>
                  <w:tcW w:w="968" w:type="dxa"/>
                  <w:vAlign w:val="center"/>
                </w:tcPr>
                <w:p w14:paraId="3264129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2台</w:t>
                  </w:r>
                </w:p>
              </w:tc>
              <w:tc>
                <w:tcPr>
                  <w:tcW w:w="1952" w:type="dxa"/>
                  <w:vMerge w:val="restart"/>
                  <w:vAlign w:val="center"/>
                </w:tcPr>
                <w:p w14:paraId="61E1538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研发/质检</w:t>
                  </w:r>
                </w:p>
              </w:tc>
            </w:tr>
            <w:tr w14:paraId="0E5AD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1C812D80">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7BE62AA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立式低温耐寒试验</w:t>
                  </w:r>
                </w:p>
              </w:tc>
              <w:tc>
                <w:tcPr>
                  <w:tcW w:w="3354" w:type="dxa"/>
                  <w:vAlign w:val="center"/>
                </w:tcPr>
                <w:p w14:paraId="1E45D37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HZ-3011B/160309016</w:t>
                  </w:r>
                </w:p>
              </w:tc>
              <w:tc>
                <w:tcPr>
                  <w:tcW w:w="968" w:type="dxa"/>
                  <w:vAlign w:val="center"/>
                </w:tcPr>
                <w:p w14:paraId="53AE3F8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1台</w:t>
                  </w:r>
                </w:p>
              </w:tc>
              <w:tc>
                <w:tcPr>
                  <w:tcW w:w="1952" w:type="dxa"/>
                  <w:vMerge w:val="continue"/>
                  <w:vAlign w:val="center"/>
                </w:tcPr>
                <w:p w14:paraId="6575274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1EAC2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465EC462">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039C6AE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弯折试验机</w:t>
                  </w:r>
                </w:p>
              </w:tc>
              <w:tc>
                <w:tcPr>
                  <w:tcW w:w="3354" w:type="dxa"/>
                  <w:vAlign w:val="center"/>
                </w:tcPr>
                <w:p w14:paraId="27FB150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DL-6018-GB/240927</w:t>
                  </w:r>
                </w:p>
              </w:tc>
              <w:tc>
                <w:tcPr>
                  <w:tcW w:w="968" w:type="dxa"/>
                  <w:vAlign w:val="center"/>
                </w:tcPr>
                <w:p w14:paraId="6665999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3台</w:t>
                  </w:r>
                </w:p>
              </w:tc>
              <w:tc>
                <w:tcPr>
                  <w:tcW w:w="1952" w:type="dxa"/>
                  <w:vMerge w:val="continue"/>
                  <w:vAlign w:val="center"/>
                </w:tcPr>
                <w:p w14:paraId="60D869B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776BE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00613545">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54A8BDE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耐黄试验机</w:t>
                  </w:r>
                </w:p>
              </w:tc>
              <w:tc>
                <w:tcPr>
                  <w:tcW w:w="3354" w:type="dxa"/>
                  <w:vAlign w:val="center"/>
                </w:tcPr>
                <w:p w14:paraId="7D39486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HZ-2009B/16039017</w:t>
                  </w:r>
                </w:p>
              </w:tc>
              <w:tc>
                <w:tcPr>
                  <w:tcW w:w="968" w:type="dxa"/>
                  <w:vAlign w:val="center"/>
                </w:tcPr>
                <w:p w14:paraId="0310ED8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2台</w:t>
                  </w:r>
                </w:p>
              </w:tc>
              <w:tc>
                <w:tcPr>
                  <w:tcW w:w="1952" w:type="dxa"/>
                  <w:vMerge w:val="continue"/>
                  <w:vAlign w:val="center"/>
                </w:tcPr>
                <w:p w14:paraId="5F18CAF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4F61E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1F05D4D4">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5C59064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洗衣机</w:t>
                  </w:r>
                </w:p>
              </w:tc>
              <w:tc>
                <w:tcPr>
                  <w:tcW w:w="3354" w:type="dxa"/>
                  <w:vAlign w:val="center"/>
                </w:tcPr>
                <w:p w14:paraId="774F095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海尔</w:t>
                  </w:r>
                </w:p>
              </w:tc>
              <w:tc>
                <w:tcPr>
                  <w:tcW w:w="968" w:type="dxa"/>
                  <w:vAlign w:val="center"/>
                </w:tcPr>
                <w:p w14:paraId="77465D8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1台</w:t>
                  </w:r>
                </w:p>
              </w:tc>
              <w:tc>
                <w:tcPr>
                  <w:tcW w:w="1952" w:type="dxa"/>
                  <w:vMerge w:val="continue"/>
                  <w:vAlign w:val="center"/>
                </w:tcPr>
                <w:p w14:paraId="5579136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7737B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0C192F71">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74D9ACA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纽扣拉力试验机</w:t>
                  </w:r>
                </w:p>
              </w:tc>
              <w:tc>
                <w:tcPr>
                  <w:tcW w:w="3354" w:type="dxa"/>
                  <w:vAlign w:val="center"/>
                </w:tcPr>
                <w:p w14:paraId="32B5E4E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DL-5606/16039009</w:t>
                  </w:r>
                </w:p>
              </w:tc>
              <w:tc>
                <w:tcPr>
                  <w:tcW w:w="968" w:type="dxa"/>
                  <w:vAlign w:val="center"/>
                </w:tcPr>
                <w:p w14:paraId="2CE672F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1台</w:t>
                  </w:r>
                </w:p>
              </w:tc>
              <w:tc>
                <w:tcPr>
                  <w:tcW w:w="1952" w:type="dxa"/>
                  <w:vMerge w:val="continue"/>
                  <w:vAlign w:val="center"/>
                </w:tcPr>
                <w:p w14:paraId="3C0A935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09C25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52242B49">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67F65E9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电脑式双柱拉力试验机</w:t>
                  </w:r>
                </w:p>
              </w:tc>
              <w:tc>
                <w:tcPr>
                  <w:tcW w:w="3354" w:type="dxa"/>
                  <w:vAlign w:val="center"/>
                </w:tcPr>
                <w:p w14:paraId="0EF2F1A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HY-800-S/201806</w:t>
                  </w:r>
                </w:p>
              </w:tc>
              <w:tc>
                <w:tcPr>
                  <w:tcW w:w="968" w:type="dxa"/>
                  <w:vAlign w:val="center"/>
                </w:tcPr>
                <w:p w14:paraId="63C0A97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1台</w:t>
                  </w:r>
                </w:p>
              </w:tc>
              <w:tc>
                <w:tcPr>
                  <w:tcW w:w="1952" w:type="dxa"/>
                  <w:vMerge w:val="continue"/>
                  <w:vAlign w:val="center"/>
                </w:tcPr>
                <w:p w14:paraId="37AB26E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06D30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0" w:type="dxa"/>
                  <w:vAlign w:val="center"/>
                </w:tcPr>
                <w:p w14:paraId="7C565876">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00F0F7E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电脑伺服材料试验机</w:t>
                  </w:r>
                </w:p>
              </w:tc>
              <w:tc>
                <w:tcPr>
                  <w:tcW w:w="3354" w:type="dxa"/>
                  <w:vAlign w:val="center"/>
                </w:tcPr>
                <w:p w14:paraId="46CD690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HZ-1004A/2016050901</w:t>
                  </w:r>
                </w:p>
              </w:tc>
              <w:tc>
                <w:tcPr>
                  <w:tcW w:w="968" w:type="dxa"/>
                  <w:vAlign w:val="center"/>
                </w:tcPr>
                <w:p w14:paraId="71727A3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1台</w:t>
                  </w:r>
                </w:p>
              </w:tc>
              <w:tc>
                <w:tcPr>
                  <w:tcW w:w="1952" w:type="dxa"/>
                  <w:vMerge w:val="continue"/>
                  <w:vAlign w:val="center"/>
                </w:tcPr>
                <w:p w14:paraId="20D3213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336C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46D7B8B8">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73C0F32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硬度计</w:t>
                  </w:r>
                </w:p>
              </w:tc>
              <w:tc>
                <w:tcPr>
                  <w:tcW w:w="3354" w:type="dxa"/>
                  <w:vAlign w:val="center"/>
                </w:tcPr>
                <w:p w14:paraId="2C53D60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HZ-2512A/160309006</w:t>
                  </w:r>
                </w:p>
              </w:tc>
              <w:tc>
                <w:tcPr>
                  <w:tcW w:w="968" w:type="dxa"/>
                  <w:vAlign w:val="center"/>
                </w:tcPr>
                <w:p w14:paraId="3601D9A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2台</w:t>
                  </w:r>
                </w:p>
              </w:tc>
              <w:tc>
                <w:tcPr>
                  <w:tcW w:w="1952" w:type="dxa"/>
                  <w:vMerge w:val="continue"/>
                  <w:vAlign w:val="center"/>
                </w:tcPr>
                <w:p w14:paraId="439137E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6A262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30AAD1F3">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0C66942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整鞋耐磨试验机</w:t>
                  </w:r>
                </w:p>
              </w:tc>
              <w:tc>
                <w:tcPr>
                  <w:tcW w:w="3354" w:type="dxa"/>
                  <w:vAlign w:val="center"/>
                </w:tcPr>
                <w:p w14:paraId="0B3750D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DL-7012-GB/241002</w:t>
                  </w:r>
                </w:p>
              </w:tc>
              <w:tc>
                <w:tcPr>
                  <w:tcW w:w="968" w:type="dxa"/>
                  <w:vAlign w:val="center"/>
                </w:tcPr>
                <w:p w14:paraId="4E747D3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3台</w:t>
                  </w:r>
                </w:p>
              </w:tc>
              <w:tc>
                <w:tcPr>
                  <w:tcW w:w="1952" w:type="dxa"/>
                  <w:vMerge w:val="continue"/>
                  <w:vAlign w:val="center"/>
                </w:tcPr>
                <w:p w14:paraId="0E63423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16DF9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4055E265">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4D7F636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皮鞋剥离强度试验机</w:t>
                  </w:r>
                </w:p>
              </w:tc>
              <w:tc>
                <w:tcPr>
                  <w:tcW w:w="3354" w:type="dxa"/>
                  <w:vAlign w:val="center"/>
                </w:tcPr>
                <w:p w14:paraId="5E7BB1C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DL-7051-GB/241001</w:t>
                  </w:r>
                </w:p>
              </w:tc>
              <w:tc>
                <w:tcPr>
                  <w:tcW w:w="968" w:type="dxa"/>
                  <w:vAlign w:val="center"/>
                </w:tcPr>
                <w:p w14:paraId="3A2B202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1台</w:t>
                  </w:r>
                </w:p>
              </w:tc>
              <w:tc>
                <w:tcPr>
                  <w:tcW w:w="1952" w:type="dxa"/>
                  <w:vMerge w:val="continue"/>
                  <w:vAlign w:val="center"/>
                </w:tcPr>
                <w:p w14:paraId="0738C57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32058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073D0651">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60B500E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皮革摩擦色牢度试验机</w:t>
                  </w:r>
                </w:p>
              </w:tc>
              <w:tc>
                <w:tcPr>
                  <w:tcW w:w="3354" w:type="dxa"/>
                  <w:vAlign w:val="center"/>
                </w:tcPr>
                <w:p w14:paraId="2C230A3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DL-6021A/241003</w:t>
                  </w:r>
                </w:p>
              </w:tc>
              <w:tc>
                <w:tcPr>
                  <w:tcW w:w="968" w:type="dxa"/>
                  <w:vAlign w:val="center"/>
                </w:tcPr>
                <w:p w14:paraId="16431BD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2台</w:t>
                  </w:r>
                </w:p>
              </w:tc>
              <w:tc>
                <w:tcPr>
                  <w:tcW w:w="1952" w:type="dxa"/>
                  <w:vMerge w:val="continue"/>
                  <w:vAlign w:val="center"/>
                </w:tcPr>
                <w:p w14:paraId="389377B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5A473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35B7A730">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6EDE6C7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六光源箱</w:t>
                  </w:r>
                </w:p>
              </w:tc>
              <w:tc>
                <w:tcPr>
                  <w:tcW w:w="3354" w:type="dxa"/>
                  <w:vAlign w:val="center"/>
                </w:tcPr>
                <w:p w14:paraId="7C4279C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HZ-3013A/160309004</w:t>
                  </w:r>
                </w:p>
              </w:tc>
              <w:tc>
                <w:tcPr>
                  <w:tcW w:w="968" w:type="dxa"/>
                  <w:vAlign w:val="center"/>
                </w:tcPr>
                <w:p w14:paraId="460648D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1台</w:t>
                  </w:r>
                </w:p>
              </w:tc>
              <w:tc>
                <w:tcPr>
                  <w:tcW w:w="1952" w:type="dxa"/>
                  <w:vMerge w:val="continue"/>
                  <w:vAlign w:val="center"/>
                </w:tcPr>
                <w:p w14:paraId="6B932CD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3577C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1D557F0C">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3399621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皮革耐挠性试验机</w:t>
                  </w:r>
                </w:p>
              </w:tc>
              <w:tc>
                <w:tcPr>
                  <w:tcW w:w="3354" w:type="dxa"/>
                  <w:vAlign w:val="center"/>
                </w:tcPr>
                <w:p w14:paraId="1B34C13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DL-6026/250805</w:t>
                  </w:r>
                </w:p>
              </w:tc>
              <w:tc>
                <w:tcPr>
                  <w:tcW w:w="968" w:type="dxa"/>
                  <w:vAlign w:val="center"/>
                </w:tcPr>
                <w:p w14:paraId="729E2B4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2台</w:t>
                  </w:r>
                </w:p>
              </w:tc>
              <w:tc>
                <w:tcPr>
                  <w:tcW w:w="1952" w:type="dxa"/>
                  <w:vMerge w:val="continue"/>
                  <w:vAlign w:val="center"/>
                </w:tcPr>
                <w:p w14:paraId="6370745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17A95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47DFE143">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1F82B37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全自动破裂强度试验机</w:t>
                  </w:r>
                </w:p>
              </w:tc>
              <w:tc>
                <w:tcPr>
                  <w:tcW w:w="3354" w:type="dxa"/>
                  <w:vAlign w:val="center"/>
                </w:tcPr>
                <w:p w14:paraId="33DEAAD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DL-6013-A/250826</w:t>
                  </w:r>
                </w:p>
              </w:tc>
              <w:tc>
                <w:tcPr>
                  <w:tcW w:w="968" w:type="dxa"/>
                  <w:vAlign w:val="center"/>
                </w:tcPr>
                <w:p w14:paraId="04258C1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1台</w:t>
                  </w:r>
                </w:p>
              </w:tc>
              <w:tc>
                <w:tcPr>
                  <w:tcW w:w="1952" w:type="dxa"/>
                  <w:vMerge w:val="continue"/>
                  <w:vAlign w:val="center"/>
                </w:tcPr>
                <w:p w14:paraId="79E903C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20DFF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7DA2281A">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300648E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Taber磨耗试验机</w:t>
                  </w:r>
                </w:p>
              </w:tc>
              <w:tc>
                <w:tcPr>
                  <w:tcW w:w="3354" w:type="dxa"/>
                  <w:vAlign w:val="center"/>
                </w:tcPr>
                <w:p w14:paraId="5A55CB9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DL-6012-T/251102</w:t>
                  </w:r>
                </w:p>
              </w:tc>
              <w:tc>
                <w:tcPr>
                  <w:tcW w:w="968" w:type="dxa"/>
                  <w:vAlign w:val="center"/>
                </w:tcPr>
                <w:p w14:paraId="6875AC7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1台</w:t>
                  </w:r>
                </w:p>
              </w:tc>
              <w:tc>
                <w:tcPr>
                  <w:tcW w:w="1952" w:type="dxa"/>
                  <w:vMerge w:val="continue"/>
                  <w:vAlign w:val="center"/>
                </w:tcPr>
                <w:p w14:paraId="6F02CFB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r w14:paraId="16AF7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057D0261">
                  <w:pPr>
                    <w:keepNext w:val="0"/>
                    <w:keepLines w:val="0"/>
                    <w:pageBreakBefore w:val="0"/>
                    <w:widowControl/>
                    <w:numPr>
                      <w:ilvl w:val="0"/>
                      <w:numId w:val="14"/>
                    </w:numPr>
                    <w:suppressLineNumbers w:val="0"/>
                    <w:kinsoku/>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val="0"/>
                      <w:color w:val="auto"/>
                      <w:sz w:val="21"/>
                      <w:szCs w:val="24"/>
                      <w:vertAlign w:val="baseline"/>
                    </w:rPr>
                  </w:pPr>
                </w:p>
              </w:tc>
              <w:tc>
                <w:tcPr>
                  <w:tcW w:w="2755" w:type="dxa"/>
                  <w:vAlign w:val="center"/>
                </w:tcPr>
                <w:p w14:paraId="05B81A9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粘扣带疲劳试验机</w:t>
                  </w:r>
                </w:p>
              </w:tc>
              <w:tc>
                <w:tcPr>
                  <w:tcW w:w="3354" w:type="dxa"/>
                  <w:vAlign w:val="center"/>
                </w:tcPr>
                <w:p w14:paraId="7732594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DL-7082</w:t>
                  </w:r>
                </w:p>
              </w:tc>
              <w:tc>
                <w:tcPr>
                  <w:tcW w:w="968" w:type="dxa"/>
                  <w:vAlign w:val="center"/>
                </w:tcPr>
                <w:p w14:paraId="4808A47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r>
                    <w:rPr>
                      <w:rFonts w:hint="default" w:ascii="Times New Roman" w:hAnsi="Times New Roman" w:eastAsia="宋体" w:cs="var(--dsw-font-markdown-table)"/>
                      <w:color w:val="auto"/>
                      <w:kern w:val="0"/>
                      <w:sz w:val="21"/>
                      <w:szCs w:val="24"/>
                      <w:lang w:val="en-US" w:eastAsia="zh-CN" w:bidi="ar"/>
                    </w:rPr>
                    <w:t>1台</w:t>
                  </w:r>
                </w:p>
              </w:tc>
              <w:tc>
                <w:tcPr>
                  <w:tcW w:w="1952" w:type="dxa"/>
                  <w:vMerge w:val="continue"/>
                  <w:vAlign w:val="center"/>
                </w:tcPr>
                <w:p w14:paraId="2BB9424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rPr>
                  </w:pPr>
                </w:p>
              </w:tc>
            </w:tr>
          </w:tbl>
          <w:p w14:paraId="6472E806">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b/>
                <w:bCs/>
                <w:i w:val="0"/>
                <w:iCs w:val="0"/>
                <w:caps w:val="0"/>
                <w:color w:val="auto"/>
                <w:spacing w:val="0"/>
                <w:sz w:val="21"/>
                <w:szCs w:val="24"/>
                <w:shd w:val="clear" w:fill="FFFFFF"/>
              </w:rPr>
              <w:t>注：</w:t>
            </w:r>
          </w:p>
          <w:p w14:paraId="0DEEC0AB">
            <w:pPr>
              <w:keepNext w:val="0"/>
              <w:keepLines w:val="0"/>
              <w:pageBreakBefore w:val="0"/>
              <w:widowControl w:val="0"/>
              <w:numPr>
                <w:ilvl w:val="0"/>
                <w:numId w:val="15"/>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default" w:ascii="Times New Roman" w:hAnsi="Times New Roman" w:eastAsia="宋体"/>
                <w:color w:val="auto"/>
                <w:sz w:val="21"/>
                <w:szCs w:val="21"/>
              </w:rPr>
            </w:pPr>
            <w:r>
              <w:rPr>
                <w:rFonts w:hint="default" w:ascii="Times New Roman" w:hAnsi="Times New Roman" w:eastAsia="宋体"/>
                <w:color w:val="auto"/>
                <w:sz w:val="21"/>
                <w:szCs w:val="21"/>
              </w:rPr>
              <w:t>本项目所用设备均不在《产业结构调整指导目录（2024年本）》淘汰类、限制类。</w:t>
            </w:r>
          </w:p>
          <w:p w14:paraId="614D4FA0">
            <w:pPr>
              <w:keepNext w:val="0"/>
              <w:keepLines w:val="0"/>
              <w:pageBreakBefore w:val="0"/>
              <w:widowControl w:val="0"/>
              <w:numPr>
                <w:ilvl w:val="0"/>
                <w:numId w:val="15"/>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default" w:ascii="Times New Roman" w:hAnsi="Times New Roman" w:eastAsia="宋体"/>
                <w:color w:val="auto"/>
                <w:sz w:val="21"/>
                <w:szCs w:val="21"/>
              </w:rPr>
            </w:pPr>
            <w:r>
              <w:rPr>
                <w:rFonts w:hint="default" w:ascii="Times New Roman" w:hAnsi="Times New Roman" w:eastAsia="宋体"/>
                <w:color w:val="auto"/>
                <w:sz w:val="21"/>
                <w:szCs w:val="21"/>
              </w:rPr>
              <w:t>本项目所用设备使用能源均为电能。</w:t>
            </w:r>
          </w:p>
          <w:p w14:paraId="788E0239">
            <w:pPr>
              <w:keepNext w:val="0"/>
              <w:keepLines w:val="0"/>
              <w:pageBreakBefore w:val="0"/>
              <w:widowControl w:val="0"/>
              <w:numPr>
                <w:ilvl w:val="0"/>
                <w:numId w:val="15"/>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default" w:ascii="Times New Roman" w:hAnsi="Times New Roman" w:eastAsia="宋体"/>
                <w:color w:val="auto"/>
                <w:sz w:val="21"/>
                <w:szCs w:val="21"/>
              </w:rPr>
            </w:pPr>
            <w:r>
              <w:rPr>
                <w:rFonts w:hint="eastAsia" w:ascii="Times New Roman" w:hAnsi="Times New Roman" w:eastAsia="宋体"/>
                <w:color w:val="auto"/>
                <w:sz w:val="21"/>
                <w:szCs w:val="21"/>
                <w:lang w:val="en-US" w:eastAsia="zh-CN"/>
              </w:rPr>
              <w:t>本项目EVA发泡设备的产能核算：</w:t>
            </w:r>
          </w:p>
          <w:p w14:paraId="0D1CB1EF">
            <w:pPr>
              <w:pStyle w:val="9"/>
              <w:numPr>
                <w:ilvl w:val="0"/>
                <w:numId w:val="8"/>
              </w:numPr>
              <w:suppressLineNumbers w:val="0"/>
              <w:spacing w:before="0" w:beforeAutospacing="0" w:after="0" w:afterAutospacing="0" w:line="240" w:lineRule="auto"/>
              <w:ind w:right="0"/>
              <w:jc w:val="center"/>
              <w:rPr>
                <w:rFonts w:hint="default" w:ascii="Times New Roman" w:hAnsi="Times New Roman" w:eastAsia="宋体" w:cs="Times New Roman"/>
                <w:b/>
                <w:color w:val="auto"/>
                <w:sz w:val="21"/>
                <w:szCs w:val="24"/>
                <w:lang w:val="zh-CN"/>
              </w:rPr>
            </w:pPr>
            <w:r>
              <w:rPr>
                <w:rFonts w:hint="default" w:ascii="Times New Roman" w:hAnsi="Times New Roman" w:eastAsia="宋体" w:cs="Times New Roman"/>
                <w:b/>
                <w:color w:val="auto"/>
                <w:sz w:val="21"/>
                <w:szCs w:val="24"/>
              </w:rPr>
              <w:t>EVA发泡机</w:t>
            </w:r>
            <w:r>
              <w:rPr>
                <w:rFonts w:hint="default" w:ascii="Times New Roman" w:hAnsi="Times New Roman" w:eastAsia="宋体" w:cs="Times New Roman"/>
                <w:b/>
                <w:color w:val="auto"/>
                <w:sz w:val="21"/>
                <w:szCs w:val="24"/>
                <w:lang w:val="zh-CN"/>
              </w:rPr>
              <w:t>产能核算表</w:t>
            </w:r>
          </w:p>
          <w:tbl>
            <w:tblPr>
              <w:tblStyle w:val="48"/>
              <w:tblW w:w="9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056"/>
              <w:gridCol w:w="900"/>
              <w:gridCol w:w="741"/>
              <w:gridCol w:w="873"/>
              <w:gridCol w:w="873"/>
              <w:gridCol w:w="873"/>
              <w:gridCol w:w="894"/>
              <w:gridCol w:w="981"/>
              <w:gridCol w:w="918"/>
              <w:gridCol w:w="928"/>
            </w:tblGrid>
            <w:tr w14:paraId="658B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405" w:type="pct"/>
                  <w:tcBorders>
                    <w:top w:val="single" w:color="auto" w:sz="4" w:space="0"/>
                    <w:left w:val="single" w:color="auto" w:sz="4" w:space="0"/>
                    <w:bottom w:val="single" w:color="auto" w:sz="4" w:space="0"/>
                    <w:right w:val="single" w:color="auto" w:sz="4" w:space="0"/>
                  </w:tcBorders>
                  <w:vAlign w:val="center"/>
                </w:tcPr>
                <w:p w14:paraId="30DF2BD1">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olor w:val="auto"/>
                      <w:sz w:val="21"/>
                      <w:szCs w:val="21"/>
                    </w:rPr>
                  </w:pPr>
                  <w:r>
                    <w:rPr>
                      <w:rFonts w:hint="default" w:ascii="Times New Roman" w:hAnsi="Times New Roman" w:eastAsia="宋体"/>
                      <w:color w:val="auto"/>
                      <w:sz w:val="21"/>
                      <w:szCs w:val="21"/>
                    </w:rPr>
                    <w:t>产品类型</w:t>
                  </w:r>
                </w:p>
              </w:tc>
              <w:tc>
                <w:tcPr>
                  <w:tcW w:w="536" w:type="pct"/>
                  <w:tcBorders>
                    <w:top w:val="single" w:color="auto" w:sz="4" w:space="0"/>
                    <w:left w:val="single" w:color="auto" w:sz="4" w:space="0"/>
                    <w:bottom w:val="single" w:color="auto" w:sz="4" w:space="0"/>
                    <w:right w:val="single" w:color="auto" w:sz="4" w:space="0"/>
                  </w:tcBorders>
                  <w:vAlign w:val="center"/>
                </w:tcPr>
                <w:p w14:paraId="00CDFA2E">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olor w:val="auto"/>
                      <w:sz w:val="21"/>
                      <w:szCs w:val="21"/>
                    </w:rPr>
                  </w:pPr>
                  <w:r>
                    <w:rPr>
                      <w:rFonts w:hint="default" w:ascii="Times New Roman" w:hAnsi="Times New Roman" w:eastAsia="宋体"/>
                      <w:color w:val="auto"/>
                      <w:sz w:val="21"/>
                      <w:szCs w:val="21"/>
                    </w:rPr>
                    <w:t>设备名称</w:t>
                  </w:r>
                </w:p>
              </w:tc>
              <w:tc>
                <w:tcPr>
                  <w:tcW w:w="457" w:type="pct"/>
                  <w:tcBorders>
                    <w:top w:val="single" w:color="auto" w:sz="4" w:space="0"/>
                    <w:left w:val="single" w:color="auto" w:sz="4" w:space="0"/>
                    <w:bottom w:val="single" w:color="auto" w:sz="4" w:space="0"/>
                    <w:right w:val="single" w:color="auto" w:sz="4" w:space="0"/>
                  </w:tcBorders>
                  <w:vAlign w:val="center"/>
                </w:tcPr>
                <w:p w14:paraId="037CED02">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olor w:val="auto"/>
                      <w:sz w:val="21"/>
                      <w:szCs w:val="21"/>
                    </w:rPr>
                  </w:pPr>
                  <w:r>
                    <w:rPr>
                      <w:rFonts w:hint="default" w:ascii="Times New Roman" w:hAnsi="Times New Roman" w:eastAsia="宋体"/>
                      <w:color w:val="auto"/>
                      <w:sz w:val="21"/>
                      <w:szCs w:val="21"/>
                    </w:rPr>
                    <w:t>型号/规格</w:t>
                  </w:r>
                </w:p>
              </w:tc>
              <w:tc>
                <w:tcPr>
                  <w:tcW w:w="376" w:type="pct"/>
                  <w:tcBorders>
                    <w:top w:val="single" w:color="auto" w:sz="4" w:space="0"/>
                    <w:left w:val="single" w:color="auto" w:sz="4" w:space="0"/>
                    <w:bottom w:val="single" w:color="auto" w:sz="4" w:space="0"/>
                    <w:right w:val="single" w:color="auto" w:sz="4" w:space="0"/>
                  </w:tcBorders>
                  <w:vAlign w:val="center"/>
                </w:tcPr>
                <w:p w14:paraId="65DEE445">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olor w:val="auto"/>
                      <w:sz w:val="21"/>
                      <w:szCs w:val="21"/>
                    </w:rPr>
                  </w:pPr>
                  <w:r>
                    <w:rPr>
                      <w:rFonts w:hint="default" w:ascii="Times New Roman" w:hAnsi="Times New Roman" w:eastAsia="宋体"/>
                      <w:color w:val="auto"/>
                      <w:sz w:val="21"/>
                      <w:szCs w:val="21"/>
                    </w:rPr>
                    <w:t>数量</w:t>
                  </w:r>
                  <w:r>
                    <w:rPr>
                      <w:rFonts w:hint="eastAsia"/>
                      <w:color w:val="auto"/>
                      <w:sz w:val="21"/>
                      <w:szCs w:val="21"/>
                      <w:lang w:eastAsia="zh-CN"/>
                    </w:rPr>
                    <w:t>（</w:t>
                  </w:r>
                  <w:r>
                    <w:rPr>
                      <w:rFonts w:hint="default" w:ascii="Times New Roman" w:hAnsi="Times New Roman" w:eastAsia="宋体"/>
                      <w:color w:val="auto"/>
                      <w:sz w:val="21"/>
                      <w:szCs w:val="21"/>
                    </w:rPr>
                    <w:t>台</w:t>
                  </w:r>
                  <w:r>
                    <w:rPr>
                      <w:rFonts w:hint="eastAsia"/>
                      <w:color w:val="auto"/>
                      <w:sz w:val="21"/>
                      <w:szCs w:val="21"/>
                      <w:lang w:eastAsia="zh-CN"/>
                    </w:rPr>
                    <w:t>）</w:t>
                  </w:r>
                </w:p>
              </w:tc>
              <w:tc>
                <w:tcPr>
                  <w:tcW w:w="443" w:type="pct"/>
                  <w:tcBorders>
                    <w:top w:val="single" w:color="auto" w:sz="4" w:space="0"/>
                    <w:left w:val="single" w:color="auto" w:sz="4" w:space="0"/>
                    <w:bottom w:val="single" w:color="auto" w:sz="4" w:space="0"/>
                    <w:right w:val="single" w:color="auto" w:sz="4" w:space="0"/>
                  </w:tcBorders>
                  <w:vAlign w:val="center"/>
                </w:tcPr>
                <w:p w14:paraId="0B8F15AC">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olor w:val="auto"/>
                      <w:sz w:val="21"/>
                      <w:szCs w:val="21"/>
                    </w:rPr>
                  </w:pPr>
                  <w:r>
                    <w:rPr>
                      <w:rFonts w:hint="default" w:ascii="Times New Roman" w:hAnsi="Times New Roman" w:eastAsia="宋体"/>
                      <w:color w:val="auto"/>
                      <w:sz w:val="21"/>
                      <w:szCs w:val="21"/>
                    </w:rPr>
                    <w:t>每台模具腔数（个）</w:t>
                  </w:r>
                </w:p>
              </w:tc>
              <w:tc>
                <w:tcPr>
                  <w:tcW w:w="443" w:type="pct"/>
                  <w:tcBorders>
                    <w:top w:val="single" w:color="auto" w:sz="4" w:space="0"/>
                    <w:left w:val="single" w:color="auto" w:sz="4" w:space="0"/>
                    <w:bottom w:val="single" w:color="auto" w:sz="4" w:space="0"/>
                    <w:right w:val="single" w:color="auto" w:sz="4" w:space="0"/>
                  </w:tcBorders>
                  <w:vAlign w:val="center"/>
                </w:tcPr>
                <w:p w14:paraId="00843040">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olor w:val="auto"/>
                      <w:sz w:val="21"/>
                      <w:szCs w:val="21"/>
                    </w:rPr>
                  </w:pPr>
                  <w:r>
                    <w:rPr>
                      <w:rFonts w:hint="default" w:ascii="Times New Roman" w:hAnsi="Times New Roman" w:eastAsia="宋体"/>
                      <w:color w:val="auto"/>
                      <w:sz w:val="21"/>
                      <w:szCs w:val="21"/>
                    </w:rPr>
                    <w:t>产品单个重量（g）</w:t>
                  </w:r>
                </w:p>
              </w:tc>
              <w:tc>
                <w:tcPr>
                  <w:tcW w:w="443" w:type="pct"/>
                  <w:tcBorders>
                    <w:top w:val="single" w:color="auto" w:sz="4" w:space="0"/>
                    <w:left w:val="single" w:color="auto" w:sz="4" w:space="0"/>
                    <w:bottom w:val="single" w:color="auto" w:sz="4" w:space="0"/>
                    <w:right w:val="single" w:color="auto" w:sz="4" w:space="0"/>
                  </w:tcBorders>
                  <w:vAlign w:val="center"/>
                </w:tcPr>
                <w:p w14:paraId="4FA5D729">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olor w:val="auto"/>
                      <w:sz w:val="21"/>
                      <w:szCs w:val="21"/>
                    </w:rPr>
                  </w:pPr>
                  <w:r>
                    <w:rPr>
                      <w:rFonts w:hint="default" w:ascii="Times New Roman" w:hAnsi="Times New Roman" w:eastAsia="宋体"/>
                      <w:color w:val="auto"/>
                      <w:sz w:val="21"/>
                    </w:rPr>
                    <w:t>每台</w:t>
                  </w:r>
                  <w:r>
                    <w:rPr>
                      <w:rFonts w:hint="default" w:ascii="Times New Roman" w:hAnsi="Times New Roman" w:eastAsia="宋体"/>
                      <w:color w:val="auto"/>
                      <w:sz w:val="21"/>
                      <w:szCs w:val="21"/>
                    </w:rPr>
                    <w:t>生产能力</w:t>
                  </w:r>
                  <w:r>
                    <w:rPr>
                      <w:rFonts w:hint="eastAsia"/>
                      <w:color w:val="auto"/>
                      <w:sz w:val="21"/>
                      <w:szCs w:val="21"/>
                      <w:lang w:eastAsia="zh-CN"/>
                    </w:rPr>
                    <w:t>（</w:t>
                  </w:r>
                  <w:r>
                    <w:rPr>
                      <w:rFonts w:hint="default" w:ascii="Times New Roman" w:hAnsi="Times New Roman" w:eastAsia="宋体"/>
                      <w:color w:val="auto"/>
                      <w:sz w:val="21"/>
                      <w:szCs w:val="21"/>
                    </w:rPr>
                    <w:t>kg/次</w:t>
                  </w:r>
                  <w:r>
                    <w:rPr>
                      <w:rFonts w:hint="eastAsia"/>
                      <w:color w:val="auto"/>
                      <w:sz w:val="21"/>
                      <w:szCs w:val="21"/>
                      <w:lang w:eastAsia="zh-CN"/>
                    </w:rPr>
                    <w:t>）</w:t>
                  </w:r>
                </w:p>
              </w:tc>
              <w:tc>
                <w:tcPr>
                  <w:tcW w:w="454" w:type="pct"/>
                  <w:tcBorders>
                    <w:top w:val="single" w:color="auto" w:sz="4" w:space="0"/>
                    <w:left w:val="single" w:color="auto" w:sz="4" w:space="0"/>
                    <w:bottom w:val="single" w:color="auto" w:sz="4" w:space="0"/>
                    <w:right w:val="single" w:color="auto" w:sz="4" w:space="0"/>
                  </w:tcBorders>
                  <w:vAlign w:val="center"/>
                </w:tcPr>
                <w:p w14:paraId="7239318D">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olor w:val="auto"/>
                      <w:sz w:val="21"/>
                      <w:szCs w:val="21"/>
                    </w:rPr>
                  </w:pPr>
                  <w:r>
                    <w:rPr>
                      <w:rFonts w:hint="default" w:ascii="Times New Roman" w:hAnsi="Times New Roman" w:eastAsia="宋体"/>
                      <w:color w:val="auto"/>
                      <w:sz w:val="21"/>
                      <w:szCs w:val="21"/>
                    </w:rPr>
                    <w:t>单次生产时间</w:t>
                  </w:r>
                  <w:r>
                    <w:rPr>
                      <w:rFonts w:hint="eastAsia"/>
                      <w:color w:val="auto"/>
                      <w:sz w:val="21"/>
                      <w:szCs w:val="21"/>
                      <w:lang w:eastAsia="zh-CN"/>
                    </w:rPr>
                    <w:t>（</w:t>
                  </w:r>
                  <w:r>
                    <w:rPr>
                      <w:rFonts w:hint="default" w:ascii="Times New Roman" w:hAnsi="Times New Roman" w:eastAsia="宋体"/>
                      <w:color w:val="auto"/>
                      <w:sz w:val="21"/>
                      <w:szCs w:val="21"/>
                    </w:rPr>
                    <w:t>min</w:t>
                  </w:r>
                  <w:r>
                    <w:rPr>
                      <w:rFonts w:hint="eastAsia"/>
                      <w:color w:val="auto"/>
                      <w:sz w:val="21"/>
                      <w:szCs w:val="21"/>
                      <w:lang w:eastAsia="zh-CN"/>
                    </w:rPr>
                    <w:t>）</w:t>
                  </w:r>
                </w:p>
              </w:tc>
              <w:tc>
                <w:tcPr>
                  <w:tcW w:w="498" w:type="pct"/>
                  <w:tcBorders>
                    <w:top w:val="single" w:color="auto" w:sz="4" w:space="0"/>
                    <w:left w:val="single" w:color="auto" w:sz="4" w:space="0"/>
                    <w:bottom w:val="single" w:color="auto" w:sz="4" w:space="0"/>
                    <w:right w:val="single" w:color="auto" w:sz="4" w:space="0"/>
                  </w:tcBorders>
                  <w:vAlign w:val="center"/>
                </w:tcPr>
                <w:p w14:paraId="251EBF05">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olor w:val="auto"/>
                      <w:sz w:val="21"/>
                      <w:szCs w:val="21"/>
                    </w:rPr>
                  </w:pPr>
                  <w:r>
                    <w:rPr>
                      <w:rFonts w:hint="default" w:ascii="Times New Roman" w:hAnsi="Times New Roman" w:eastAsia="宋体"/>
                      <w:color w:val="auto"/>
                      <w:sz w:val="21"/>
                      <w:szCs w:val="21"/>
                    </w:rPr>
                    <w:t>年工作时间</w:t>
                  </w:r>
                  <w:r>
                    <w:rPr>
                      <w:rFonts w:hint="eastAsia"/>
                      <w:color w:val="auto"/>
                      <w:sz w:val="21"/>
                      <w:szCs w:val="21"/>
                      <w:lang w:eastAsia="zh-CN"/>
                    </w:rPr>
                    <w:t>（</w:t>
                  </w:r>
                  <w:r>
                    <w:rPr>
                      <w:rFonts w:hint="default" w:ascii="Times New Roman" w:hAnsi="Times New Roman" w:eastAsia="宋体"/>
                      <w:color w:val="auto"/>
                      <w:sz w:val="21"/>
                      <w:szCs w:val="21"/>
                    </w:rPr>
                    <w:t>h</w:t>
                  </w:r>
                  <w:r>
                    <w:rPr>
                      <w:rFonts w:hint="eastAsia"/>
                      <w:color w:val="auto"/>
                      <w:sz w:val="21"/>
                      <w:szCs w:val="21"/>
                      <w:lang w:eastAsia="zh-CN"/>
                    </w:rPr>
                    <w:t>）</w:t>
                  </w:r>
                </w:p>
              </w:tc>
              <w:tc>
                <w:tcPr>
                  <w:tcW w:w="466" w:type="pct"/>
                  <w:tcBorders>
                    <w:top w:val="single" w:color="auto" w:sz="4" w:space="0"/>
                    <w:left w:val="single" w:color="auto" w:sz="4" w:space="0"/>
                    <w:bottom w:val="single" w:color="auto" w:sz="4" w:space="0"/>
                    <w:right w:val="single" w:color="auto" w:sz="4" w:space="0"/>
                  </w:tcBorders>
                  <w:vAlign w:val="center"/>
                </w:tcPr>
                <w:p w14:paraId="225CB46D">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olor w:val="auto"/>
                      <w:sz w:val="21"/>
                      <w:szCs w:val="21"/>
                    </w:rPr>
                  </w:pPr>
                  <w:r>
                    <w:rPr>
                      <w:rFonts w:hint="default" w:ascii="Times New Roman" w:hAnsi="Times New Roman" w:eastAsia="宋体"/>
                      <w:color w:val="auto"/>
                      <w:sz w:val="21"/>
                      <w:szCs w:val="21"/>
                    </w:rPr>
                    <w:t>理论年产量</w:t>
                  </w:r>
                  <w:r>
                    <w:rPr>
                      <w:rFonts w:hint="eastAsia"/>
                      <w:color w:val="auto"/>
                      <w:sz w:val="21"/>
                      <w:szCs w:val="21"/>
                      <w:lang w:eastAsia="zh-CN"/>
                    </w:rPr>
                    <w:t>（</w:t>
                  </w:r>
                  <w:r>
                    <w:rPr>
                      <w:rFonts w:hint="default" w:ascii="Times New Roman" w:hAnsi="Times New Roman" w:eastAsia="宋体"/>
                      <w:color w:val="auto"/>
                      <w:sz w:val="21"/>
                      <w:szCs w:val="21"/>
                    </w:rPr>
                    <w:t>t</w:t>
                  </w:r>
                  <w:r>
                    <w:rPr>
                      <w:rFonts w:hint="eastAsia"/>
                      <w:color w:val="auto"/>
                      <w:sz w:val="21"/>
                      <w:szCs w:val="21"/>
                      <w:lang w:eastAsia="zh-CN"/>
                    </w:rPr>
                    <w:t>）</w:t>
                  </w:r>
                </w:p>
              </w:tc>
              <w:tc>
                <w:tcPr>
                  <w:tcW w:w="471" w:type="pct"/>
                  <w:tcBorders>
                    <w:top w:val="single" w:color="auto" w:sz="4" w:space="0"/>
                    <w:left w:val="single" w:color="auto" w:sz="4" w:space="0"/>
                    <w:bottom w:val="single" w:color="auto" w:sz="4" w:space="0"/>
                    <w:right w:val="single" w:color="auto" w:sz="4" w:space="0"/>
                  </w:tcBorders>
                  <w:vAlign w:val="center"/>
                </w:tcPr>
                <w:p w14:paraId="19FF0FF6">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olor w:val="auto"/>
                      <w:sz w:val="21"/>
                      <w:szCs w:val="21"/>
                    </w:rPr>
                  </w:pPr>
                  <w:r>
                    <w:rPr>
                      <w:rFonts w:hint="default" w:ascii="Times New Roman" w:hAnsi="Times New Roman" w:eastAsia="宋体"/>
                      <w:color w:val="auto"/>
                      <w:sz w:val="21"/>
                      <w:szCs w:val="21"/>
                    </w:rPr>
                    <w:t>申报年产量</w:t>
                  </w:r>
                  <w:r>
                    <w:rPr>
                      <w:rFonts w:hint="eastAsia"/>
                      <w:color w:val="auto"/>
                      <w:sz w:val="21"/>
                      <w:szCs w:val="21"/>
                      <w:lang w:eastAsia="zh-CN"/>
                    </w:rPr>
                    <w:t>（</w:t>
                  </w:r>
                  <w:r>
                    <w:rPr>
                      <w:rFonts w:hint="default" w:ascii="Times New Roman" w:hAnsi="Times New Roman" w:eastAsia="宋体"/>
                      <w:color w:val="auto"/>
                      <w:sz w:val="21"/>
                      <w:szCs w:val="21"/>
                    </w:rPr>
                    <w:t>t</w:t>
                  </w:r>
                  <w:r>
                    <w:rPr>
                      <w:rFonts w:hint="eastAsia"/>
                      <w:color w:val="auto"/>
                      <w:sz w:val="21"/>
                      <w:szCs w:val="21"/>
                      <w:lang w:eastAsia="zh-CN"/>
                    </w:rPr>
                    <w:t>）</w:t>
                  </w:r>
                </w:p>
              </w:tc>
            </w:tr>
            <w:tr w14:paraId="37967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pct"/>
                  <w:tcBorders>
                    <w:top w:val="single" w:color="auto" w:sz="4" w:space="0"/>
                    <w:left w:val="single" w:color="auto" w:sz="4" w:space="0"/>
                    <w:right w:val="single" w:color="auto" w:sz="4" w:space="0"/>
                  </w:tcBorders>
                  <w:vAlign w:val="center"/>
                </w:tcPr>
                <w:p w14:paraId="44FCDF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rPr>
                  </w:pPr>
                  <w:r>
                    <w:rPr>
                      <w:rFonts w:hint="default" w:ascii="Times New Roman" w:hAnsi="Times New Roman" w:eastAsia="宋体"/>
                      <w:color w:val="auto"/>
                      <w:sz w:val="21"/>
                      <w:szCs w:val="21"/>
                    </w:rPr>
                    <w:t>EVA</w:t>
                  </w:r>
                  <w:r>
                    <w:rPr>
                      <w:rFonts w:hint="eastAsia"/>
                      <w:color w:val="auto"/>
                      <w:sz w:val="21"/>
                      <w:szCs w:val="21"/>
                      <w:lang w:val="en-US" w:eastAsia="zh-CN"/>
                    </w:rPr>
                    <w:t>鞋</w:t>
                  </w:r>
                  <w:r>
                    <w:rPr>
                      <w:rFonts w:hint="default" w:ascii="Times New Roman" w:hAnsi="Times New Roman" w:eastAsia="宋体"/>
                      <w:color w:val="auto"/>
                      <w:sz w:val="21"/>
                      <w:szCs w:val="21"/>
                    </w:rPr>
                    <w:t>底</w:t>
                  </w:r>
                </w:p>
              </w:tc>
              <w:tc>
                <w:tcPr>
                  <w:tcW w:w="536" w:type="pct"/>
                  <w:tcBorders>
                    <w:top w:val="single" w:color="auto" w:sz="4" w:space="0"/>
                    <w:left w:val="single" w:color="auto" w:sz="4" w:space="0"/>
                    <w:bottom w:val="single" w:color="auto" w:sz="4" w:space="0"/>
                    <w:right w:val="single" w:color="auto" w:sz="4" w:space="0"/>
                  </w:tcBorders>
                  <w:vAlign w:val="center"/>
                </w:tcPr>
                <w:p w14:paraId="37B8FF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rPr>
                  </w:pPr>
                  <w:r>
                    <w:rPr>
                      <w:rFonts w:hint="default" w:ascii="Times New Roman" w:hAnsi="Times New Roman" w:eastAsia="宋体"/>
                      <w:color w:val="auto"/>
                      <w:sz w:val="21"/>
                      <w:szCs w:val="21"/>
                    </w:rPr>
                    <w:t>EVA发泡机</w:t>
                  </w:r>
                </w:p>
              </w:tc>
              <w:tc>
                <w:tcPr>
                  <w:tcW w:w="457" w:type="pct"/>
                  <w:tcBorders>
                    <w:top w:val="single" w:color="auto" w:sz="4" w:space="0"/>
                    <w:left w:val="single" w:color="auto" w:sz="4" w:space="0"/>
                    <w:bottom w:val="single" w:color="auto" w:sz="4" w:space="0"/>
                    <w:right w:val="single" w:color="auto" w:sz="4" w:space="0"/>
                  </w:tcBorders>
                  <w:vAlign w:val="center"/>
                </w:tcPr>
                <w:p w14:paraId="1A3CAA7F">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olor w:val="auto"/>
                      <w:sz w:val="21"/>
                      <w:szCs w:val="21"/>
                    </w:rPr>
                  </w:pPr>
                  <w:r>
                    <w:rPr>
                      <w:rFonts w:hint="default" w:ascii="Times New Roman" w:hAnsi="Times New Roman" w:eastAsia="宋体"/>
                      <w:color w:val="auto"/>
                      <w:sz w:val="21"/>
                      <w:szCs w:val="21"/>
                    </w:rPr>
                    <w:t>10腔</w:t>
                  </w:r>
                </w:p>
              </w:tc>
              <w:tc>
                <w:tcPr>
                  <w:tcW w:w="376" w:type="pct"/>
                  <w:tcBorders>
                    <w:top w:val="single" w:color="auto" w:sz="4" w:space="0"/>
                    <w:left w:val="single" w:color="auto" w:sz="4" w:space="0"/>
                    <w:bottom w:val="single" w:color="auto" w:sz="4" w:space="0"/>
                    <w:right w:val="single" w:color="auto" w:sz="4" w:space="0"/>
                  </w:tcBorders>
                  <w:vAlign w:val="center"/>
                </w:tcPr>
                <w:p w14:paraId="1E62000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5</w:t>
                  </w:r>
                </w:p>
              </w:tc>
              <w:tc>
                <w:tcPr>
                  <w:tcW w:w="443" w:type="pct"/>
                  <w:tcBorders>
                    <w:top w:val="single" w:color="auto" w:sz="4" w:space="0"/>
                    <w:left w:val="single" w:color="auto" w:sz="4" w:space="0"/>
                    <w:bottom w:val="single" w:color="auto" w:sz="4" w:space="0"/>
                    <w:right w:val="single" w:color="auto" w:sz="4" w:space="0"/>
                  </w:tcBorders>
                  <w:vAlign w:val="center"/>
                </w:tcPr>
                <w:p w14:paraId="54FF869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10</w:t>
                  </w:r>
                </w:p>
              </w:tc>
              <w:tc>
                <w:tcPr>
                  <w:tcW w:w="443" w:type="pct"/>
                  <w:tcBorders>
                    <w:top w:val="single" w:color="auto" w:sz="4" w:space="0"/>
                    <w:left w:val="single" w:color="auto" w:sz="4" w:space="0"/>
                    <w:bottom w:val="single" w:color="auto" w:sz="4" w:space="0"/>
                    <w:right w:val="single" w:color="auto" w:sz="4" w:space="0"/>
                  </w:tcBorders>
                  <w:vAlign w:val="center"/>
                </w:tcPr>
                <w:p w14:paraId="1CF513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55</w:t>
                  </w:r>
                </w:p>
              </w:tc>
              <w:tc>
                <w:tcPr>
                  <w:tcW w:w="443" w:type="pct"/>
                  <w:tcBorders>
                    <w:top w:val="single" w:color="auto" w:sz="4" w:space="0"/>
                    <w:left w:val="single" w:color="auto" w:sz="4" w:space="0"/>
                    <w:bottom w:val="single" w:color="auto" w:sz="4" w:space="0"/>
                    <w:right w:val="single" w:color="auto" w:sz="4" w:space="0"/>
                  </w:tcBorders>
                  <w:vAlign w:val="center"/>
                </w:tcPr>
                <w:p w14:paraId="2E6535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0.55</w:t>
                  </w:r>
                </w:p>
              </w:tc>
              <w:tc>
                <w:tcPr>
                  <w:tcW w:w="454" w:type="pct"/>
                  <w:tcBorders>
                    <w:top w:val="single" w:color="auto" w:sz="4" w:space="0"/>
                    <w:left w:val="single" w:color="auto" w:sz="4" w:space="0"/>
                    <w:bottom w:val="single" w:color="auto" w:sz="4" w:space="0"/>
                    <w:right w:val="single" w:color="auto" w:sz="4" w:space="0"/>
                  </w:tcBorders>
                  <w:vAlign w:val="center"/>
                </w:tcPr>
                <w:p w14:paraId="4E995A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2</w:t>
                  </w:r>
                </w:p>
              </w:tc>
              <w:tc>
                <w:tcPr>
                  <w:tcW w:w="498" w:type="pct"/>
                  <w:tcBorders>
                    <w:top w:val="single" w:color="auto" w:sz="4" w:space="0"/>
                    <w:left w:val="single" w:color="auto" w:sz="4" w:space="0"/>
                    <w:bottom w:val="single" w:color="auto" w:sz="4" w:space="0"/>
                    <w:right w:val="single" w:color="auto" w:sz="4" w:space="0"/>
                  </w:tcBorders>
                  <w:vAlign w:val="center"/>
                </w:tcPr>
                <w:p w14:paraId="2927B4F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2400</w:t>
                  </w:r>
                </w:p>
              </w:tc>
              <w:tc>
                <w:tcPr>
                  <w:tcW w:w="466" w:type="pct"/>
                  <w:tcBorders>
                    <w:top w:val="single" w:color="auto" w:sz="4" w:space="0"/>
                    <w:left w:val="single" w:color="auto" w:sz="4" w:space="0"/>
                    <w:bottom w:val="single" w:color="auto" w:sz="4" w:space="0"/>
                    <w:right w:val="single" w:color="auto" w:sz="4" w:space="0"/>
                  </w:tcBorders>
                  <w:vAlign w:val="center"/>
                </w:tcPr>
                <w:p w14:paraId="09197F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198</w:t>
                  </w:r>
                </w:p>
              </w:tc>
              <w:tc>
                <w:tcPr>
                  <w:tcW w:w="471" w:type="pct"/>
                  <w:tcBorders>
                    <w:top w:val="single" w:color="auto" w:sz="4" w:space="0"/>
                    <w:left w:val="single" w:color="auto" w:sz="4" w:space="0"/>
                    <w:bottom w:val="single" w:color="auto" w:sz="4" w:space="0"/>
                    <w:right w:val="single" w:color="auto" w:sz="4" w:space="0"/>
                  </w:tcBorders>
                  <w:vAlign w:val="center"/>
                </w:tcPr>
                <w:p w14:paraId="18EF19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187.5</w:t>
                  </w:r>
                </w:p>
              </w:tc>
            </w:tr>
          </w:tbl>
          <w:p w14:paraId="604C369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6、人员与生产制度</w:t>
            </w:r>
          </w:p>
          <w:p w14:paraId="77B22C21">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本项目劳动定员为</w:t>
            </w:r>
            <w:r>
              <w:rPr>
                <w:rFonts w:hint="eastAsia" w:ascii="Times New Roman" w:hAnsi="Times New Roman" w:cs="Segoe UI"/>
                <w:i w:val="0"/>
                <w:iCs w:val="0"/>
                <w:caps w:val="0"/>
                <w:color w:val="auto"/>
                <w:spacing w:val="0"/>
                <w:sz w:val="21"/>
                <w:szCs w:val="24"/>
                <w:shd w:val="clear" w:fill="FFFFFF"/>
                <w:lang w:val="en-US" w:eastAsia="zh-CN"/>
              </w:rPr>
              <w:t>6</w:t>
            </w:r>
            <w:r>
              <w:rPr>
                <w:rFonts w:hint="default" w:ascii="Times New Roman" w:hAnsi="Times New Roman" w:eastAsia="宋体" w:cs="Segoe UI"/>
                <w:i w:val="0"/>
                <w:iCs w:val="0"/>
                <w:caps w:val="0"/>
                <w:color w:val="auto"/>
                <w:spacing w:val="0"/>
                <w:sz w:val="21"/>
                <w:szCs w:val="24"/>
                <w:shd w:val="clear" w:fill="FFFFFF"/>
              </w:rPr>
              <w:t>00人，厂内设宿舍供员工住宿（</w:t>
            </w:r>
            <w:r>
              <w:rPr>
                <w:rFonts w:hint="eastAsia" w:ascii="Times New Roman" w:hAnsi="Times New Roman" w:cs="Segoe UI"/>
                <w:i w:val="0"/>
                <w:iCs w:val="0"/>
                <w:caps w:val="0"/>
                <w:color w:val="auto"/>
                <w:spacing w:val="0"/>
                <w:sz w:val="21"/>
                <w:szCs w:val="24"/>
                <w:shd w:val="clear" w:fill="FFFFFF"/>
                <w:lang w:val="en-US" w:eastAsia="zh-CN"/>
              </w:rPr>
              <w:t>用餐600人，其中住宿300人</w:t>
            </w:r>
            <w:r>
              <w:rPr>
                <w:rFonts w:hint="default" w:ascii="Times New Roman" w:hAnsi="Times New Roman" w:eastAsia="宋体" w:cs="Segoe UI"/>
                <w:i w:val="0"/>
                <w:iCs w:val="0"/>
                <w:caps w:val="0"/>
                <w:color w:val="auto"/>
                <w:spacing w:val="0"/>
                <w:sz w:val="21"/>
                <w:szCs w:val="24"/>
                <w:shd w:val="clear" w:fill="FFFFFF"/>
              </w:rPr>
              <w:t>）。全年工作300天，每天1班制，每班8小时（8:00~12:00，13:30~17:30），不涉及夜间生产。</w:t>
            </w:r>
          </w:p>
          <w:p w14:paraId="1803D19C">
            <w:pPr>
              <w:pStyle w:val="5"/>
              <w:keepNext w:val="0"/>
              <w:keepLines w:val="0"/>
              <w:pageBreakBefore w:val="0"/>
              <w:widowControl/>
              <w:numPr>
                <w:ilvl w:val="0"/>
                <w:numId w:val="16"/>
              </w:numPr>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给排水情况</w:t>
            </w:r>
          </w:p>
          <w:p w14:paraId="7872A1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default" w:ascii="Times New Roman" w:hAnsi="Times New Roman" w:eastAsia="宋体" w:cs="Segoe UI"/>
                <w:i w:val="0"/>
                <w:iCs w:val="0"/>
                <w:caps w:val="0"/>
                <w:color w:val="auto"/>
                <w:spacing w:val="0"/>
                <w:kern w:val="0"/>
                <w:sz w:val="21"/>
                <w:szCs w:val="24"/>
                <w:lang w:val="en-US" w:eastAsia="zh-CN" w:bidi="ar-SA"/>
              </w:rPr>
              <w:t>本项目用水主要为员工生活用水和工业用水，总用水量</w:t>
            </w:r>
            <w:r>
              <w:rPr>
                <w:rFonts w:hint="default" w:ascii="Times New Roman" w:hAnsi="Times New Roman" w:eastAsia="宋体" w:cs="Segoe UI"/>
                <w:i w:val="0"/>
                <w:iCs w:val="0"/>
                <w:caps w:val="0"/>
                <w:color w:val="auto"/>
                <w:spacing w:val="0"/>
                <w:kern w:val="0"/>
                <w:sz w:val="21"/>
                <w:szCs w:val="24"/>
                <w:highlight w:val="none"/>
                <w:shd w:val="clear"/>
                <w:lang w:val="en-US" w:eastAsia="zh-CN" w:bidi="ar-SA"/>
              </w:rPr>
              <w:t>为</w:t>
            </w:r>
            <w:r>
              <w:rPr>
                <w:rFonts w:hint="eastAsia" w:cs="Segoe UI"/>
                <w:i w:val="0"/>
                <w:iCs w:val="0"/>
                <w:caps w:val="0"/>
                <w:color w:val="auto"/>
                <w:spacing w:val="0"/>
                <w:kern w:val="0"/>
                <w:sz w:val="21"/>
                <w:szCs w:val="24"/>
                <w:highlight w:val="none"/>
                <w:shd w:val="clear"/>
                <w:lang w:val="en-US" w:eastAsia="zh-CN" w:bidi="ar-SA"/>
              </w:rPr>
              <w:t>8790</w:t>
            </w:r>
            <w:r>
              <w:rPr>
                <w:rFonts w:hint="default" w:ascii="Times New Roman" w:hAnsi="Times New Roman" w:eastAsia="宋体" w:cs="Segoe UI"/>
                <w:i w:val="0"/>
                <w:iCs w:val="0"/>
                <w:caps w:val="0"/>
                <w:color w:val="auto"/>
                <w:spacing w:val="0"/>
                <w:kern w:val="0"/>
                <w:sz w:val="21"/>
                <w:szCs w:val="24"/>
                <w:highlight w:val="none"/>
                <w:shd w:val="clear"/>
                <w:lang w:val="en-US" w:eastAsia="zh-CN" w:bidi="ar-SA"/>
              </w:rPr>
              <w:t>m</w:t>
            </w:r>
            <w:r>
              <w:rPr>
                <w:rFonts w:hint="default" w:ascii="Times New Roman" w:hAnsi="Times New Roman" w:eastAsia="宋体" w:cs="Segoe UI"/>
                <w:i w:val="0"/>
                <w:iCs w:val="0"/>
                <w:caps w:val="0"/>
                <w:color w:val="auto"/>
                <w:spacing w:val="0"/>
                <w:kern w:val="0"/>
                <w:sz w:val="21"/>
                <w:szCs w:val="24"/>
                <w:highlight w:val="none"/>
                <w:shd w:val="clear"/>
                <w:vertAlign w:val="superscript"/>
                <w:lang w:val="en-US" w:eastAsia="zh-CN" w:bidi="ar-SA"/>
              </w:rPr>
              <w:t>3</w:t>
            </w:r>
            <w:r>
              <w:rPr>
                <w:rFonts w:hint="default" w:ascii="Times New Roman" w:hAnsi="Times New Roman" w:eastAsia="宋体" w:cs="Segoe UI"/>
                <w:i w:val="0"/>
                <w:iCs w:val="0"/>
                <w:caps w:val="0"/>
                <w:color w:val="auto"/>
                <w:spacing w:val="0"/>
                <w:kern w:val="0"/>
                <w:sz w:val="21"/>
                <w:szCs w:val="24"/>
                <w:highlight w:val="none"/>
                <w:shd w:val="clear"/>
                <w:lang w:val="en-US" w:eastAsia="zh-CN" w:bidi="ar-SA"/>
              </w:rPr>
              <w:t>/a，</w:t>
            </w:r>
            <w:r>
              <w:rPr>
                <w:rFonts w:hint="default" w:ascii="Times New Roman" w:hAnsi="Times New Roman" w:eastAsia="宋体" w:cs="Segoe UI"/>
                <w:i w:val="0"/>
                <w:iCs w:val="0"/>
                <w:caps w:val="0"/>
                <w:color w:val="auto"/>
                <w:spacing w:val="0"/>
                <w:kern w:val="0"/>
                <w:sz w:val="21"/>
                <w:szCs w:val="24"/>
                <w:lang w:val="en-US" w:eastAsia="zh-CN" w:bidi="ar-SA"/>
              </w:rPr>
              <w:t>均由市政供水管网供给。</w:t>
            </w:r>
          </w:p>
          <w:p w14:paraId="4074C34C">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default" w:ascii="Times New Roman" w:hAnsi="Times New Roman" w:eastAsia="宋体" w:cs="Segoe UI"/>
                <w:i w:val="0"/>
                <w:iCs w:val="0"/>
                <w:caps w:val="0"/>
                <w:color w:val="auto"/>
                <w:spacing w:val="0"/>
                <w:kern w:val="0"/>
                <w:sz w:val="21"/>
                <w:szCs w:val="24"/>
                <w:lang w:val="en-US" w:eastAsia="zh-CN" w:bidi="ar-SA"/>
              </w:rPr>
              <w:t>生活用水：</w:t>
            </w:r>
            <w:r>
              <w:rPr>
                <w:rFonts w:hint="default" w:ascii="Times New Roman" w:hAnsi="Times New Roman" w:eastAsia="宋体" w:cs="Segoe UI"/>
                <w:i w:val="0"/>
                <w:iCs w:val="0"/>
                <w:caps w:val="0"/>
                <w:color w:val="auto"/>
                <w:spacing w:val="0"/>
                <w:sz w:val="21"/>
                <w:szCs w:val="24"/>
                <w:shd w:val="clear" w:fill="FFFFFF"/>
              </w:rPr>
              <w:t>本项目劳动定员600人，其中300人在厂内住宿</w:t>
            </w:r>
            <w:r>
              <w:rPr>
                <w:rFonts w:hint="eastAsia" w:cs="Segoe UI"/>
                <w:i w:val="0"/>
                <w:iCs w:val="0"/>
                <w:caps w:val="0"/>
                <w:color w:val="auto"/>
                <w:spacing w:val="0"/>
                <w:sz w:val="21"/>
                <w:szCs w:val="24"/>
                <w:shd w:val="clear" w:fill="FFFFFF"/>
                <w:lang w:eastAsia="zh-CN"/>
              </w:rPr>
              <w:t>，</w:t>
            </w:r>
            <w:r>
              <w:rPr>
                <w:rFonts w:hint="default" w:ascii="Times New Roman" w:hAnsi="Times New Roman" w:eastAsia="宋体" w:cs="Segoe UI"/>
                <w:i w:val="0"/>
                <w:iCs w:val="0"/>
                <w:caps w:val="0"/>
                <w:color w:val="auto"/>
                <w:spacing w:val="0"/>
                <w:sz w:val="21"/>
                <w:szCs w:val="24"/>
                <w:shd w:val="clear" w:fill="FFFFFF"/>
              </w:rPr>
              <w:t>600人在厂内用餐。参照广东省地方标准《用水定额</w:t>
            </w:r>
            <w:r>
              <w:rPr>
                <w:rFonts w:hint="eastAsia" w:cs="Segoe UI"/>
                <w:i w:val="0"/>
                <w:iCs w:val="0"/>
                <w:caps w:val="0"/>
                <w:color w:val="auto"/>
                <w:spacing w:val="0"/>
                <w:sz w:val="21"/>
                <w:szCs w:val="24"/>
                <w:shd w:val="clear" w:fill="FFFFFF"/>
                <w:lang w:eastAsia="zh-CN"/>
              </w:rPr>
              <w:t xml:space="preserve"> 第</w:t>
            </w:r>
            <w:r>
              <w:rPr>
                <w:rFonts w:hint="default" w:ascii="Times New Roman" w:hAnsi="Times New Roman" w:eastAsia="宋体" w:cs="Segoe UI"/>
                <w:i w:val="0"/>
                <w:iCs w:val="0"/>
                <w:caps w:val="0"/>
                <w:color w:val="auto"/>
                <w:spacing w:val="0"/>
                <w:sz w:val="21"/>
                <w:szCs w:val="24"/>
                <w:shd w:val="clear" w:fill="FFFFFF"/>
              </w:rPr>
              <w:t>3部分：生活》（DB44/</w:t>
            </w:r>
            <w:r>
              <w:rPr>
                <w:rFonts w:hint="eastAsia" w:cs="Segoe UI"/>
                <w:i w:val="0"/>
                <w:iCs w:val="0"/>
                <w:caps w:val="0"/>
                <w:color w:val="auto"/>
                <w:spacing w:val="0"/>
                <w:sz w:val="21"/>
                <w:szCs w:val="24"/>
                <w:shd w:val="clear" w:fill="FFFFFF"/>
                <w:lang w:eastAsia="zh-CN"/>
              </w:rPr>
              <w:t>T 1461</w:t>
            </w:r>
            <w:r>
              <w:rPr>
                <w:rFonts w:hint="default" w:ascii="Times New Roman" w:hAnsi="Times New Roman" w:eastAsia="宋体" w:cs="Segoe UI"/>
                <w:i w:val="0"/>
                <w:iCs w:val="0"/>
                <w:caps w:val="0"/>
                <w:color w:val="auto"/>
                <w:spacing w:val="0"/>
                <w:sz w:val="21"/>
                <w:szCs w:val="24"/>
                <w:shd w:val="clear" w:fill="FFFFFF"/>
              </w:rPr>
              <w:t>.3</w:t>
            </w:r>
            <w:r>
              <w:rPr>
                <w:rFonts w:hint="eastAsia" w:cs="Segoe UI"/>
                <w:i w:val="0"/>
                <w:iCs w:val="0"/>
                <w:caps w:val="0"/>
                <w:color w:val="auto"/>
                <w:spacing w:val="0"/>
                <w:sz w:val="21"/>
                <w:szCs w:val="24"/>
                <w:shd w:val="clear" w:fill="FFFFFF"/>
                <w:lang w:val="en-US" w:eastAsia="zh-CN"/>
              </w:rPr>
              <w:t>-</w:t>
            </w:r>
            <w:r>
              <w:rPr>
                <w:rFonts w:hint="default" w:ascii="Times New Roman" w:hAnsi="Times New Roman" w:eastAsia="宋体" w:cs="Segoe UI"/>
                <w:i w:val="0"/>
                <w:iCs w:val="0"/>
                <w:caps w:val="0"/>
                <w:color w:val="auto"/>
                <w:spacing w:val="0"/>
                <w:sz w:val="21"/>
                <w:szCs w:val="24"/>
                <w:shd w:val="clear" w:fill="FFFFFF"/>
              </w:rPr>
              <w:t>2021），住宿及用餐员工按“办公楼有食堂和浴室”用水定额15m³/人</w:t>
            </w:r>
            <w:r>
              <w:rPr>
                <w:rFonts w:hint="eastAsia" w:cs="Segoe UI"/>
                <w:i w:val="0"/>
                <w:iCs w:val="0"/>
                <w:caps w:val="0"/>
                <w:color w:val="auto"/>
                <w:spacing w:val="0"/>
                <w:sz w:val="21"/>
                <w:szCs w:val="24"/>
                <w:shd w:val="clear" w:fill="FFFFFF"/>
                <w:lang w:eastAsia="zh-CN"/>
              </w:rPr>
              <w:t>·</w:t>
            </w:r>
            <w:r>
              <w:rPr>
                <w:rFonts w:hint="default" w:ascii="Times New Roman" w:hAnsi="Times New Roman" w:eastAsia="宋体" w:cs="Segoe UI"/>
                <w:i w:val="0"/>
                <w:iCs w:val="0"/>
                <w:caps w:val="0"/>
                <w:color w:val="auto"/>
                <w:spacing w:val="0"/>
                <w:sz w:val="21"/>
                <w:szCs w:val="24"/>
                <w:shd w:val="clear" w:fill="FFFFFF"/>
              </w:rPr>
              <w:t>a计，仅用餐不住宿员工按“办公楼无食堂和浴室”用水定额10m³/人</w:t>
            </w:r>
            <w:r>
              <w:rPr>
                <w:rFonts w:hint="eastAsia" w:cs="Segoe UI"/>
                <w:i w:val="0"/>
                <w:iCs w:val="0"/>
                <w:caps w:val="0"/>
                <w:color w:val="auto"/>
                <w:spacing w:val="0"/>
                <w:sz w:val="21"/>
                <w:szCs w:val="24"/>
                <w:shd w:val="clear" w:fill="FFFFFF"/>
                <w:lang w:eastAsia="zh-CN"/>
              </w:rPr>
              <w:t>·</w:t>
            </w:r>
            <w:r>
              <w:rPr>
                <w:rFonts w:hint="default" w:ascii="Times New Roman" w:hAnsi="Times New Roman" w:eastAsia="宋体" w:cs="Segoe UI"/>
                <w:i w:val="0"/>
                <w:iCs w:val="0"/>
                <w:caps w:val="0"/>
                <w:color w:val="auto"/>
                <w:spacing w:val="0"/>
                <w:sz w:val="21"/>
                <w:szCs w:val="24"/>
                <w:shd w:val="clear" w:fill="FFFFFF"/>
              </w:rPr>
              <w:t>a计</w:t>
            </w:r>
            <w:r>
              <w:rPr>
                <w:rFonts w:hint="eastAsia" w:cs="Segoe UI"/>
                <w:i w:val="0"/>
                <w:iCs w:val="0"/>
                <w:caps w:val="0"/>
                <w:color w:val="auto"/>
                <w:spacing w:val="0"/>
                <w:sz w:val="21"/>
                <w:szCs w:val="24"/>
                <w:shd w:val="clear" w:fill="FFFFFF"/>
                <w:lang w:eastAsia="zh-CN"/>
              </w:rPr>
              <w:t xml:space="preserve"> </w:t>
            </w:r>
            <w:r>
              <w:rPr>
                <w:rFonts w:hint="default" w:ascii="Times New Roman" w:hAnsi="Times New Roman" w:eastAsia="宋体" w:cs="Segoe UI"/>
                <w:i w:val="0"/>
                <w:iCs w:val="0"/>
                <w:caps w:val="0"/>
                <w:color w:val="auto"/>
                <w:spacing w:val="0"/>
                <w:sz w:val="21"/>
                <w:szCs w:val="24"/>
                <w:shd w:val="clear" w:fill="FFFFFF"/>
              </w:rPr>
              <w:t>。经核算，项目生活用水量为7500t/a（25t/d），生活污水排放系数按0.9计，生活污水产生量为6750t/a（22.5t/d）。生活污水经三级化粪池预处理达到广东省地方标准《水污染物排放限值》（DB44/26</w:t>
            </w:r>
            <w:r>
              <w:rPr>
                <w:rFonts w:hint="eastAsia" w:cs="Segoe UI"/>
                <w:i w:val="0"/>
                <w:iCs w:val="0"/>
                <w:caps w:val="0"/>
                <w:color w:val="auto"/>
                <w:spacing w:val="0"/>
                <w:sz w:val="21"/>
                <w:szCs w:val="24"/>
                <w:shd w:val="clear" w:fill="FFFFFF"/>
                <w:lang w:val="en-US" w:eastAsia="zh-CN"/>
              </w:rPr>
              <w:t>-</w:t>
            </w:r>
            <w:r>
              <w:rPr>
                <w:rFonts w:hint="default" w:ascii="Times New Roman" w:hAnsi="Times New Roman" w:eastAsia="宋体" w:cs="Segoe UI"/>
                <w:i w:val="0"/>
                <w:iCs w:val="0"/>
                <w:caps w:val="0"/>
                <w:color w:val="auto"/>
                <w:spacing w:val="0"/>
                <w:sz w:val="21"/>
                <w:szCs w:val="24"/>
                <w:shd w:val="clear" w:fill="FFFFFF"/>
              </w:rPr>
              <w:t>2001）第二时段三级标准后，经市政污水管网排入</w:t>
            </w:r>
            <w:r>
              <w:rPr>
                <w:rFonts w:hint="eastAsia" w:ascii="Times New Roman" w:hAnsi="Times New Roman" w:eastAsia="宋体" w:cs="Segoe UI"/>
                <w:i w:val="0"/>
                <w:iCs w:val="0"/>
                <w:caps w:val="0"/>
                <w:color w:val="auto"/>
                <w:spacing w:val="0"/>
                <w:kern w:val="2"/>
                <w:sz w:val="21"/>
                <w:szCs w:val="24"/>
                <w:shd w:val="clear" w:fill="FFFFFF"/>
                <w:lang w:val="en-US" w:eastAsia="zh-CN" w:bidi="ar-SA"/>
              </w:rPr>
              <w:t>中山市污水处理有限公司</w:t>
            </w:r>
            <w:r>
              <w:rPr>
                <w:rFonts w:hint="default" w:ascii="Times New Roman" w:hAnsi="Times New Roman" w:eastAsia="宋体" w:cs="Segoe UI"/>
                <w:i w:val="0"/>
                <w:iCs w:val="0"/>
                <w:caps w:val="0"/>
                <w:color w:val="auto"/>
                <w:spacing w:val="0"/>
                <w:kern w:val="2"/>
                <w:sz w:val="21"/>
                <w:szCs w:val="24"/>
                <w:shd w:val="clear" w:fill="FFFFFF"/>
                <w:lang w:val="en-US" w:eastAsia="zh-CN" w:bidi="ar-SA"/>
              </w:rPr>
              <w:t>处理</w:t>
            </w:r>
            <w:r>
              <w:rPr>
                <w:rFonts w:hint="default" w:ascii="Times New Roman" w:hAnsi="Times New Roman" w:eastAsia="宋体" w:cs="Segoe UI"/>
                <w:i w:val="0"/>
                <w:iCs w:val="0"/>
                <w:caps w:val="0"/>
                <w:color w:val="auto"/>
                <w:spacing w:val="0"/>
                <w:sz w:val="21"/>
                <w:szCs w:val="24"/>
                <w:shd w:val="clear" w:fill="FFFFFF"/>
              </w:rPr>
              <w:t>。</w:t>
            </w:r>
          </w:p>
          <w:p w14:paraId="0F2C20BC">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eastAsia" w:ascii="Times New Roman" w:hAnsi="Times New Roman" w:eastAsia="宋体" w:cs="Segoe UI"/>
                <w:i w:val="0"/>
                <w:iCs w:val="0"/>
                <w:caps w:val="0"/>
                <w:color w:val="auto"/>
                <w:spacing w:val="0"/>
                <w:kern w:val="0"/>
                <w:sz w:val="21"/>
                <w:szCs w:val="24"/>
                <w:lang w:val="en-US" w:eastAsia="zh-CN" w:bidi="ar-SA"/>
              </w:rPr>
              <w:t>生产用水：</w:t>
            </w:r>
          </w:p>
          <w:p w14:paraId="791F4185">
            <w:pPr>
              <w:keepNext w:val="0"/>
              <w:keepLines w:val="0"/>
              <w:pageBreakBefore w:val="0"/>
              <w:widowControl/>
              <w:numPr>
                <w:ilvl w:val="0"/>
                <w:numId w:val="18"/>
              </w:numPr>
              <w:suppressLineNumbers w:val="0"/>
              <w:kinsoku/>
              <w:wordWrap/>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eastAsia" w:ascii="Times New Roman" w:hAnsi="Times New Roman" w:eastAsia="宋体" w:cs="Segoe UI"/>
                <w:i w:val="0"/>
                <w:iCs w:val="0"/>
                <w:caps w:val="0"/>
                <w:color w:val="auto"/>
                <w:spacing w:val="0"/>
                <w:kern w:val="0"/>
                <w:sz w:val="21"/>
                <w:szCs w:val="24"/>
                <w:lang w:val="en-US" w:eastAsia="zh-CN" w:bidi="ar-SA"/>
              </w:rPr>
              <w:t>间接冷却用水：间接冷却用水：项目EVA发泡机使用间接冷却方式进行冷却，冷却用水经冷却塔冷却后循环使用。项目设1台冷却塔，每台循环水量为5m³/h，年工作时间2400h，循环过程中会有少量水因受热等因素损失，需定期补充新鲜水，补充水量按循环水量的5%估算，则每台补充水量=5×2400×5%=600t/a。</w:t>
            </w:r>
          </w:p>
          <w:p w14:paraId="462C7877">
            <w:pPr>
              <w:keepNext w:val="0"/>
              <w:keepLines w:val="0"/>
              <w:pageBreakBefore w:val="0"/>
              <w:widowControl/>
              <w:numPr>
                <w:ilvl w:val="0"/>
                <w:numId w:val="18"/>
              </w:numPr>
              <w:suppressLineNumbers w:val="0"/>
              <w:kinsoku/>
              <w:wordWrap/>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eastAsia" w:ascii="Times New Roman" w:hAnsi="Times New Roman" w:eastAsia="宋体" w:cs="Segoe UI"/>
                <w:i w:val="0"/>
                <w:iCs w:val="0"/>
                <w:caps w:val="0"/>
                <w:color w:val="auto"/>
                <w:spacing w:val="0"/>
                <w:kern w:val="0"/>
                <w:sz w:val="21"/>
                <w:szCs w:val="24"/>
                <w:lang w:val="en-US" w:eastAsia="zh-CN" w:bidi="ar-SA"/>
              </w:rPr>
              <w:t>蒸湿</w:t>
            </w:r>
            <w:r>
              <w:rPr>
                <w:rFonts w:hint="default" w:ascii="Times New Roman" w:hAnsi="Times New Roman" w:eastAsia="宋体" w:cs="Segoe UI"/>
                <w:i w:val="0"/>
                <w:iCs w:val="0"/>
                <w:caps w:val="0"/>
                <w:color w:val="auto"/>
                <w:spacing w:val="0"/>
                <w:kern w:val="0"/>
                <w:sz w:val="21"/>
                <w:szCs w:val="24"/>
                <w:lang w:val="en-US" w:eastAsia="zh-CN" w:bidi="ar-SA"/>
              </w:rPr>
              <w:t>机用水：本项目配置</w:t>
            </w:r>
            <w:r>
              <w:rPr>
                <w:rFonts w:hint="eastAsia" w:cs="Segoe UI"/>
                <w:i w:val="0"/>
                <w:iCs w:val="0"/>
                <w:caps w:val="0"/>
                <w:color w:val="auto"/>
                <w:spacing w:val="0"/>
                <w:kern w:val="0"/>
                <w:sz w:val="21"/>
                <w:szCs w:val="24"/>
                <w:lang w:val="en-US" w:eastAsia="zh-CN" w:bidi="ar-SA"/>
              </w:rPr>
              <w:t>12</w:t>
            </w:r>
            <w:r>
              <w:rPr>
                <w:rFonts w:hint="default" w:ascii="Times New Roman" w:hAnsi="Times New Roman" w:eastAsia="宋体" w:cs="Segoe UI"/>
                <w:i w:val="0"/>
                <w:iCs w:val="0"/>
                <w:caps w:val="0"/>
                <w:color w:val="auto"/>
                <w:spacing w:val="0"/>
                <w:kern w:val="0"/>
                <w:sz w:val="21"/>
                <w:szCs w:val="24"/>
                <w:lang w:val="en-US" w:eastAsia="zh-CN" w:bidi="ar-SA"/>
              </w:rPr>
              <w:t>台蒸湿机，用于鞋面蒸汽加湿软化处理。蒸湿机通过电加热产生蒸汽对鞋面进行加湿软化，使鞋面纤维充分舒展，便于后续套楦和加热定型操作。蒸湿机用水全部转化为蒸汽损耗，无废水产生</w:t>
            </w:r>
            <w:r>
              <w:rPr>
                <w:rFonts w:hint="eastAsia" w:cs="Segoe UI"/>
                <w:i w:val="0"/>
                <w:iCs w:val="0"/>
                <w:caps w:val="0"/>
                <w:color w:val="auto"/>
                <w:spacing w:val="0"/>
                <w:kern w:val="0"/>
                <w:sz w:val="21"/>
                <w:szCs w:val="24"/>
                <w:lang w:val="en-US" w:eastAsia="zh-CN" w:bidi="ar-SA"/>
              </w:rPr>
              <w:t>；</w:t>
            </w:r>
            <w:r>
              <w:rPr>
                <w:rFonts w:hint="default" w:ascii="Times New Roman" w:hAnsi="Times New Roman" w:eastAsia="宋体" w:cs="Segoe UI"/>
                <w:i w:val="0"/>
                <w:iCs w:val="0"/>
                <w:caps w:val="0"/>
                <w:color w:val="auto"/>
                <w:spacing w:val="0"/>
                <w:kern w:val="0"/>
                <w:sz w:val="21"/>
                <w:szCs w:val="24"/>
                <w:lang w:val="en-US" w:eastAsia="zh-CN" w:bidi="ar-SA"/>
              </w:rPr>
              <w:t>参照同类型制鞋项目，单台蒸湿机用水量约0.15t/d</w:t>
            </w:r>
            <w:r>
              <w:rPr>
                <w:rFonts w:hint="eastAsia" w:cs="Segoe UI"/>
                <w:i w:val="0"/>
                <w:iCs w:val="0"/>
                <w:caps w:val="0"/>
                <w:color w:val="auto"/>
                <w:spacing w:val="0"/>
                <w:kern w:val="0"/>
                <w:sz w:val="21"/>
                <w:szCs w:val="24"/>
                <w:lang w:val="en-US" w:eastAsia="zh-CN" w:bidi="ar-SA"/>
              </w:rPr>
              <w:t xml:space="preserve"> </w:t>
            </w:r>
            <w:r>
              <w:rPr>
                <w:rFonts w:hint="default" w:ascii="Times New Roman" w:hAnsi="Times New Roman" w:eastAsia="宋体" w:cs="Segoe UI"/>
                <w:i w:val="0"/>
                <w:iCs w:val="0"/>
                <w:caps w:val="0"/>
                <w:color w:val="auto"/>
                <w:spacing w:val="0"/>
                <w:kern w:val="0"/>
                <w:sz w:val="21"/>
                <w:szCs w:val="24"/>
                <w:lang w:val="en-US" w:eastAsia="zh-CN" w:bidi="ar-SA"/>
              </w:rPr>
              <w:t>，</w:t>
            </w:r>
            <w:r>
              <w:rPr>
                <w:rFonts w:hint="eastAsia" w:cs="Segoe UI"/>
                <w:i w:val="0"/>
                <w:iCs w:val="0"/>
                <w:caps w:val="0"/>
                <w:color w:val="auto"/>
                <w:spacing w:val="0"/>
                <w:kern w:val="0"/>
                <w:sz w:val="21"/>
                <w:szCs w:val="24"/>
                <w:lang w:val="en-US" w:eastAsia="zh-CN" w:bidi="ar-SA"/>
              </w:rPr>
              <w:t>12</w:t>
            </w:r>
            <w:r>
              <w:rPr>
                <w:rFonts w:hint="default" w:ascii="Times New Roman" w:hAnsi="Times New Roman" w:eastAsia="宋体" w:cs="Segoe UI"/>
                <w:i w:val="0"/>
                <w:iCs w:val="0"/>
                <w:caps w:val="0"/>
                <w:color w:val="auto"/>
                <w:spacing w:val="0"/>
                <w:kern w:val="0"/>
                <w:sz w:val="21"/>
                <w:szCs w:val="24"/>
                <w:lang w:val="en-US" w:eastAsia="zh-CN" w:bidi="ar-SA"/>
              </w:rPr>
              <w:t>台蒸湿机日用水量约1.</w:t>
            </w:r>
            <w:r>
              <w:rPr>
                <w:rFonts w:hint="eastAsia" w:cs="Segoe UI"/>
                <w:i w:val="0"/>
                <w:iCs w:val="0"/>
                <w:caps w:val="0"/>
                <w:color w:val="auto"/>
                <w:spacing w:val="0"/>
                <w:kern w:val="0"/>
                <w:sz w:val="21"/>
                <w:szCs w:val="24"/>
                <w:lang w:val="en-US" w:eastAsia="zh-CN" w:bidi="ar-SA"/>
              </w:rPr>
              <w:t>8</w:t>
            </w:r>
            <w:r>
              <w:rPr>
                <w:rFonts w:hint="default" w:ascii="Times New Roman" w:hAnsi="Times New Roman" w:eastAsia="宋体" w:cs="Segoe UI"/>
                <w:i w:val="0"/>
                <w:iCs w:val="0"/>
                <w:caps w:val="0"/>
                <w:color w:val="auto"/>
                <w:spacing w:val="0"/>
                <w:kern w:val="0"/>
                <w:sz w:val="21"/>
                <w:szCs w:val="24"/>
                <w:lang w:val="en-US" w:eastAsia="zh-CN" w:bidi="ar-SA"/>
              </w:rPr>
              <w:t>t/d，年工作300天，则蒸湿机年用水量约</w:t>
            </w:r>
            <w:r>
              <w:rPr>
                <w:rFonts w:hint="eastAsia" w:cs="Segoe UI"/>
                <w:i w:val="0"/>
                <w:iCs w:val="0"/>
                <w:caps w:val="0"/>
                <w:color w:val="auto"/>
                <w:spacing w:val="0"/>
                <w:kern w:val="0"/>
                <w:sz w:val="21"/>
                <w:szCs w:val="24"/>
                <w:lang w:val="en-US" w:eastAsia="zh-CN" w:bidi="ar-SA"/>
              </w:rPr>
              <w:t>540</w:t>
            </w:r>
            <w:r>
              <w:rPr>
                <w:rFonts w:hint="default" w:ascii="Times New Roman" w:hAnsi="Times New Roman" w:eastAsia="宋体" w:cs="Segoe UI"/>
                <w:i w:val="0"/>
                <w:iCs w:val="0"/>
                <w:caps w:val="0"/>
                <w:color w:val="auto"/>
                <w:spacing w:val="0"/>
                <w:kern w:val="0"/>
                <w:sz w:val="21"/>
                <w:szCs w:val="24"/>
                <w:lang w:val="en-US" w:eastAsia="zh-CN" w:bidi="ar-SA"/>
              </w:rPr>
              <w:t>t/a。蒸汽损耗率按100%计，无废水排放。</w:t>
            </w:r>
          </w:p>
          <w:p w14:paraId="0459B806">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eastAsia" w:ascii="Times New Roman" w:hAnsi="Times New Roman" w:eastAsia="宋体" w:cs="Segoe UI"/>
                <w:i w:val="0"/>
                <w:iCs w:val="0"/>
                <w:caps w:val="0"/>
                <w:color w:val="auto"/>
                <w:spacing w:val="0"/>
                <w:kern w:val="0"/>
                <w:sz w:val="21"/>
                <w:szCs w:val="24"/>
                <w:lang w:val="en-US" w:eastAsia="zh-CN" w:bidi="ar-SA"/>
              </w:rPr>
              <w:t>（3）</w:t>
            </w:r>
            <w:r>
              <w:rPr>
                <w:rFonts w:hint="default" w:ascii="Times New Roman" w:hAnsi="Times New Roman" w:eastAsia="宋体" w:cs="Segoe UI"/>
                <w:i w:val="0"/>
                <w:iCs w:val="0"/>
                <w:caps w:val="0"/>
                <w:color w:val="auto"/>
                <w:spacing w:val="0"/>
                <w:kern w:val="0"/>
                <w:sz w:val="21"/>
                <w:szCs w:val="24"/>
                <w:lang w:val="en-US" w:eastAsia="zh-CN" w:bidi="ar-SA"/>
              </w:rPr>
              <w:t>冲版废水：项目晒版过程中需要对网版进行冲洗，每批次制版量约为</w:t>
            </w:r>
            <w:r>
              <w:rPr>
                <w:rFonts w:hint="eastAsia" w:ascii="Times New Roman" w:hAnsi="Times New Roman" w:eastAsia="宋体" w:cs="Segoe UI"/>
                <w:i w:val="0"/>
                <w:iCs w:val="0"/>
                <w:caps w:val="0"/>
                <w:color w:val="auto"/>
                <w:spacing w:val="0"/>
                <w:kern w:val="0"/>
                <w:sz w:val="21"/>
                <w:szCs w:val="24"/>
                <w:lang w:val="en-US" w:eastAsia="zh-CN" w:bidi="ar-SA"/>
              </w:rPr>
              <w:t>10</w:t>
            </w:r>
            <w:r>
              <w:rPr>
                <w:rFonts w:hint="default" w:ascii="Times New Roman" w:hAnsi="Times New Roman" w:eastAsia="宋体" w:cs="Segoe UI"/>
                <w:i w:val="0"/>
                <w:iCs w:val="0"/>
                <w:caps w:val="0"/>
                <w:color w:val="auto"/>
                <w:spacing w:val="0"/>
                <w:kern w:val="0"/>
                <w:sz w:val="21"/>
                <w:szCs w:val="24"/>
                <w:lang w:val="en-US" w:eastAsia="zh-CN" w:bidi="ar-SA"/>
              </w:rPr>
              <w:t>0张，约5天生产一批次，冲版用水量为</w:t>
            </w:r>
            <w:r>
              <w:rPr>
                <w:rFonts w:hint="eastAsia" w:ascii="Times New Roman" w:hAnsi="Times New Roman" w:eastAsia="宋体" w:cs="Segoe UI"/>
                <w:i w:val="0"/>
                <w:iCs w:val="0"/>
                <w:caps w:val="0"/>
                <w:color w:val="auto"/>
                <w:spacing w:val="0"/>
                <w:kern w:val="0"/>
                <w:sz w:val="21"/>
                <w:szCs w:val="24"/>
                <w:lang w:val="en-US" w:eastAsia="zh-CN" w:bidi="ar-SA"/>
              </w:rPr>
              <w:t>5</w:t>
            </w:r>
            <w:r>
              <w:rPr>
                <w:rFonts w:hint="default" w:ascii="Times New Roman" w:hAnsi="Times New Roman" w:eastAsia="宋体" w:cs="Segoe UI"/>
                <w:i w:val="0"/>
                <w:iCs w:val="0"/>
                <w:caps w:val="0"/>
                <w:color w:val="auto"/>
                <w:spacing w:val="0"/>
                <w:kern w:val="0"/>
                <w:sz w:val="21"/>
                <w:szCs w:val="24"/>
                <w:lang w:val="en-US" w:eastAsia="zh-CN" w:bidi="ar-SA"/>
              </w:rPr>
              <w:t>L/张，则冲版用水量为</w:t>
            </w:r>
            <w:r>
              <w:rPr>
                <w:rFonts w:hint="eastAsia" w:ascii="Times New Roman" w:hAnsi="Times New Roman" w:eastAsia="宋体" w:cs="Segoe UI"/>
                <w:i w:val="0"/>
                <w:iCs w:val="0"/>
                <w:caps w:val="0"/>
                <w:color w:val="auto"/>
                <w:spacing w:val="0"/>
                <w:kern w:val="0"/>
                <w:sz w:val="21"/>
                <w:szCs w:val="24"/>
                <w:lang w:val="en-US" w:eastAsia="zh-CN" w:bidi="ar-SA"/>
              </w:rPr>
              <w:t>5</w:t>
            </w:r>
            <w:r>
              <w:rPr>
                <w:rFonts w:hint="default" w:ascii="Times New Roman" w:hAnsi="Times New Roman" w:eastAsia="宋体" w:cs="Segoe UI"/>
                <w:i w:val="0"/>
                <w:iCs w:val="0"/>
                <w:caps w:val="0"/>
                <w:color w:val="auto"/>
                <w:spacing w:val="0"/>
                <w:kern w:val="0"/>
                <w:sz w:val="21"/>
                <w:szCs w:val="24"/>
                <w:lang w:val="en-US" w:eastAsia="zh-CN" w:bidi="ar-SA"/>
              </w:rPr>
              <w:t>L/张×</w:t>
            </w:r>
            <w:r>
              <w:rPr>
                <w:rFonts w:hint="eastAsia" w:ascii="Times New Roman" w:hAnsi="Times New Roman" w:eastAsia="宋体" w:cs="Segoe UI"/>
                <w:i w:val="0"/>
                <w:iCs w:val="0"/>
                <w:caps w:val="0"/>
                <w:color w:val="auto"/>
                <w:spacing w:val="0"/>
                <w:kern w:val="0"/>
                <w:sz w:val="21"/>
                <w:szCs w:val="24"/>
                <w:lang w:val="en-US" w:eastAsia="zh-CN" w:bidi="ar-SA"/>
              </w:rPr>
              <w:t>10</w:t>
            </w:r>
            <w:r>
              <w:rPr>
                <w:rFonts w:hint="default" w:ascii="Times New Roman" w:hAnsi="Times New Roman" w:eastAsia="宋体" w:cs="Segoe UI"/>
                <w:i w:val="0"/>
                <w:iCs w:val="0"/>
                <w:caps w:val="0"/>
                <w:color w:val="auto"/>
                <w:spacing w:val="0"/>
                <w:kern w:val="0"/>
                <w:sz w:val="21"/>
                <w:szCs w:val="24"/>
                <w:lang w:val="en-US" w:eastAsia="zh-CN" w:bidi="ar-SA"/>
              </w:rPr>
              <w:t>0张×300d/a÷5d=</w:t>
            </w:r>
            <w:r>
              <w:rPr>
                <w:rFonts w:hint="eastAsia" w:ascii="Times New Roman" w:hAnsi="Times New Roman" w:eastAsia="宋体" w:cs="Segoe UI"/>
                <w:i w:val="0"/>
                <w:iCs w:val="0"/>
                <w:caps w:val="0"/>
                <w:color w:val="auto"/>
                <w:spacing w:val="0"/>
                <w:kern w:val="0"/>
                <w:sz w:val="21"/>
                <w:szCs w:val="24"/>
                <w:lang w:val="en-US" w:eastAsia="zh-CN" w:bidi="ar-SA"/>
              </w:rPr>
              <w:t>30</w:t>
            </w:r>
            <w:r>
              <w:rPr>
                <w:rFonts w:hint="default" w:ascii="Times New Roman" w:hAnsi="Times New Roman" w:eastAsia="宋体" w:cs="Segoe UI"/>
                <w:i w:val="0"/>
                <w:iCs w:val="0"/>
                <w:caps w:val="0"/>
                <w:color w:val="auto"/>
                <w:spacing w:val="0"/>
                <w:kern w:val="0"/>
                <w:sz w:val="21"/>
                <w:szCs w:val="24"/>
                <w:lang w:val="en-US" w:eastAsia="zh-CN" w:bidi="ar-SA"/>
              </w:rPr>
              <w:t>t/a，冲版用水年用量为</w:t>
            </w:r>
            <w:r>
              <w:rPr>
                <w:rFonts w:hint="eastAsia" w:ascii="Times New Roman" w:hAnsi="Times New Roman" w:eastAsia="宋体" w:cs="Segoe UI"/>
                <w:i w:val="0"/>
                <w:iCs w:val="0"/>
                <w:caps w:val="0"/>
                <w:color w:val="auto"/>
                <w:spacing w:val="0"/>
                <w:kern w:val="0"/>
                <w:sz w:val="21"/>
                <w:szCs w:val="24"/>
                <w:lang w:val="en-US" w:eastAsia="zh-CN" w:bidi="ar-SA"/>
              </w:rPr>
              <w:t>30</w:t>
            </w:r>
            <w:r>
              <w:rPr>
                <w:rFonts w:hint="default" w:ascii="Times New Roman" w:hAnsi="Times New Roman" w:eastAsia="宋体" w:cs="Segoe UI"/>
                <w:i w:val="0"/>
                <w:iCs w:val="0"/>
                <w:caps w:val="0"/>
                <w:color w:val="auto"/>
                <w:spacing w:val="0"/>
                <w:kern w:val="0"/>
                <w:sz w:val="21"/>
                <w:szCs w:val="24"/>
                <w:lang w:val="en-US" w:eastAsia="zh-CN" w:bidi="ar-SA"/>
              </w:rPr>
              <w:t>t/a，废水产生系数按90%计，冲版废水产生量约为</w:t>
            </w:r>
            <w:r>
              <w:rPr>
                <w:rFonts w:hint="eastAsia" w:ascii="Times New Roman" w:hAnsi="Times New Roman" w:eastAsia="宋体" w:cs="Segoe UI"/>
                <w:i w:val="0"/>
                <w:iCs w:val="0"/>
                <w:caps w:val="0"/>
                <w:color w:val="auto"/>
                <w:spacing w:val="0"/>
                <w:kern w:val="0"/>
                <w:sz w:val="21"/>
                <w:szCs w:val="24"/>
                <w:lang w:val="en-US" w:eastAsia="zh-CN" w:bidi="ar-SA"/>
              </w:rPr>
              <w:t>27</w:t>
            </w:r>
            <w:r>
              <w:rPr>
                <w:rFonts w:hint="default" w:ascii="Times New Roman" w:hAnsi="Times New Roman" w:eastAsia="宋体" w:cs="Segoe UI"/>
                <w:i w:val="0"/>
                <w:iCs w:val="0"/>
                <w:caps w:val="0"/>
                <w:color w:val="auto"/>
                <w:spacing w:val="0"/>
                <w:kern w:val="0"/>
                <w:sz w:val="21"/>
                <w:szCs w:val="24"/>
                <w:lang w:val="en-US" w:eastAsia="zh-CN" w:bidi="ar-SA"/>
              </w:rPr>
              <w:t>t/a，委托有处理能力的废水处理机构处理。</w:t>
            </w:r>
          </w:p>
          <w:p w14:paraId="4BE66562">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eastAsia" w:ascii="Times New Roman" w:hAnsi="Times New Roman" w:eastAsia="宋体" w:cs="Segoe UI"/>
                <w:i w:val="0"/>
                <w:iCs w:val="0"/>
                <w:caps w:val="0"/>
                <w:color w:val="auto"/>
                <w:spacing w:val="0"/>
                <w:kern w:val="0"/>
                <w:sz w:val="21"/>
                <w:szCs w:val="24"/>
                <w:lang w:val="en-US" w:eastAsia="zh-CN" w:bidi="ar-SA"/>
              </w:rPr>
              <w:t>（4）</w:t>
            </w:r>
            <w:r>
              <w:rPr>
                <w:rFonts w:hint="default" w:ascii="Times New Roman" w:hAnsi="Times New Roman" w:eastAsia="宋体" w:cs="Segoe UI"/>
                <w:i w:val="0"/>
                <w:iCs w:val="0"/>
                <w:caps w:val="0"/>
                <w:color w:val="auto"/>
                <w:spacing w:val="0"/>
                <w:kern w:val="0"/>
                <w:sz w:val="21"/>
                <w:szCs w:val="24"/>
                <w:lang w:val="en-US" w:eastAsia="zh-CN" w:bidi="ar-SA"/>
              </w:rPr>
              <w:t>网版清洗废水：项目每批次需清洗的网版约为</w:t>
            </w:r>
            <w:r>
              <w:rPr>
                <w:rFonts w:hint="eastAsia" w:ascii="Times New Roman" w:hAnsi="Times New Roman" w:eastAsia="宋体" w:cs="Segoe UI"/>
                <w:i w:val="0"/>
                <w:iCs w:val="0"/>
                <w:caps w:val="0"/>
                <w:color w:val="auto"/>
                <w:spacing w:val="0"/>
                <w:kern w:val="0"/>
                <w:sz w:val="21"/>
                <w:szCs w:val="24"/>
                <w:lang w:val="en-US" w:eastAsia="zh-CN" w:bidi="ar-SA"/>
              </w:rPr>
              <w:t>5</w:t>
            </w:r>
            <w:r>
              <w:rPr>
                <w:rFonts w:hint="default" w:ascii="Times New Roman" w:hAnsi="Times New Roman" w:eastAsia="宋体" w:cs="Segoe UI"/>
                <w:i w:val="0"/>
                <w:iCs w:val="0"/>
                <w:caps w:val="0"/>
                <w:color w:val="auto"/>
                <w:spacing w:val="0"/>
                <w:kern w:val="0"/>
                <w:sz w:val="21"/>
                <w:szCs w:val="24"/>
                <w:lang w:val="en-US" w:eastAsia="zh-CN" w:bidi="ar-SA"/>
              </w:rPr>
              <w:t>0张，每天生产后均要清洗一次，网版清洗用水量为</w:t>
            </w:r>
            <w:r>
              <w:rPr>
                <w:rFonts w:hint="eastAsia" w:ascii="Times New Roman" w:hAnsi="Times New Roman" w:eastAsia="宋体" w:cs="Segoe UI"/>
                <w:i w:val="0"/>
                <w:iCs w:val="0"/>
                <w:caps w:val="0"/>
                <w:color w:val="auto"/>
                <w:spacing w:val="0"/>
                <w:kern w:val="0"/>
                <w:sz w:val="21"/>
                <w:szCs w:val="24"/>
                <w:lang w:val="en-US" w:eastAsia="zh-CN" w:bidi="ar-SA"/>
              </w:rPr>
              <w:t>8</w:t>
            </w:r>
            <w:r>
              <w:rPr>
                <w:rFonts w:hint="default" w:ascii="Times New Roman" w:hAnsi="Times New Roman" w:eastAsia="宋体" w:cs="Segoe UI"/>
                <w:i w:val="0"/>
                <w:iCs w:val="0"/>
                <w:caps w:val="0"/>
                <w:color w:val="auto"/>
                <w:spacing w:val="0"/>
                <w:kern w:val="0"/>
                <w:sz w:val="21"/>
                <w:szCs w:val="24"/>
                <w:lang w:val="en-US" w:eastAsia="zh-CN" w:bidi="ar-SA"/>
              </w:rPr>
              <w:t>L/张，则清洗用水量为</w:t>
            </w:r>
            <w:r>
              <w:rPr>
                <w:rFonts w:hint="eastAsia" w:ascii="Times New Roman" w:hAnsi="Times New Roman" w:eastAsia="宋体" w:cs="Segoe UI"/>
                <w:i w:val="0"/>
                <w:iCs w:val="0"/>
                <w:caps w:val="0"/>
                <w:color w:val="auto"/>
                <w:spacing w:val="0"/>
                <w:kern w:val="0"/>
                <w:sz w:val="21"/>
                <w:szCs w:val="24"/>
                <w:lang w:val="en-US" w:eastAsia="zh-CN" w:bidi="ar-SA"/>
              </w:rPr>
              <w:t>8</w:t>
            </w:r>
            <w:r>
              <w:rPr>
                <w:rFonts w:hint="default" w:ascii="Times New Roman" w:hAnsi="Times New Roman" w:eastAsia="宋体" w:cs="Segoe UI"/>
                <w:i w:val="0"/>
                <w:iCs w:val="0"/>
                <w:caps w:val="0"/>
                <w:color w:val="auto"/>
                <w:spacing w:val="0"/>
                <w:kern w:val="0"/>
                <w:sz w:val="21"/>
                <w:szCs w:val="24"/>
                <w:lang w:val="en-US" w:eastAsia="zh-CN" w:bidi="ar-SA"/>
              </w:rPr>
              <w:t>L/张×</w:t>
            </w:r>
            <w:r>
              <w:rPr>
                <w:rFonts w:hint="eastAsia" w:ascii="Times New Roman" w:hAnsi="Times New Roman" w:eastAsia="宋体" w:cs="Segoe UI"/>
                <w:i w:val="0"/>
                <w:iCs w:val="0"/>
                <w:caps w:val="0"/>
                <w:color w:val="auto"/>
                <w:spacing w:val="0"/>
                <w:kern w:val="0"/>
                <w:sz w:val="21"/>
                <w:szCs w:val="24"/>
                <w:lang w:val="en-US" w:eastAsia="zh-CN" w:bidi="ar-SA"/>
              </w:rPr>
              <w:t>5</w:t>
            </w:r>
            <w:r>
              <w:rPr>
                <w:rFonts w:hint="default" w:ascii="Times New Roman" w:hAnsi="Times New Roman" w:eastAsia="宋体" w:cs="Segoe UI"/>
                <w:i w:val="0"/>
                <w:iCs w:val="0"/>
                <w:caps w:val="0"/>
                <w:color w:val="auto"/>
                <w:spacing w:val="0"/>
                <w:kern w:val="0"/>
                <w:sz w:val="21"/>
                <w:szCs w:val="24"/>
                <w:lang w:val="en-US" w:eastAsia="zh-CN" w:bidi="ar-SA"/>
              </w:rPr>
              <w:t>0张×300d/a=</w:t>
            </w:r>
            <w:r>
              <w:rPr>
                <w:rFonts w:hint="eastAsia" w:ascii="Times New Roman" w:hAnsi="Times New Roman" w:eastAsia="宋体" w:cs="Segoe UI"/>
                <w:i w:val="0"/>
                <w:iCs w:val="0"/>
                <w:caps w:val="0"/>
                <w:color w:val="auto"/>
                <w:spacing w:val="0"/>
                <w:kern w:val="0"/>
                <w:sz w:val="21"/>
                <w:szCs w:val="24"/>
                <w:lang w:val="en-US" w:eastAsia="zh-CN" w:bidi="ar-SA"/>
              </w:rPr>
              <w:t>120</w:t>
            </w:r>
            <w:r>
              <w:rPr>
                <w:rFonts w:hint="default" w:ascii="Times New Roman" w:hAnsi="Times New Roman" w:eastAsia="宋体" w:cs="Segoe UI"/>
                <w:i w:val="0"/>
                <w:iCs w:val="0"/>
                <w:caps w:val="0"/>
                <w:color w:val="auto"/>
                <w:spacing w:val="0"/>
                <w:kern w:val="0"/>
                <w:sz w:val="21"/>
                <w:szCs w:val="24"/>
                <w:lang w:val="en-US" w:eastAsia="zh-CN" w:bidi="ar-SA"/>
              </w:rPr>
              <w:t>t/a。废水产生系数按90%计，网版清洗废水产生量约为</w:t>
            </w:r>
            <w:r>
              <w:rPr>
                <w:rFonts w:hint="eastAsia" w:ascii="Times New Roman" w:hAnsi="Times New Roman" w:eastAsia="宋体" w:cs="Segoe UI"/>
                <w:i w:val="0"/>
                <w:iCs w:val="0"/>
                <w:caps w:val="0"/>
                <w:color w:val="auto"/>
                <w:spacing w:val="0"/>
                <w:kern w:val="0"/>
                <w:sz w:val="21"/>
                <w:szCs w:val="24"/>
                <w:lang w:val="en-US" w:eastAsia="zh-CN" w:bidi="ar-SA"/>
              </w:rPr>
              <w:t>108</w:t>
            </w:r>
            <w:r>
              <w:rPr>
                <w:rFonts w:hint="default" w:ascii="Times New Roman" w:hAnsi="Times New Roman" w:eastAsia="宋体" w:cs="Segoe UI"/>
                <w:i w:val="0"/>
                <w:iCs w:val="0"/>
                <w:caps w:val="0"/>
                <w:color w:val="auto"/>
                <w:spacing w:val="0"/>
                <w:kern w:val="0"/>
                <w:sz w:val="21"/>
                <w:szCs w:val="24"/>
                <w:lang w:val="en-US" w:eastAsia="zh-CN" w:bidi="ar-SA"/>
              </w:rPr>
              <w:t>t/a，委托有处理能力的废水处理机构处理。</w:t>
            </w:r>
          </w:p>
          <w:p w14:paraId="1B4801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default" w:ascii="Times New Roman" w:hAnsi="Times New Roman" w:eastAsia="宋体" w:cs="Segoe UI"/>
                <w:i w:val="0"/>
                <w:iCs w:val="0"/>
                <w:caps w:val="0"/>
                <w:color w:val="auto"/>
                <w:spacing w:val="0"/>
                <w:kern w:val="0"/>
                <w:sz w:val="21"/>
                <w:szCs w:val="24"/>
                <w:lang w:val="en-US" w:eastAsia="zh-CN" w:bidi="ar-SA"/>
              </w:rPr>
              <w:t>本项目水平衡图：</w:t>
            </w:r>
          </w:p>
          <w:p w14:paraId="4931AC76">
            <w:pPr>
              <w:keepNext w:val="0"/>
              <w:keepLines w:val="0"/>
              <w:widowControl w:val="0"/>
              <w:numPr>
                <w:ilvl w:val="0"/>
                <w:numId w:val="0"/>
              </w:numPr>
              <w:suppressLineNumbers w:val="0"/>
              <w:spacing w:before="0" w:beforeAutospacing="0" w:after="0" w:afterAutospacing="0"/>
              <w:ind w:left="0" w:right="0"/>
              <w:jc w:val="center"/>
              <w:rPr>
                <w:rFonts w:hint="eastAsia" w:eastAsia="宋体"/>
                <w:color w:val="auto"/>
                <w:sz w:val="21"/>
                <w:lang w:eastAsia="zh-CN"/>
              </w:rPr>
            </w:pPr>
            <w:r>
              <w:rPr>
                <w:rFonts w:hint="eastAsia" w:eastAsia="宋体"/>
                <w:color w:val="auto"/>
                <w:sz w:val="21"/>
                <w:lang w:eastAsia="zh-CN"/>
              </w:rPr>
              <w:drawing>
                <wp:inline distT="0" distB="0" distL="114300" distR="114300">
                  <wp:extent cx="6188710" cy="3799205"/>
                  <wp:effectExtent l="0" t="0" r="2540" b="10795"/>
                  <wp:docPr id="8" name="图片 8" descr="水平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水平衡"/>
                          <pic:cNvPicPr>
                            <a:picLocks noChangeAspect="1"/>
                          </pic:cNvPicPr>
                        </pic:nvPicPr>
                        <pic:blipFill>
                          <a:blip r:embed="rId6"/>
                          <a:stretch>
                            <a:fillRect/>
                          </a:stretch>
                        </pic:blipFill>
                        <pic:spPr>
                          <a:xfrm>
                            <a:off x="0" y="0"/>
                            <a:ext cx="6188710" cy="3799205"/>
                          </a:xfrm>
                          <a:prstGeom prst="rect">
                            <a:avLst/>
                          </a:prstGeom>
                        </pic:spPr>
                      </pic:pic>
                    </a:graphicData>
                  </a:graphic>
                </wp:inline>
              </w:drawing>
            </w:r>
          </w:p>
          <w:p w14:paraId="72967D2C">
            <w:pPr>
              <w:keepNext w:val="0"/>
              <w:keepLines w:val="0"/>
              <w:widowControl w:val="0"/>
              <w:numPr>
                <w:ilvl w:val="0"/>
                <w:numId w:val="0"/>
              </w:numPr>
              <w:suppressLineNumbers w:val="0"/>
              <w:spacing w:before="0" w:beforeAutospacing="0" w:after="0" w:afterAutospacing="0"/>
              <w:ind w:left="0" w:right="0"/>
              <w:jc w:val="center"/>
              <w:rPr>
                <w:rFonts w:hint="eastAsia" w:eastAsia="宋体"/>
                <w:color w:val="auto"/>
                <w:sz w:val="21"/>
                <w:lang w:eastAsia="zh-CN"/>
              </w:rPr>
            </w:pPr>
            <w:r>
              <w:rPr>
                <w:rFonts w:hint="eastAsia" w:eastAsia="宋体"/>
                <w:b/>
                <w:bCs/>
                <w:color w:val="auto"/>
                <w:sz w:val="21"/>
                <w:szCs w:val="21"/>
                <w:highlight w:val="none"/>
              </w:rPr>
              <w:t>图</w:t>
            </w:r>
            <w:r>
              <w:rPr>
                <w:rFonts w:hint="eastAsia" w:eastAsia="宋体"/>
                <w:b/>
                <w:bCs/>
                <w:color w:val="auto"/>
                <w:sz w:val="21"/>
                <w:szCs w:val="21"/>
                <w:highlight w:val="none"/>
                <w:lang w:val="en-US" w:eastAsia="zh-CN"/>
              </w:rPr>
              <w:t>1</w:t>
            </w:r>
            <w:r>
              <w:rPr>
                <w:rFonts w:hint="default" w:eastAsia="宋体"/>
                <w:b/>
                <w:bCs/>
                <w:color w:val="auto"/>
                <w:sz w:val="21"/>
                <w:szCs w:val="21"/>
                <w:highlight w:val="none"/>
              </w:rPr>
              <w:t>项目水平衡图（单位：t/a）</w:t>
            </w:r>
          </w:p>
          <w:p w14:paraId="340A335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8、能耗情况</w:t>
            </w:r>
          </w:p>
          <w:p w14:paraId="3A893C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default" w:ascii="Times New Roman" w:hAnsi="Times New Roman" w:eastAsia="宋体" w:cs="Segoe UI"/>
                <w:i w:val="0"/>
                <w:iCs w:val="0"/>
                <w:caps w:val="0"/>
                <w:color w:val="auto"/>
                <w:spacing w:val="0"/>
                <w:kern w:val="0"/>
                <w:sz w:val="21"/>
                <w:szCs w:val="24"/>
                <w:lang w:val="en-US" w:eastAsia="zh-CN" w:bidi="ar-SA"/>
              </w:rPr>
              <w:t>本项目用电由市政电网供给，年用电量</w:t>
            </w:r>
            <w:r>
              <w:rPr>
                <w:rFonts w:hint="eastAsia" w:ascii="Times New Roman" w:hAnsi="Times New Roman" w:eastAsia="宋体" w:cs="Segoe UI"/>
                <w:i w:val="0"/>
                <w:iCs w:val="0"/>
                <w:caps w:val="0"/>
                <w:color w:val="auto"/>
                <w:spacing w:val="0"/>
                <w:kern w:val="0"/>
                <w:sz w:val="21"/>
                <w:szCs w:val="24"/>
                <w:lang w:val="en-US" w:eastAsia="zh-CN" w:bidi="ar-SA"/>
              </w:rPr>
              <w:t>200</w:t>
            </w:r>
            <w:r>
              <w:rPr>
                <w:rFonts w:hint="default" w:ascii="Times New Roman" w:hAnsi="Times New Roman" w:eastAsia="宋体" w:cs="Segoe UI"/>
                <w:i w:val="0"/>
                <w:iCs w:val="0"/>
                <w:caps w:val="0"/>
                <w:color w:val="auto"/>
                <w:spacing w:val="0"/>
                <w:kern w:val="0"/>
                <w:sz w:val="21"/>
                <w:szCs w:val="24"/>
                <w:lang w:val="en-US" w:eastAsia="zh-CN" w:bidi="ar-SA"/>
              </w:rPr>
              <w:t>万千瓦时，无其他能耗，不设备用发电机。</w:t>
            </w:r>
          </w:p>
          <w:p w14:paraId="3A8C89DA">
            <w:pPr>
              <w:keepNext w:val="0"/>
              <w:keepLines w:val="0"/>
              <w:suppressLineNumbers w:val="0"/>
              <w:spacing w:before="0" w:beforeAutospacing="0" w:after="0" w:afterAutospacing="0" w:line="360" w:lineRule="auto"/>
              <w:ind w:left="0" w:right="0" w:firstLine="422" w:firstLineChars="200"/>
              <w:rPr>
                <w:rFonts w:hint="default" w:eastAsia="宋体"/>
                <w:b/>
                <w:bCs/>
                <w:color w:val="auto"/>
                <w:sz w:val="21"/>
                <w:szCs w:val="21"/>
                <w:highlight w:val="none"/>
              </w:rPr>
            </w:pPr>
            <w:r>
              <w:rPr>
                <w:rFonts w:hint="default" w:eastAsia="宋体"/>
                <w:b/>
                <w:bCs/>
                <w:color w:val="auto"/>
                <w:sz w:val="21"/>
                <w:szCs w:val="21"/>
                <w:highlight w:val="none"/>
              </w:rPr>
              <w:t>9、平面布局情况</w:t>
            </w:r>
          </w:p>
          <w:p w14:paraId="3AC280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default" w:ascii="Times New Roman" w:hAnsi="Times New Roman" w:eastAsia="宋体" w:cs="Segoe UI"/>
                <w:i w:val="0"/>
                <w:iCs w:val="0"/>
                <w:caps w:val="0"/>
                <w:color w:val="auto"/>
                <w:spacing w:val="0"/>
                <w:kern w:val="0"/>
                <w:sz w:val="21"/>
                <w:szCs w:val="24"/>
                <w:lang w:val="en-US" w:eastAsia="zh-CN" w:bidi="ar-SA"/>
              </w:rPr>
              <w:t>项目总用地面积23955.17m²，总建筑面积76490.92m²。项目厂区由东北至西南依次布置3#宿舍、7#仓库（危废暂存间）、6#门卫室、1#厂房、2#厂房、4#</w:t>
            </w:r>
            <w:r>
              <w:rPr>
                <w:rFonts w:hint="eastAsia" w:cs="Segoe UI"/>
                <w:i w:val="0"/>
                <w:iCs w:val="0"/>
                <w:caps w:val="0"/>
                <w:color w:val="auto"/>
                <w:spacing w:val="0"/>
                <w:kern w:val="0"/>
                <w:sz w:val="21"/>
                <w:szCs w:val="24"/>
                <w:lang w:val="en-US" w:eastAsia="zh-CN" w:bidi="ar-SA"/>
              </w:rPr>
              <w:t>办公楼</w:t>
            </w:r>
            <w:r>
              <w:rPr>
                <w:rFonts w:hint="default" w:ascii="Times New Roman" w:hAnsi="Times New Roman" w:eastAsia="宋体" w:cs="Segoe UI"/>
                <w:i w:val="0"/>
                <w:iCs w:val="0"/>
                <w:caps w:val="0"/>
                <w:color w:val="auto"/>
                <w:spacing w:val="0"/>
                <w:kern w:val="0"/>
                <w:sz w:val="21"/>
                <w:szCs w:val="24"/>
                <w:lang w:val="en-US" w:eastAsia="zh-CN" w:bidi="ar-SA"/>
              </w:rPr>
              <w:t>、5#门卫室。各建筑功能布局如下：</w:t>
            </w:r>
          </w:p>
          <w:p w14:paraId="08F4C6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default" w:ascii="Times New Roman" w:hAnsi="Times New Roman" w:eastAsia="宋体" w:cs="Segoe UI"/>
                <w:i w:val="0"/>
                <w:iCs w:val="0"/>
                <w:caps w:val="0"/>
                <w:color w:val="auto"/>
                <w:spacing w:val="0"/>
                <w:kern w:val="0"/>
                <w:sz w:val="21"/>
                <w:szCs w:val="24"/>
                <w:lang w:val="en-US" w:eastAsia="zh-CN" w:bidi="ar-SA"/>
              </w:rPr>
              <w:t>1#厂房（1幢8层砖混结构）：1~2层为原材料仓库，3层为包装车间和成品仓库，4层、6层为成品组装车间（各设4条粘合成型生产线），5层为质检车间及成品仓库，7层为办公室和研发中心，8层为办公室、实验室和研发中心。</w:t>
            </w:r>
          </w:p>
          <w:p w14:paraId="0630EA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default" w:ascii="Times New Roman" w:hAnsi="Times New Roman" w:eastAsia="宋体" w:cs="Segoe UI"/>
                <w:i w:val="0"/>
                <w:iCs w:val="0"/>
                <w:caps w:val="0"/>
                <w:color w:val="auto"/>
                <w:spacing w:val="0"/>
                <w:kern w:val="0"/>
                <w:sz w:val="21"/>
                <w:szCs w:val="24"/>
                <w:lang w:val="en-US" w:eastAsia="zh-CN" w:bidi="ar-SA"/>
              </w:rPr>
              <w:t>2#厂房（1幢7层砖混结构）：1层为裁断区和原材料仓库，2层为鞋底生产车间，3层为包装车间和成品仓库，4层为成品组装车间（设4条粘合成型生产线），5层为半成品仓库和针车车间（含针车、电脑车、切织带机、热烫机、印线机等），6层为鞋面成型车间（设UV打印机、打转印纸机、熔断机、高周波、削皮机、激光切割机），7层为印花车间（含印花</w:t>
            </w:r>
            <w:r>
              <w:rPr>
                <w:rFonts w:hint="eastAsia" w:cs="Segoe UI"/>
                <w:i w:val="0"/>
                <w:iCs w:val="0"/>
                <w:caps w:val="0"/>
                <w:color w:val="auto"/>
                <w:spacing w:val="0"/>
                <w:kern w:val="0"/>
                <w:sz w:val="21"/>
                <w:szCs w:val="24"/>
                <w:lang w:val="en-US" w:eastAsia="zh-CN" w:bidi="ar-SA"/>
              </w:rPr>
              <w:t>跑台</w:t>
            </w:r>
            <w:r>
              <w:rPr>
                <w:rFonts w:hint="default" w:ascii="Times New Roman" w:hAnsi="Times New Roman" w:eastAsia="宋体" w:cs="Segoe UI"/>
                <w:i w:val="0"/>
                <w:iCs w:val="0"/>
                <w:caps w:val="0"/>
                <w:color w:val="auto"/>
                <w:spacing w:val="0"/>
                <w:kern w:val="0"/>
                <w:sz w:val="21"/>
                <w:szCs w:val="24"/>
                <w:lang w:val="en-US" w:eastAsia="zh-CN" w:bidi="ar-SA"/>
              </w:rPr>
              <w:t>、网版制作室</w:t>
            </w:r>
            <w:r>
              <w:rPr>
                <w:rFonts w:hint="eastAsia" w:cs="Segoe UI"/>
                <w:i w:val="0"/>
                <w:iCs w:val="0"/>
                <w:caps w:val="0"/>
                <w:color w:val="auto"/>
                <w:spacing w:val="0"/>
                <w:kern w:val="0"/>
                <w:sz w:val="21"/>
                <w:szCs w:val="24"/>
                <w:lang w:val="en-US" w:eastAsia="zh-CN" w:bidi="ar-SA"/>
              </w:rPr>
              <w:t>等</w:t>
            </w:r>
            <w:r>
              <w:rPr>
                <w:rFonts w:hint="default" w:ascii="Times New Roman" w:hAnsi="Times New Roman" w:eastAsia="宋体" w:cs="Segoe UI"/>
                <w:i w:val="0"/>
                <w:iCs w:val="0"/>
                <w:caps w:val="0"/>
                <w:color w:val="auto"/>
                <w:spacing w:val="0"/>
                <w:kern w:val="0"/>
                <w:sz w:val="21"/>
                <w:szCs w:val="24"/>
                <w:lang w:val="en-US" w:eastAsia="zh-CN" w:bidi="ar-SA"/>
              </w:rPr>
              <w:t>）。</w:t>
            </w:r>
          </w:p>
          <w:p w14:paraId="2EB25D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default" w:ascii="Times New Roman" w:hAnsi="Times New Roman" w:eastAsia="宋体" w:cs="Segoe UI"/>
                <w:i w:val="0"/>
                <w:iCs w:val="0"/>
                <w:caps w:val="0"/>
                <w:color w:val="auto"/>
                <w:spacing w:val="0"/>
                <w:kern w:val="0"/>
                <w:sz w:val="21"/>
                <w:szCs w:val="24"/>
                <w:lang w:val="en-US" w:eastAsia="zh-CN" w:bidi="ar-SA"/>
              </w:rPr>
              <w:t>3#宿舍（1幢8层砖混结构）、4#</w:t>
            </w:r>
            <w:r>
              <w:rPr>
                <w:rFonts w:hint="eastAsia" w:cs="Segoe UI"/>
                <w:i w:val="0"/>
                <w:iCs w:val="0"/>
                <w:caps w:val="0"/>
                <w:color w:val="auto"/>
                <w:spacing w:val="0"/>
                <w:kern w:val="0"/>
                <w:sz w:val="21"/>
                <w:szCs w:val="24"/>
                <w:lang w:val="en-US" w:eastAsia="zh-CN" w:bidi="ar-SA"/>
              </w:rPr>
              <w:t>办公</w:t>
            </w:r>
            <w:r>
              <w:rPr>
                <w:rFonts w:hint="default" w:ascii="Times New Roman" w:hAnsi="Times New Roman" w:eastAsia="宋体" w:cs="Segoe UI"/>
                <w:i w:val="0"/>
                <w:iCs w:val="0"/>
                <w:caps w:val="0"/>
                <w:color w:val="auto"/>
                <w:spacing w:val="0"/>
                <w:kern w:val="0"/>
                <w:sz w:val="21"/>
                <w:szCs w:val="24"/>
                <w:lang w:val="en-US" w:eastAsia="zh-CN" w:bidi="ar-SA"/>
              </w:rPr>
              <w:t>楼（1幢地上8层、地下1层砖混结构）及5~7#配套用房（门卫室、危废暂存间）。项目厂区总平面图详见附图</w:t>
            </w:r>
            <w:r>
              <w:rPr>
                <w:rFonts w:hint="eastAsia" w:cs="Segoe UI"/>
                <w:i w:val="0"/>
                <w:iCs w:val="0"/>
                <w:caps w:val="0"/>
                <w:color w:val="auto"/>
                <w:spacing w:val="0"/>
                <w:kern w:val="0"/>
                <w:sz w:val="21"/>
                <w:szCs w:val="24"/>
                <w:lang w:val="en-US" w:eastAsia="zh-CN" w:bidi="ar-SA"/>
              </w:rPr>
              <w:t>4-1至附图4-9</w:t>
            </w:r>
            <w:r>
              <w:rPr>
                <w:rFonts w:hint="default" w:ascii="Times New Roman" w:hAnsi="Times New Roman" w:eastAsia="宋体" w:cs="Segoe UI"/>
                <w:i w:val="0"/>
                <w:iCs w:val="0"/>
                <w:caps w:val="0"/>
                <w:color w:val="auto"/>
                <w:spacing w:val="0"/>
                <w:kern w:val="0"/>
                <w:sz w:val="21"/>
                <w:szCs w:val="24"/>
                <w:lang w:val="en-US" w:eastAsia="zh-CN" w:bidi="ar-SA"/>
              </w:rPr>
              <w:t>。</w:t>
            </w:r>
          </w:p>
          <w:p w14:paraId="0CFF6D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default" w:ascii="Times New Roman" w:hAnsi="Times New Roman" w:eastAsia="宋体" w:cs="Segoe UI"/>
                <w:i w:val="0"/>
                <w:iCs w:val="0"/>
                <w:caps w:val="0"/>
                <w:color w:val="auto"/>
                <w:spacing w:val="0"/>
                <w:kern w:val="0"/>
                <w:sz w:val="21"/>
                <w:szCs w:val="24"/>
                <w:lang w:val="en-US" w:eastAsia="zh-CN" w:bidi="ar-SA"/>
              </w:rPr>
              <w:t>项目周围500米范围内无环境敏感点。</w:t>
            </w:r>
          </w:p>
          <w:p w14:paraId="29DB2F16">
            <w:pPr>
              <w:keepNext w:val="0"/>
              <w:keepLines w:val="0"/>
              <w:suppressLineNumbers w:val="0"/>
              <w:spacing w:before="0" w:beforeAutospacing="0" w:after="0" w:afterAutospacing="0" w:line="360" w:lineRule="auto"/>
              <w:ind w:left="0" w:right="0" w:firstLine="422" w:firstLineChars="200"/>
              <w:rPr>
                <w:rFonts w:hint="default" w:eastAsia="宋体"/>
                <w:b/>
                <w:bCs/>
                <w:color w:val="auto"/>
                <w:sz w:val="21"/>
                <w:szCs w:val="21"/>
                <w:highlight w:val="none"/>
              </w:rPr>
            </w:pPr>
            <w:r>
              <w:rPr>
                <w:rFonts w:hint="default" w:eastAsia="宋体"/>
                <w:b/>
                <w:bCs/>
                <w:color w:val="auto"/>
                <w:sz w:val="21"/>
                <w:szCs w:val="21"/>
                <w:highlight w:val="none"/>
              </w:rPr>
              <w:t>10、四至情况</w:t>
            </w:r>
          </w:p>
          <w:p w14:paraId="58AA1FCE">
            <w:pPr>
              <w:pStyle w:val="64"/>
              <w:keepNext w:val="0"/>
              <w:keepLines w:val="0"/>
              <w:suppressLineNumbers w:val="0"/>
              <w:spacing w:before="0" w:beforeAutospacing="0" w:after="0" w:afterAutospacing="0"/>
              <w:ind w:left="0" w:right="0" w:firstLine="472"/>
              <w:rPr>
                <w:rFonts w:hint="default" w:eastAsia="宋体"/>
                <w:color w:val="auto"/>
                <w:sz w:val="21"/>
                <w:highlight w:val="none"/>
              </w:rPr>
            </w:pPr>
            <w:r>
              <w:rPr>
                <w:rFonts w:hint="default" w:eastAsia="宋体"/>
                <w:color w:val="auto"/>
                <w:spacing w:val="-2"/>
                <w:sz w:val="21"/>
                <w:szCs w:val="21"/>
                <w:highlight w:val="none"/>
                <w:lang w:val="zh-CN"/>
              </w:rPr>
              <w:t>项目东</w:t>
            </w:r>
            <w:r>
              <w:rPr>
                <w:rFonts w:hint="eastAsia" w:eastAsia="宋体"/>
                <w:color w:val="auto"/>
                <w:spacing w:val="-2"/>
                <w:sz w:val="21"/>
                <w:szCs w:val="21"/>
                <w:highlight w:val="none"/>
                <w:lang w:val="en-US" w:eastAsia="zh-CN"/>
              </w:rPr>
              <w:t>北</w:t>
            </w:r>
            <w:r>
              <w:rPr>
                <w:rFonts w:hint="default" w:eastAsia="宋体"/>
                <w:color w:val="auto"/>
                <w:spacing w:val="-2"/>
                <w:sz w:val="21"/>
                <w:szCs w:val="21"/>
                <w:highlight w:val="none"/>
                <w:lang w:val="zh-CN"/>
              </w:rPr>
              <w:t>面为</w:t>
            </w:r>
            <w:r>
              <w:rPr>
                <w:rFonts w:hint="eastAsia" w:eastAsia="宋体"/>
                <w:color w:val="auto"/>
                <w:sz w:val="21"/>
                <w:szCs w:val="21"/>
                <w:highlight w:val="none"/>
                <w:lang w:val="en-US" w:eastAsia="zh-CN"/>
              </w:rPr>
              <w:t>变电站</w:t>
            </w:r>
            <w:r>
              <w:rPr>
                <w:rFonts w:hint="default" w:eastAsia="宋体"/>
                <w:color w:val="auto"/>
                <w:sz w:val="21"/>
                <w:szCs w:val="21"/>
                <w:highlight w:val="none"/>
                <w:lang w:val="zh-CN"/>
              </w:rPr>
              <w:t>，</w:t>
            </w:r>
            <w:r>
              <w:rPr>
                <w:rFonts w:hint="eastAsia" w:eastAsia="宋体"/>
                <w:color w:val="auto"/>
                <w:sz w:val="21"/>
                <w:szCs w:val="21"/>
                <w:highlight w:val="none"/>
                <w:lang w:val="en-US" w:eastAsia="zh-CN"/>
              </w:rPr>
              <w:t>东</w:t>
            </w:r>
            <w:r>
              <w:rPr>
                <w:rFonts w:hint="default" w:eastAsia="宋体"/>
                <w:color w:val="auto"/>
                <w:sz w:val="21"/>
                <w:szCs w:val="21"/>
                <w:highlight w:val="none"/>
                <w:lang w:val="zh-CN"/>
              </w:rPr>
              <w:t>南面</w:t>
            </w:r>
            <w:r>
              <w:rPr>
                <w:rFonts w:hint="eastAsia" w:eastAsia="宋体"/>
                <w:color w:val="auto"/>
                <w:sz w:val="21"/>
                <w:szCs w:val="21"/>
                <w:highlight w:val="none"/>
                <w:lang w:val="en-US" w:eastAsia="zh-CN"/>
              </w:rPr>
              <w:t>为</w:t>
            </w:r>
            <w:r>
              <w:rPr>
                <w:rFonts w:hint="default" w:eastAsia="宋体"/>
                <w:color w:val="auto"/>
                <w:sz w:val="21"/>
                <w:szCs w:val="21"/>
                <w:highlight w:val="none"/>
                <w:lang w:val="zh-CN"/>
              </w:rPr>
              <w:t>中山诺普热能科技有限公司</w:t>
            </w:r>
            <w:r>
              <w:rPr>
                <w:rFonts w:hint="eastAsia" w:eastAsia="宋体"/>
                <w:color w:val="auto"/>
                <w:spacing w:val="-2"/>
                <w:sz w:val="21"/>
                <w:szCs w:val="21"/>
                <w:highlight w:val="none"/>
              </w:rPr>
              <w:t>和</w:t>
            </w:r>
            <w:r>
              <w:rPr>
                <w:rFonts w:hint="eastAsia" w:eastAsia="宋体"/>
                <w:color w:val="auto"/>
                <w:spacing w:val="-2"/>
                <w:sz w:val="21"/>
                <w:szCs w:val="21"/>
                <w:highlight w:val="none"/>
                <w:lang w:val="en-US" w:eastAsia="zh-CN"/>
              </w:rPr>
              <w:t>空地，</w:t>
            </w:r>
            <w:r>
              <w:rPr>
                <w:rFonts w:hint="eastAsia" w:eastAsia="宋体"/>
                <w:color w:val="auto"/>
                <w:spacing w:val="-2"/>
                <w:sz w:val="21"/>
                <w:szCs w:val="21"/>
                <w:highlight w:val="none"/>
              </w:rPr>
              <w:t>西</w:t>
            </w:r>
            <w:r>
              <w:rPr>
                <w:rFonts w:hint="eastAsia" w:eastAsia="宋体"/>
                <w:color w:val="auto"/>
                <w:spacing w:val="-2"/>
                <w:sz w:val="21"/>
                <w:szCs w:val="21"/>
                <w:highlight w:val="none"/>
                <w:lang w:val="en-US" w:eastAsia="zh-CN"/>
              </w:rPr>
              <w:t>南面和西北</w:t>
            </w:r>
            <w:r>
              <w:rPr>
                <w:rFonts w:hint="eastAsia" w:eastAsia="宋体"/>
                <w:color w:val="auto"/>
                <w:spacing w:val="-2"/>
                <w:sz w:val="21"/>
                <w:szCs w:val="21"/>
                <w:highlight w:val="none"/>
              </w:rPr>
              <w:t>面</w:t>
            </w:r>
            <w:r>
              <w:rPr>
                <w:rFonts w:hint="default" w:eastAsia="宋体"/>
                <w:color w:val="auto"/>
                <w:sz w:val="21"/>
                <w:szCs w:val="21"/>
                <w:highlight w:val="none"/>
                <w:lang w:val="zh-CN"/>
              </w:rPr>
              <w:t>为</w:t>
            </w:r>
            <w:r>
              <w:rPr>
                <w:rFonts w:hint="eastAsia" w:eastAsia="宋体"/>
                <w:color w:val="auto"/>
                <w:sz w:val="21"/>
                <w:szCs w:val="21"/>
                <w:highlight w:val="none"/>
                <w:lang w:val="en-US" w:eastAsia="zh-CN"/>
              </w:rPr>
              <w:t>空地</w:t>
            </w:r>
            <w:r>
              <w:rPr>
                <w:rFonts w:hint="default" w:eastAsia="宋体"/>
                <w:color w:val="auto"/>
                <w:sz w:val="21"/>
                <w:szCs w:val="21"/>
                <w:highlight w:val="none"/>
              </w:rPr>
              <w:t>。项目四至情况详见附图</w:t>
            </w:r>
            <w:r>
              <w:rPr>
                <w:rFonts w:hint="eastAsia"/>
                <w:color w:val="auto"/>
                <w:sz w:val="21"/>
                <w:szCs w:val="21"/>
                <w:highlight w:val="none"/>
                <w:lang w:val="en-US" w:eastAsia="zh-CN"/>
              </w:rPr>
              <w:t>3</w:t>
            </w:r>
            <w:r>
              <w:rPr>
                <w:rFonts w:hint="default" w:eastAsia="宋体"/>
                <w:color w:val="auto"/>
                <w:sz w:val="21"/>
                <w:szCs w:val="21"/>
                <w:highlight w:val="none"/>
              </w:rPr>
              <w:t>。</w:t>
            </w:r>
          </w:p>
        </w:tc>
      </w:tr>
    </w:tbl>
    <w:p w14:paraId="05B252F0">
      <w:pPr>
        <w:pStyle w:val="2"/>
        <w:ind w:firstLine="562"/>
        <w:rPr>
          <w:color w:val="auto"/>
          <w:highlight w:val="none"/>
        </w:rPr>
        <w:sectPr>
          <w:footerReference r:id="rId4" w:type="default"/>
          <w:pgSz w:w="11907" w:h="16839"/>
          <w:pgMar w:top="720" w:right="720" w:bottom="720" w:left="720" w:header="851" w:footer="567" w:gutter="0"/>
          <w:pgNumType w:fmt="decimal" w:start="1"/>
          <w:cols w:space="0" w:num="1"/>
          <w:docGrid w:linePitch="312" w:charSpace="0"/>
        </w:sectPr>
      </w:pPr>
    </w:p>
    <w:tbl>
      <w:tblPr>
        <w:tblStyle w:val="49"/>
        <w:tblW w:w="105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4"/>
        <w:gridCol w:w="10067"/>
      </w:tblGrid>
      <w:tr w14:paraId="0C6DE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484" w:type="dxa"/>
            <w:vAlign w:val="center"/>
          </w:tcPr>
          <w:p w14:paraId="7464CA58">
            <w:pPr>
              <w:keepNext w:val="0"/>
              <w:keepLines w:val="0"/>
              <w:suppressLineNumbers w:val="0"/>
              <w:spacing w:before="0" w:beforeAutospacing="0" w:after="0" w:afterAutospacing="0"/>
              <w:ind w:left="0" w:right="0"/>
              <w:jc w:val="center"/>
              <w:rPr>
                <w:rFonts w:hint="default"/>
                <w:color w:val="auto"/>
                <w:vertAlign w:val="baseline"/>
              </w:rPr>
            </w:pPr>
            <w:r>
              <w:rPr>
                <w:rFonts w:hint="default"/>
                <w:color w:val="auto"/>
                <w:sz w:val="24"/>
                <w:highlight w:val="none"/>
              </w:rPr>
              <w:t>工艺流程及排污环节</w:t>
            </w:r>
          </w:p>
        </w:tc>
        <w:tc>
          <w:tcPr>
            <w:tcW w:w="10067" w:type="dxa"/>
            <w:vAlign w:val="center"/>
          </w:tcPr>
          <w:p w14:paraId="5E8C5FD5">
            <w:pPr>
              <w:pStyle w:val="4"/>
              <w:keepNext w:val="0"/>
              <w:keepLines w:val="0"/>
              <w:pageBreakBefore w:val="0"/>
              <w:widowControl/>
              <w:numPr>
                <w:ilvl w:val="0"/>
                <w:numId w:val="19"/>
              </w:numPr>
              <w:suppressLineNumbers w:val="0"/>
              <w:shd w:val="clear" w:fill="FFFFFF"/>
              <w:kinsoku/>
              <w:overflowPunct/>
              <w:topLinePunct w:val="0"/>
              <w:autoSpaceDE/>
              <w:autoSpaceDN/>
              <w:bidi w:val="0"/>
              <w:adjustRightInd/>
              <w:snapToGrid/>
              <w:spacing w:before="0" w:beforeAutospacing="0" w:after="0" w:afterAutospacing="0" w:line="360" w:lineRule="auto"/>
              <w:ind w:left="0" w:leftChars="0" w:right="0" w:firstLine="420" w:firstLineChars="0"/>
              <w:textAlignment w:val="auto"/>
              <w:rPr>
                <w:rFonts w:hint="default" w:ascii="Times New Roman" w:hAnsi="Times New Roman" w:eastAsia="宋体" w:cs="Segoe UI"/>
                <w:i w:val="0"/>
                <w:iCs w:val="0"/>
                <w:caps w:val="0"/>
                <w:color w:val="auto"/>
                <w:spacing w:val="0"/>
                <w:sz w:val="21"/>
              </w:rPr>
            </w:pPr>
            <w:bookmarkStart w:id="14" w:name="_Toc23011"/>
            <w:bookmarkStart w:id="15" w:name="_Toc2881"/>
            <w:r>
              <w:rPr>
                <w:rFonts w:hint="default" w:ascii="Times New Roman" w:hAnsi="Times New Roman" w:eastAsia="宋体" w:cs="Segoe UI"/>
                <w:i w:val="0"/>
                <w:iCs w:val="0"/>
                <w:caps w:val="0"/>
                <w:color w:val="auto"/>
                <w:spacing w:val="0"/>
                <w:sz w:val="21"/>
                <w:shd w:val="clear" w:fill="FFFFFF"/>
              </w:rPr>
              <w:t>工艺流程和产排污环节</w:t>
            </w:r>
            <w:bookmarkEnd w:id="14"/>
            <w:bookmarkEnd w:id="15"/>
          </w:p>
          <w:p w14:paraId="79293B7D">
            <w:pPr>
              <w:pStyle w:val="5"/>
              <w:keepNext w:val="0"/>
              <w:keepLines w:val="0"/>
              <w:pageBreakBefore w:val="0"/>
              <w:widowControl/>
              <w:numPr>
                <w:ilvl w:val="0"/>
                <w:numId w:val="20"/>
              </w:numPr>
              <w:suppressLineNumbers w:val="0"/>
              <w:shd w:val="clear" w:fill="FFFFFF"/>
              <w:kinsoku/>
              <w:overflowPunct/>
              <w:topLinePunct w:val="0"/>
              <w:autoSpaceDE/>
              <w:autoSpaceDN/>
              <w:bidi w:val="0"/>
              <w:adjustRightInd/>
              <w:snapToGrid/>
              <w:spacing w:before="0" w:beforeAutospacing="0" w:after="0" w:afterAutospacing="0" w:line="360" w:lineRule="auto"/>
              <w:ind w:left="0" w:leftChars="0" w:right="0" w:rightChars="0" w:firstLine="422"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鞋底生产工艺流程</w:t>
            </w:r>
          </w:p>
          <w:p w14:paraId="033373AA">
            <w:pPr>
              <w:pStyle w:val="5"/>
              <w:keepNext w:val="0"/>
              <w:keepLines w:val="0"/>
              <w:pageBreakBefore w:val="0"/>
              <w:widowControl/>
              <w:numPr>
                <w:ilvl w:val="0"/>
                <w:numId w:val="21"/>
              </w:numPr>
              <w:suppressLineNumbers w:val="0"/>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422"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EVA鞋底生产工艺</w:t>
            </w:r>
          </w:p>
          <w:p w14:paraId="3BD39215">
            <w:pPr>
              <w:keepNext w:val="0"/>
              <w:keepLines w:val="0"/>
              <w:numPr>
                <w:ilvl w:val="0"/>
                <w:numId w:val="0"/>
              </w:numPr>
              <w:suppressLineNumbers w:val="0"/>
              <w:spacing w:before="0" w:beforeAutospacing="0" w:after="0" w:afterAutospacing="0"/>
              <w:ind w:left="0" w:right="0"/>
              <w:jc w:val="center"/>
              <w:rPr>
                <w:rFonts w:hint="eastAsia" w:eastAsia="宋体"/>
                <w:color w:val="auto"/>
                <w:lang w:eastAsia="zh-CN"/>
              </w:rPr>
            </w:pPr>
            <w:r>
              <w:rPr>
                <w:rFonts w:hint="eastAsia" w:eastAsia="宋体"/>
                <w:color w:val="auto"/>
                <w:lang w:eastAsia="zh-CN"/>
              </w:rPr>
              <w:drawing>
                <wp:inline distT="0" distB="0" distL="114300" distR="114300">
                  <wp:extent cx="5824855" cy="2041525"/>
                  <wp:effectExtent l="0" t="0" r="4445" b="15875"/>
                  <wp:docPr id="15" name="图片 15" descr="生产工艺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生产工艺流程图"/>
                          <pic:cNvPicPr>
                            <a:picLocks noChangeAspect="1"/>
                          </pic:cNvPicPr>
                        </pic:nvPicPr>
                        <pic:blipFill>
                          <a:blip r:embed="rId7"/>
                          <a:srcRect l="26577" t="16775" r="28387" b="70174"/>
                          <a:stretch>
                            <a:fillRect/>
                          </a:stretch>
                        </pic:blipFill>
                        <pic:spPr>
                          <a:xfrm>
                            <a:off x="0" y="0"/>
                            <a:ext cx="5824855" cy="2041525"/>
                          </a:xfrm>
                          <a:prstGeom prst="rect">
                            <a:avLst/>
                          </a:prstGeom>
                        </pic:spPr>
                      </pic:pic>
                    </a:graphicData>
                  </a:graphic>
                </wp:inline>
              </w:drawing>
            </w:r>
          </w:p>
          <w:p w14:paraId="363B02E3">
            <w:pPr>
              <w:keepNext w:val="0"/>
              <w:keepLines w:val="0"/>
              <w:numPr>
                <w:ilvl w:val="0"/>
                <w:numId w:val="0"/>
              </w:numPr>
              <w:suppressLineNumbers w:val="0"/>
              <w:spacing w:before="0" w:beforeAutospacing="0" w:after="0" w:afterAutospacing="0"/>
              <w:ind w:left="0" w:right="0"/>
              <w:jc w:val="center"/>
              <w:rPr>
                <w:rFonts w:hint="eastAsia"/>
                <w:b/>
                <w:bCs/>
                <w:color w:val="auto"/>
                <w:lang w:val="en-US" w:eastAsia="zh-CN"/>
              </w:rPr>
            </w:pPr>
            <w:r>
              <w:rPr>
                <w:rFonts w:hint="eastAsia"/>
                <w:b/>
                <w:bCs/>
                <w:color w:val="auto"/>
                <w:lang w:val="en-US" w:eastAsia="zh-CN"/>
              </w:rPr>
              <w:t>图2、EVA鞋底生产工艺流程图</w:t>
            </w:r>
          </w:p>
          <w:p w14:paraId="52E6C386">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jc w:val="left"/>
              <w:textAlignment w:val="auto"/>
              <w:rPr>
                <w:rFonts w:hint="default"/>
                <w:b/>
                <w:bCs/>
                <w:color w:val="auto"/>
                <w:lang w:val="en-US" w:eastAsia="zh-CN"/>
              </w:rPr>
            </w:pPr>
            <w:r>
              <w:rPr>
                <w:rFonts w:hint="eastAsia"/>
                <w:b/>
                <w:bCs/>
                <w:color w:val="auto"/>
                <w:lang w:val="en-US" w:eastAsia="zh-CN"/>
              </w:rPr>
              <w:t>工艺说明：</w:t>
            </w:r>
          </w:p>
          <w:p w14:paraId="44BEB441">
            <w:pPr>
              <w:keepNext w:val="0"/>
              <w:keepLines w:val="0"/>
              <w:pageBreakBefore w:val="0"/>
              <w:widowControl/>
              <w:numPr>
                <w:ilvl w:val="0"/>
                <w:numId w:val="22"/>
              </w:numPr>
              <w:suppressLineNumbers w:val="0"/>
              <w:kinsoku/>
              <w:wordWrap/>
              <w:overflowPunct/>
              <w:topLinePunct w:val="0"/>
              <w:autoSpaceDE/>
              <w:autoSpaceDN/>
              <w:bidi w:val="0"/>
              <w:adjustRightInd/>
              <w:snapToGrid/>
              <w:spacing w:before="0" w:beforeAutospacing="0" w:after="0" w:afterAutospacing="0" w:line="360" w:lineRule="auto"/>
              <w:ind w:left="845" w:leftChars="0" w:right="0" w:rightChars="0" w:hanging="425" w:firstLineChars="0"/>
              <w:jc w:val="both"/>
              <w:textAlignment w:val="auto"/>
              <w:rPr>
                <w:rFonts w:hint="eastAsia" w:ascii="Times New Roman" w:hAnsi="Times New Roman" w:eastAsia="宋体" w:cs="Segoe UI"/>
                <w:b/>
                <w:bCs/>
                <w:i w:val="0"/>
                <w:iCs w:val="0"/>
                <w:caps w:val="0"/>
                <w:color w:val="auto"/>
                <w:spacing w:val="0"/>
                <w:kern w:val="2"/>
                <w:sz w:val="21"/>
                <w:szCs w:val="24"/>
                <w:lang w:val="en-US" w:eastAsia="zh-CN" w:bidi="ar-SA"/>
              </w:rPr>
            </w:pPr>
            <w:r>
              <w:rPr>
                <w:rFonts w:hint="eastAsia" w:ascii="Times New Roman" w:hAnsi="Times New Roman" w:eastAsia="宋体" w:cs="Segoe UI"/>
                <w:b/>
                <w:bCs/>
                <w:i w:val="0"/>
                <w:iCs w:val="0"/>
                <w:caps w:val="0"/>
                <w:color w:val="auto"/>
                <w:spacing w:val="0"/>
                <w:kern w:val="2"/>
                <w:sz w:val="21"/>
                <w:szCs w:val="24"/>
                <w:lang w:val="en-US" w:eastAsia="zh-CN" w:bidi="ar-SA"/>
              </w:rPr>
              <w:t>拌料</w:t>
            </w:r>
          </w:p>
          <w:p w14:paraId="079165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default" w:ascii="Times New Roman" w:hAnsi="Times New Roman" w:eastAsia="宋体" w:cstheme="minorBidi"/>
                <w:color w:val="auto"/>
                <w:kern w:val="2"/>
                <w:sz w:val="21"/>
                <w:szCs w:val="24"/>
                <w:lang w:val="en-US" w:eastAsia="zh-CN" w:bidi="ar-SA"/>
              </w:rPr>
            </w:pPr>
            <w:r>
              <w:rPr>
                <w:rFonts w:hint="default" w:ascii="Times New Roman" w:hAnsi="Times New Roman" w:eastAsia="宋体" w:cs="Segoe UI"/>
                <w:i w:val="0"/>
                <w:iCs w:val="0"/>
                <w:caps w:val="0"/>
                <w:color w:val="0F1115"/>
                <w:spacing w:val="0"/>
                <w:sz w:val="21"/>
                <w:szCs w:val="24"/>
                <w:shd w:val="clear" w:fill="FFFFFF"/>
              </w:rPr>
              <w:t>人工将EVA胶粒、AC发泡剂、滑石粉投入搅拌机中搅拌均匀后由管道自动输送到发泡机内进行发泡成型，从而实现连续、密闭、稳定的供料。粉状原材料（AC发泡剂）在拆包倒入搅拌机时会产生粉尘。</w:t>
            </w:r>
            <w:r>
              <w:rPr>
                <w:rFonts w:hint="default" w:ascii="Times New Roman" w:hAnsi="Times New Roman" w:eastAsia="宋体" w:cs="Segoe UI"/>
                <w:b/>
                <w:bCs/>
                <w:i w:val="0"/>
                <w:iCs w:val="0"/>
                <w:caps w:val="0"/>
                <w:color w:val="0F1115"/>
                <w:spacing w:val="0"/>
                <w:sz w:val="21"/>
                <w:szCs w:val="24"/>
                <w:shd w:val="clear" w:fill="FFFFFF"/>
              </w:rPr>
              <w:t>年工作时间为600h</w:t>
            </w:r>
            <w:r>
              <w:rPr>
                <w:rFonts w:hint="default" w:ascii="Times New Roman" w:hAnsi="Times New Roman" w:eastAsia="宋体" w:cs="Segoe UI"/>
                <w:i w:val="0"/>
                <w:iCs w:val="0"/>
                <w:caps w:val="0"/>
                <w:color w:val="0F1115"/>
                <w:spacing w:val="0"/>
                <w:sz w:val="21"/>
                <w:szCs w:val="24"/>
                <w:shd w:val="clear" w:fill="FFFFFF"/>
              </w:rPr>
              <w:t>。产污分析：拌料过程中主要有粉尘产生；设备运行产生噪声。</w:t>
            </w:r>
          </w:p>
          <w:p w14:paraId="45595AB6">
            <w:pPr>
              <w:keepNext w:val="0"/>
              <w:keepLines w:val="0"/>
              <w:pageBreakBefore w:val="0"/>
              <w:widowControl/>
              <w:numPr>
                <w:ilvl w:val="0"/>
                <w:numId w:val="22"/>
              </w:numPr>
              <w:suppressLineNumbers w:val="0"/>
              <w:kinsoku/>
              <w:wordWrap/>
              <w:overflowPunct/>
              <w:topLinePunct w:val="0"/>
              <w:autoSpaceDE/>
              <w:autoSpaceDN/>
              <w:bidi w:val="0"/>
              <w:adjustRightInd/>
              <w:snapToGrid/>
              <w:spacing w:before="0" w:beforeAutospacing="0" w:after="0" w:afterAutospacing="0" w:line="360" w:lineRule="auto"/>
              <w:ind w:left="845" w:leftChars="0" w:right="0" w:rightChars="0" w:hanging="425" w:firstLineChars="0"/>
              <w:jc w:val="both"/>
              <w:textAlignment w:val="auto"/>
              <w:rPr>
                <w:rFonts w:hint="default" w:ascii="Times New Roman" w:hAnsi="Times New Roman" w:eastAsia="宋体" w:cs="Segoe UI"/>
                <w:b/>
                <w:bCs/>
                <w:i w:val="0"/>
                <w:iCs w:val="0"/>
                <w:caps w:val="0"/>
                <w:color w:val="auto"/>
                <w:spacing w:val="0"/>
                <w:kern w:val="2"/>
                <w:sz w:val="21"/>
                <w:szCs w:val="24"/>
                <w:lang w:val="en-US" w:eastAsia="zh-CN" w:bidi="ar-SA"/>
              </w:rPr>
            </w:pPr>
            <w:r>
              <w:rPr>
                <w:rFonts w:hint="default" w:ascii="Times New Roman" w:hAnsi="Times New Roman" w:eastAsia="宋体" w:cs="Segoe UI"/>
                <w:b/>
                <w:bCs/>
                <w:i w:val="0"/>
                <w:iCs w:val="0"/>
                <w:caps w:val="0"/>
                <w:color w:val="auto"/>
                <w:spacing w:val="0"/>
                <w:kern w:val="2"/>
                <w:sz w:val="21"/>
                <w:szCs w:val="24"/>
                <w:lang w:val="en-US" w:eastAsia="zh-CN" w:bidi="ar-SA"/>
              </w:rPr>
              <w:t>发泡成型</w:t>
            </w:r>
          </w:p>
          <w:p w14:paraId="54922C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default" w:ascii="Times New Roman" w:hAnsi="Times New Roman" w:eastAsia="宋体" w:cstheme="minorBidi"/>
                <w:color w:val="auto"/>
                <w:kern w:val="2"/>
                <w:sz w:val="21"/>
                <w:szCs w:val="24"/>
                <w:lang w:val="en-US" w:eastAsia="zh-CN" w:bidi="ar-SA"/>
              </w:rPr>
            </w:pPr>
            <w:r>
              <w:rPr>
                <w:rFonts w:hint="default" w:ascii="Times New Roman" w:hAnsi="Times New Roman" w:eastAsia="宋体" w:cs="Segoe UI"/>
                <w:i w:val="0"/>
                <w:iCs w:val="0"/>
                <w:caps w:val="0"/>
                <w:color w:val="0F1115"/>
                <w:spacing w:val="0"/>
                <w:sz w:val="21"/>
                <w:szCs w:val="24"/>
                <w:shd w:val="clear" w:fill="FFFFFF"/>
              </w:rPr>
              <w:t>使EVA粒子受热膨胀发泡，形成性能良好的微孔塑料，发泡机组温度控制在180℃左右，为电加热。为使胶料温度控制在180℃以内，发泡机需要经过间接冷却水进行冷却控温。</w:t>
            </w:r>
            <w:r>
              <w:rPr>
                <w:rFonts w:hint="default" w:ascii="Times New Roman" w:hAnsi="Times New Roman" w:eastAsia="宋体" w:cs="Segoe UI"/>
                <w:b w:val="0"/>
                <w:bCs w:val="0"/>
                <w:i w:val="0"/>
                <w:iCs w:val="0"/>
                <w:caps w:val="0"/>
                <w:color w:val="0F1115"/>
                <w:spacing w:val="0"/>
                <w:sz w:val="21"/>
                <w:szCs w:val="24"/>
                <w:shd w:val="clear" w:fill="FFFFFF"/>
              </w:rPr>
              <w:t>年工作时间为2400h</w:t>
            </w:r>
            <w:r>
              <w:rPr>
                <w:rFonts w:hint="default" w:ascii="Times New Roman" w:hAnsi="Times New Roman" w:eastAsia="宋体" w:cs="Segoe UI"/>
                <w:i w:val="0"/>
                <w:iCs w:val="0"/>
                <w:caps w:val="0"/>
                <w:color w:val="0F1115"/>
                <w:spacing w:val="0"/>
                <w:sz w:val="21"/>
                <w:szCs w:val="24"/>
                <w:shd w:val="clear" w:fill="FFFFFF"/>
              </w:rPr>
              <w:t>。产污分析：发泡过程产生有机废气（以非甲烷总烃表征）和臭气浓度；设备运行产生噪声。</w:t>
            </w:r>
          </w:p>
          <w:p w14:paraId="436840A8">
            <w:pPr>
              <w:keepNext w:val="0"/>
              <w:keepLines w:val="0"/>
              <w:pageBreakBefore w:val="0"/>
              <w:widowControl/>
              <w:numPr>
                <w:ilvl w:val="0"/>
                <w:numId w:val="22"/>
              </w:numPr>
              <w:suppressLineNumbers w:val="0"/>
              <w:kinsoku/>
              <w:wordWrap/>
              <w:overflowPunct/>
              <w:topLinePunct w:val="0"/>
              <w:autoSpaceDE/>
              <w:autoSpaceDN/>
              <w:bidi w:val="0"/>
              <w:adjustRightInd/>
              <w:snapToGrid/>
              <w:spacing w:before="0" w:beforeAutospacing="0" w:after="0" w:afterAutospacing="0" w:line="360" w:lineRule="auto"/>
              <w:ind w:left="845" w:leftChars="0" w:right="0" w:rightChars="0" w:hanging="425" w:firstLineChars="0"/>
              <w:jc w:val="both"/>
              <w:textAlignment w:val="auto"/>
              <w:rPr>
                <w:rFonts w:hint="default" w:ascii="Times New Roman" w:hAnsi="Times New Roman" w:eastAsia="宋体" w:cs="Segoe UI"/>
                <w:b/>
                <w:bCs/>
                <w:i w:val="0"/>
                <w:iCs w:val="0"/>
                <w:caps w:val="0"/>
                <w:color w:val="auto"/>
                <w:spacing w:val="0"/>
                <w:kern w:val="2"/>
                <w:sz w:val="21"/>
                <w:szCs w:val="24"/>
                <w:lang w:val="en-US" w:eastAsia="zh-CN" w:bidi="ar-SA"/>
              </w:rPr>
            </w:pPr>
            <w:r>
              <w:rPr>
                <w:rFonts w:hint="eastAsia" w:cs="Segoe UI"/>
                <w:b/>
                <w:bCs/>
                <w:i w:val="0"/>
                <w:iCs w:val="0"/>
                <w:caps w:val="0"/>
                <w:color w:val="auto"/>
                <w:spacing w:val="0"/>
                <w:kern w:val="2"/>
                <w:sz w:val="21"/>
                <w:szCs w:val="24"/>
                <w:lang w:val="en-US" w:eastAsia="zh-CN" w:bidi="ar-SA"/>
              </w:rPr>
              <w:t>修边</w:t>
            </w:r>
          </w:p>
          <w:p w14:paraId="7D7C8E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default" w:ascii="Times New Roman" w:hAnsi="Times New Roman" w:eastAsia="宋体" w:cs="Segoe UI"/>
                <w:b/>
                <w:bCs/>
                <w:i w:val="0"/>
                <w:iCs w:val="0"/>
                <w:caps w:val="0"/>
                <w:color w:val="auto"/>
                <w:spacing w:val="0"/>
                <w:kern w:val="2"/>
                <w:sz w:val="21"/>
                <w:szCs w:val="24"/>
                <w:lang w:val="en-US" w:eastAsia="zh-CN" w:bidi="ar-SA"/>
              </w:rPr>
            </w:pPr>
            <w:r>
              <w:rPr>
                <w:rFonts w:hint="default" w:ascii="Times New Roman" w:hAnsi="Times New Roman" w:eastAsia="宋体" w:cs="Segoe UI"/>
                <w:i w:val="0"/>
                <w:iCs w:val="0"/>
                <w:caps w:val="0"/>
                <w:color w:val="0F1115"/>
                <w:spacing w:val="0"/>
                <w:sz w:val="21"/>
                <w:szCs w:val="24"/>
                <w:shd w:val="clear" w:fill="FFFFFF"/>
              </w:rPr>
              <w:t>利用修边机对发泡成型后的EVA鞋底进行修边处理，去除飞边和多余料，使边缘整齐美观。</w:t>
            </w:r>
            <w:r>
              <w:rPr>
                <w:rFonts w:hint="eastAsia" w:cs="var(--dsw-font-markdown-base)"/>
                <w:i w:val="0"/>
                <w:iCs w:val="0"/>
                <w:caps w:val="0"/>
                <w:color w:val="auto"/>
                <w:spacing w:val="0"/>
                <w:kern w:val="2"/>
                <w:sz w:val="21"/>
                <w:szCs w:val="21"/>
                <w:lang w:val="en-US" w:eastAsia="zh-CN" w:bidi="ar-SA"/>
              </w:rPr>
              <w:t>修边</w:t>
            </w:r>
            <w:r>
              <w:rPr>
                <w:rFonts w:hint="default" w:ascii="Times New Roman" w:hAnsi="Times New Roman" w:eastAsia="宋体" w:cs="var(--dsw-font-markdown-base)"/>
                <w:i w:val="0"/>
                <w:iCs w:val="0"/>
                <w:caps w:val="0"/>
                <w:color w:val="auto"/>
                <w:spacing w:val="0"/>
                <w:kern w:val="2"/>
                <w:sz w:val="21"/>
                <w:szCs w:val="21"/>
                <w:lang w:val="en-US" w:eastAsia="zh-CN" w:bidi="ar-SA"/>
              </w:rPr>
              <w:t>完成后的</w:t>
            </w:r>
            <w:r>
              <w:rPr>
                <w:rFonts w:hint="eastAsia" w:cs="var(--dsw-font-markdown-base)"/>
                <w:i w:val="0"/>
                <w:iCs w:val="0"/>
                <w:caps w:val="0"/>
                <w:color w:val="auto"/>
                <w:spacing w:val="0"/>
                <w:kern w:val="2"/>
                <w:sz w:val="21"/>
                <w:szCs w:val="21"/>
                <w:lang w:val="en-US" w:eastAsia="zh-CN" w:bidi="ar-SA"/>
              </w:rPr>
              <w:t>20%</w:t>
            </w:r>
            <w:r>
              <w:rPr>
                <w:rFonts w:hint="default" w:ascii="Times New Roman" w:hAnsi="Times New Roman" w:eastAsia="宋体" w:cs="var(--dsw-font-markdown-base)"/>
                <w:i w:val="0"/>
                <w:iCs w:val="0"/>
                <w:caps w:val="0"/>
                <w:color w:val="auto"/>
                <w:spacing w:val="0"/>
                <w:kern w:val="2"/>
                <w:sz w:val="21"/>
                <w:szCs w:val="21"/>
                <w:lang w:val="en-US" w:eastAsia="zh-CN" w:bidi="ar-SA"/>
              </w:rPr>
              <w:t>EVA鞋底暂存于中转仓库</w:t>
            </w:r>
            <w:r>
              <w:rPr>
                <w:rFonts w:hint="eastAsia" w:cs="var(--dsw-font-markdown-base)"/>
                <w:i w:val="0"/>
                <w:iCs w:val="0"/>
                <w:caps w:val="0"/>
                <w:color w:val="auto"/>
                <w:spacing w:val="0"/>
                <w:kern w:val="2"/>
                <w:sz w:val="21"/>
                <w:szCs w:val="21"/>
                <w:lang w:val="en-US" w:eastAsia="zh-CN" w:bidi="ar-SA"/>
              </w:rPr>
              <w:t>，</w:t>
            </w:r>
            <w:r>
              <w:rPr>
                <w:rFonts w:hint="default" w:ascii="Times New Roman" w:hAnsi="Times New Roman" w:eastAsia="宋体" w:cs="var(--dsw-font-markdown-base)"/>
                <w:i w:val="0"/>
                <w:iCs w:val="0"/>
                <w:caps w:val="0"/>
                <w:color w:val="auto"/>
                <w:spacing w:val="0"/>
                <w:kern w:val="2"/>
                <w:sz w:val="21"/>
                <w:szCs w:val="21"/>
                <w:lang w:val="en-US" w:eastAsia="zh-CN" w:bidi="ar-SA"/>
              </w:rPr>
              <w:t>随后转入成品组装车间，进入成品组装工序</w:t>
            </w:r>
            <w:r>
              <w:rPr>
                <w:rFonts w:hint="eastAsia" w:cs="var(--dsw-font-markdown-base)"/>
                <w:i w:val="0"/>
                <w:iCs w:val="0"/>
                <w:caps w:val="0"/>
                <w:color w:val="auto"/>
                <w:spacing w:val="0"/>
                <w:kern w:val="2"/>
                <w:sz w:val="21"/>
                <w:szCs w:val="21"/>
                <w:lang w:val="en-US" w:eastAsia="zh-CN" w:bidi="ar-SA"/>
              </w:rPr>
              <w:t>；80%</w:t>
            </w:r>
            <w:r>
              <w:rPr>
                <w:rFonts w:hint="default" w:ascii="Times New Roman" w:hAnsi="Times New Roman" w:eastAsia="宋体" w:cs="var(--dsw-font-markdown-base)"/>
                <w:i w:val="0"/>
                <w:iCs w:val="0"/>
                <w:caps w:val="0"/>
                <w:color w:val="auto"/>
                <w:spacing w:val="0"/>
                <w:kern w:val="2"/>
                <w:sz w:val="21"/>
                <w:szCs w:val="21"/>
                <w:lang w:val="en-US" w:eastAsia="zh-CN" w:bidi="ar-SA"/>
              </w:rPr>
              <w:t>EVA鞋底</w:t>
            </w:r>
            <w:r>
              <w:rPr>
                <w:rFonts w:hint="eastAsia" w:cs="var(--dsw-font-markdown-base)"/>
                <w:i w:val="0"/>
                <w:iCs w:val="0"/>
                <w:caps w:val="0"/>
                <w:color w:val="auto"/>
                <w:spacing w:val="0"/>
                <w:kern w:val="2"/>
                <w:sz w:val="21"/>
                <w:szCs w:val="21"/>
                <w:lang w:val="en-US" w:eastAsia="zh-CN" w:bidi="ar-SA"/>
              </w:rPr>
              <w:t>转入打粗工序，与橡胶片贴合形成复合鞋底</w:t>
            </w:r>
            <w:r>
              <w:rPr>
                <w:rFonts w:hint="default" w:ascii="Times New Roman" w:hAnsi="Times New Roman" w:eastAsia="宋体" w:cs="var(--dsw-font-markdown-base)"/>
                <w:i w:val="0"/>
                <w:iCs w:val="0"/>
                <w:caps w:val="0"/>
                <w:color w:val="auto"/>
                <w:spacing w:val="0"/>
                <w:kern w:val="2"/>
                <w:sz w:val="21"/>
                <w:szCs w:val="21"/>
                <w:lang w:val="en-US" w:eastAsia="zh-CN" w:bidi="ar-SA"/>
              </w:rPr>
              <w:t>。</w:t>
            </w:r>
            <w:r>
              <w:rPr>
                <w:rFonts w:hint="default" w:ascii="Times New Roman" w:hAnsi="Times New Roman" w:eastAsia="宋体" w:cs="Segoe UI"/>
                <w:b w:val="0"/>
                <w:bCs w:val="0"/>
                <w:i w:val="0"/>
                <w:iCs w:val="0"/>
                <w:caps w:val="0"/>
                <w:color w:val="0F1115"/>
                <w:spacing w:val="0"/>
                <w:sz w:val="21"/>
                <w:szCs w:val="24"/>
                <w:shd w:val="clear" w:fill="FFFFFF"/>
              </w:rPr>
              <w:t>年工作时间为2400h。</w:t>
            </w:r>
            <w:r>
              <w:rPr>
                <w:rFonts w:hint="default" w:ascii="Times New Roman" w:hAnsi="Times New Roman" w:eastAsia="宋体" w:cs="Segoe UI"/>
                <w:i w:val="0"/>
                <w:iCs w:val="0"/>
                <w:caps w:val="0"/>
                <w:color w:val="0F1115"/>
                <w:spacing w:val="0"/>
                <w:sz w:val="21"/>
                <w:szCs w:val="24"/>
                <w:shd w:val="clear" w:fill="FFFFFF"/>
              </w:rPr>
              <w:t>产污分析：修边过程产生边角料（一般工业固体废物）；设备运行产生噪声。</w:t>
            </w:r>
          </w:p>
          <w:p w14:paraId="6E1B9886">
            <w:pPr>
              <w:keepNext w:val="0"/>
              <w:keepLines w:val="0"/>
              <w:pageBreakBefore w:val="0"/>
              <w:widowControl/>
              <w:numPr>
                <w:ilvl w:val="0"/>
                <w:numId w:val="22"/>
              </w:numPr>
              <w:suppressLineNumbers w:val="0"/>
              <w:kinsoku/>
              <w:wordWrap/>
              <w:overflowPunct/>
              <w:topLinePunct w:val="0"/>
              <w:autoSpaceDE/>
              <w:autoSpaceDN/>
              <w:bidi w:val="0"/>
              <w:adjustRightInd/>
              <w:snapToGrid/>
              <w:spacing w:before="0" w:beforeAutospacing="0" w:after="0" w:afterAutospacing="0" w:line="360" w:lineRule="auto"/>
              <w:ind w:left="845" w:leftChars="0" w:right="0" w:rightChars="0" w:hanging="425" w:firstLineChars="0"/>
              <w:jc w:val="both"/>
              <w:textAlignment w:val="auto"/>
              <w:rPr>
                <w:rFonts w:hint="default" w:ascii="Times New Roman" w:hAnsi="Times New Roman" w:eastAsia="宋体" w:cs="Segoe UI"/>
                <w:b/>
                <w:bCs/>
                <w:i w:val="0"/>
                <w:iCs w:val="0"/>
                <w:caps w:val="0"/>
                <w:color w:val="auto"/>
                <w:spacing w:val="0"/>
                <w:kern w:val="2"/>
                <w:sz w:val="21"/>
                <w:szCs w:val="24"/>
                <w:lang w:val="en-US" w:eastAsia="zh-CN" w:bidi="ar-SA"/>
              </w:rPr>
            </w:pPr>
            <w:r>
              <w:rPr>
                <w:rFonts w:hint="default" w:ascii="Times New Roman" w:hAnsi="Times New Roman" w:eastAsia="宋体" w:cs="Segoe UI"/>
                <w:b/>
                <w:bCs/>
                <w:i w:val="0"/>
                <w:iCs w:val="0"/>
                <w:caps w:val="0"/>
                <w:color w:val="auto"/>
                <w:spacing w:val="0"/>
                <w:kern w:val="2"/>
                <w:sz w:val="21"/>
                <w:szCs w:val="24"/>
                <w:lang w:val="en-US" w:eastAsia="zh-CN" w:bidi="ar-SA"/>
              </w:rPr>
              <w:t>打粗</w:t>
            </w:r>
          </w:p>
          <w:p w14:paraId="623BC1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default" w:ascii="Times New Roman" w:hAnsi="Times New Roman" w:eastAsia="宋体" w:cstheme="minorBidi"/>
                <w:color w:val="auto"/>
                <w:kern w:val="2"/>
                <w:sz w:val="21"/>
                <w:szCs w:val="24"/>
                <w:lang w:val="en-US" w:eastAsia="zh-CN" w:bidi="ar-SA"/>
              </w:rPr>
            </w:pPr>
            <w:r>
              <w:rPr>
                <w:rFonts w:hint="default" w:ascii="Times New Roman" w:hAnsi="Times New Roman" w:eastAsia="宋体" w:cs="var(--dsw-font-markdown-base)"/>
                <w:i w:val="0"/>
                <w:iCs w:val="0"/>
                <w:caps w:val="0"/>
                <w:color w:val="auto"/>
                <w:spacing w:val="0"/>
                <w:kern w:val="2"/>
                <w:sz w:val="21"/>
                <w:szCs w:val="21"/>
                <w:lang w:val="en-US" w:eastAsia="zh-CN" w:bidi="ar-SA"/>
              </w:rPr>
              <w:t>将</w:t>
            </w:r>
            <w:r>
              <w:rPr>
                <w:rFonts w:hint="eastAsia" w:ascii="Times New Roman" w:hAnsi="Times New Roman" w:eastAsia="宋体" w:cs="var(--dsw-font-markdown-base)"/>
                <w:i w:val="0"/>
                <w:iCs w:val="0"/>
                <w:caps w:val="0"/>
                <w:color w:val="auto"/>
                <w:spacing w:val="0"/>
                <w:kern w:val="2"/>
                <w:sz w:val="21"/>
                <w:szCs w:val="21"/>
                <w:lang w:val="en-US" w:eastAsia="zh-CN" w:bidi="ar-SA"/>
              </w:rPr>
              <w:t>部分</w:t>
            </w:r>
            <w:r>
              <w:rPr>
                <w:rFonts w:hint="default" w:ascii="Times New Roman" w:hAnsi="Times New Roman" w:eastAsia="宋体" w:cs="var(--dsw-font-markdown-base)"/>
                <w:i w:val="0"/>
                <w:iCs w:val="0"/>
                <w:caps w:val="0"/>
                <w:color w:val="auto"/>
                <w:spacing w:val="0"/>
                <w:kern w:val="2"/>
                <w:sz w:val="21"/>
                <w:szCs w:val="21"/>
                <w:lang w:val="en-US" w:eastAsia="zh-CN" w:bidi="ar-SA"/>
              </w:rPr>
              <w:t>修边</w:t>
            </w:r>
            <w:r>
              <w:rPr>
                <w:rFonts w:hint="eastAsia" w:ascii="Times New Roman" w:hAnsi="Times New Roman" w:eastAsia="宋体" w:cs="var(--dsw-font-markdown-base)"/>
                <w:i w:val="0"/>
                <w:iCs w:val="0"/>
                <w:caps w:val="0"/>
                <w:color w:val="auto"/>
                <w:spacing w:val="0"/>
                <w:kern w:val="2"/>
                <w:sz w:val="21"/>
                <w:szCs w:val="21"/>
                <w:lang w:val="en-US" w:eastAsia="zh-CN" w:bidi="ar-SA"/>
              </w:rPr>
              <w:t>后</w:t>
            </w:r>
            <w:r>
              <w:rPr>
                <w:rFonts w:hint="default" w:ascii="Times New Roman" w:hAnsi="Times New Roman" w:eastAsia="宋体" w:cs="var(--dsw-font-markdown-base)"/>
                <w:i w:val="0"/>
                <w:iCs w:val="0"/>
                <w:caps w:val="0"/>
                <w:color w:val="auto"/>
                <w:spacing w:val="0"/>
                <w:kern w:val="2"/>
                <w:sz w:val="21"/>
                <w:szCs w:val="21"/>
                <w:lang w:val="en-US" w:eastAsia="zh-CN" w:bidi="ar-SA"/>
              </w:rPr>
              <w:t>EVA</w:t>
            </w:r>
            <w:r>
              <w:rPr>
                <w:rFonts w:hint="eastAsia" w:ascii="Times New Roman" w:hAnsi="Times New Roman" w:eastAsia="宋体" w:cs="var(--dsw-font-markdown-base)"/>
                <w:i w:val="0"/>
                <w:iCs w:val="0"/>
                <w:caps w:val="0"/>
                <w:color w:val="auto"/>
                <w:spacing w:val="0"/>
                <w:kern w:val="2"/>
                <w:sz w:val="21"/>
                <w:szCs w:val="21"/>
                <w:lang w:val="en-US" w:eastAsia="zh-CN" w:bidi="ar-SA"/>
              </w:rPr>
              <w:t>鞋</w:t>
            </w:r>
            <w:r>
              <w:rPr>
                <w:rFonts w:hint="default" w:ascii="Times New Roman" w:hAnsi="Times New Roman" w:eastAsia="宋体" w:cs="var(--dsw-font-markdown-base)"/>
                <w:i w:val="0"/>
                <w:iCs w:val="0"/>
                <w:caps w:val="0"/>
                <w:color w:val="auto"/>
                <w:spacing w:val="0"/>
                <w:kern w:val="2"/>
                <w:sz w:val="21"/>
                <w:szCs w:val="21"/>
                <w:lang w:val="en-US" w:eastAsia="zh-CN" w:bidi="ar-SA"/>
              </w:rPr>
              <w:t>底</w:t>
            </w:r>
            <w:r>
              <w:rPr>
                <w:rFonts w:hint="eastAsia" w:cs="var(--dsw-font-markdown-base)"/>
                <w:i w:val="0"/>
                <w:iCs w:val="0"/>
                <w:caps w:val="0"/>
                <w:color w:val="auto"/>
                <w:spacing w:val="0"/>
                <w:kern w:val="2"/>
                <w:sz w:val="21"/>
                <w:szCs w:val="21"/>
                <w:lang w:val="en-US" w:eastAsia="zh-CN" w:bidi="ar-SA"/>
              </w:rPr>
              <w:t>和外购的橡胶片</w:t>
            </w:r>
            <w:r>
              <w:rPr>
                <w:rFonts w:hint="default" w:ascii="Times New Roman" w:hAnsi="Times New Roman" w:eastAsia="宋体" w:cs="var(--dsw-font-markdown-base)"/>
                <w:i w:val="0"/>
                <w:iCs w:val="0"/>
                <w:caps w:val="0"/>
                <w:color w:val="auto"/>
                <w:spacing w:val="0"/>
                <w:kern w:val="2"/>
                <w:sz w:val="21"/>
                <w:szCs w:val="21"/>
                <w:lang w:val="en-US" w:eastAsia="zh-CN" w:bidi="ar-SA"/>
              </w:rPr>
              <w:t>，采用打粗机对其贴合面进行打磨粗糙处理，增大表面物理摩擦力，为后续贴合提供良好的粘合界面。年工作时间为2400h</w:t>
            </w:r>
            <w:r>
              <w:rPr>
                <w:rFonts w:hint="eastAsia" w:ascii="Times New Roman" w:hAnsi="Times New Roman" w:eastAsia="宋体" w:cs="var(--dsw-font-markdown-base)"/>
                <w:i w:val="0"/>
                <w:iCs w:val="0"/>
                <w:caps w:val="0"/>
                <w:color w:val="auto"/>
                <w:spacing w:val="0"/>
                <w:kern w:val="2"/>
                <w:sz w:val="21"/>
                <w:szCs w:val="21"/>
                <w:lang w:val="en-US" w:eastAsia="zh-CN" w:bidi="ar-SA"/>
              </w:rPr>
              <w:t>，</w:t>
            </w:r>
            <w:r>
              <w:rPr>
                <w:rFonts w:hint="default" w:ascii="Times New Roman" w:hAnsi="Times New Roman" w:eastAsia="宋体" w:cs="var(--dsw-font-markdown-base)"/>
                <w:i w:val="0"/>
                <w:iCs w:val="0"/>
                <w:caps w:val="0"/>
                <w:color w:val="auto"/>
                <w:spacing w:val="0"/>
                <w:kern w:val="2"/>
                <w:sz w:val="21"/>
                <w:szCs w:val="21"/>
                <w:lang w:val="en-US" w:eastAsia="zh-CN" w:bidi="ar-SA"/>
              </w:rPr>
              <w:t>产污分析：打粗过程产生粉尘（颗粒物）。</w:t>
            </w:r>
          </w:p>
          <w:p w14:paraId="14B40526">
            <w:pPr>
              <w:keepNext w:val="0"/>
              <w:keepLines w:val="0"/>
              <w:pageBreakBefore w:val="0"/>
              <w:widowControl/>
              <w:numPr>
                <w:ilvl w:val="0"/>
                <w:numId w:val="22"/>
              </w:numPr>
              <w:suppressLineNumbers w:val="0"/>
              <w:kinsoku/>
              <w:wordWrap/>
              <w:overflowPunct/>
              <w:topLinePunct w:val="0"/>
              <w:autoSpaceDE/>
              <w:autoSpaceDN/>
              <w:bidi w:val="0"/>
              <w:adjustRightInd/>
              <w:snapToGrid/>
              <w:spacing w:before="0" w:beforeAutospacing="0" w:after="0" w:afterAutospacing="0" w:line="360" w:lineRule="auto"/>
              <w:ind w:left="845" w:leftChars="0" w:right="0" w:rightChars="0" w:hanging="425" w:firstLineChars="0"/>
              <w:jc w:val="both"/>
              <w:textAlignment w:val="auto"/>
              <w:rPr>
                <w:rFonts w:hint="default" w:ascii="Times New Roman" w:hAnsi="Times New Roman" w:eastAsia="宋体" w:cs="Segoe UI"/>
                <w:b/>
                <w:bCs/>
                <w:i w:val="0"/>
                <w:iCs w:val="0"/>
                <w:caps w:val="0"/>
                <w:color w:val="auto"/>
                <w:spacing w:val="0"/>
                <w:kern w:val="2"/>
                <w:sz w:val="21"/>
                <w:szCs w:val="24"/>
                <w:lang w:val="en-US" w:eastAsia="zh-CN" w:bidi="ar-SA"/>
              </w:rPr>
            </w:pPr>
            <w:r>
              <w:rPr>
                <w:rFonts w:hint="default" w:ascii="Times New Roman" w:hAnsi="Times New Roman" w:eastAsia="宋体" w:cs="Segoe UI"/>
                <w:b/>
                <w:bCs/>
                <w:i w:val="0"/>
                <w:iCs w:val="0"/>
                <w:caps w:val="0"/>
                <w:color w:val="auto"/>
                <w:spacing w:val="0"/>
                <w:kern w:val="2"/>
                <w:sz w:val="21"/>
                <w:szCs w:val="24"/>
                <w:lang w:val="en-US" w:eastAsia="zh-CN" w:bidi="ar-SA"/>
              </w:rPr>
              <w:t>刷处理剂</w:t>
            </w:r>
            <w:r>
              <w:rPr>
                <w:rFonts w:hint="eastAsia" w:cs="Segoe UI"/>
                <w:b/>
                <w:bCs/>
                <w:i w:val="0"/>
                <w:iCs w:val="0"/>
                <w:caps w:val="0"/>
                <w:color w:val="auto"/>
                <w:spacing w:val="0"/>
                <w:kern w:val="2"/>
                <w:sz w:val="21"/>
                <w:szCs w:val="24"/>
                <w:lang w:val="en-US" w:eastAsia="zh-CN" w:bidi="ar-SA"/>
              </w:rPr>
              <w:t>、清洁及烘干</w:t>
            </w:r>
          </w:p>
          <w:p w14:paraId="2BDFC4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default" w:ascii="Times New Roman" w:hAnsi="Times New Roman" w:eastAsia="宋体" w:cs="Segoe UI"/>
                <w:i w:val="0"/>
                <w:iCs w:val="0"/>
                <w:caps w:val="0"/>
                <w:color w:val="0F1115"/>
                <w:spacing w:val="0"/>
                <w:sz w:val="21"/>
                <w:szCs w:val="24"/>
                <w:shd w:val="clear" w:fill="FFFFFF"/>
                <w:lang w:val="en-US" w:eastAsia="zh-CN"/>
              </w:rPr>
            </w:pPr>
            <w:r>
              <w:rPr>
                <w:rFonts w:hint="default" w:ascii="Times New Roman" w:hAnsi="Times New Roman" w:eastAsia="宋体" w:cs="Segoe UI"/>
                <w:i w:val="0"/>
                <w:iCs w:val="0"/>
                <w:caps w:val="0"/>
                <w:color w:val="0F1115"/>
                <w:spacing w:val="0"/>
                <w:sz w:val="21"/>
                <w:szCs w:val="24"/>
                <w:shd w:val="clear" w:fill="FFFFFF"/>
              </w:rPr>
              <w:t>在橡胶鞋底贴合面涂刷水性橡胶处理剂并烘干（约60~70℃），使处理剂中的溶剂充分挥发，在橡胶表面形成活化涂层，增强胶粘剂附着力</w:t>
            </w:r>
            <w:r>
              <w:rPr>
                <w:rFonts w:hint="eastAsia" w:ascii="Times New Roman" w:hAnsi="Times New Roman" w:eastAsia="宋体" w:cs="Segoe UI"/>
                <w:i w:val="0"/>
                <w:iCs w:val="0"/>
                <w:caps w:val="0"/>
                <w:color w:val="0F1115"/>
                <w:spacing w:val="0"/>
                <w:sz w:val="21"/>
                <w:szCs w:val="24"/>
                <w:shd w:val="clear" w:fill="FFFFFF"/>
                <w:lang w:eastAsia="zh-CN"/>
              </w:rPr>
              <w:t>；</w:t>
            </w:r>
            <w:r>
              <w:rPr>
                <w:rFonts w:hint="eastAsia" w:ascii="Times New Roman" w:hAnsi="Times New Roman" w:eastAsia="宋体" w:cs="Segoe UI"/>
                <w:i w:val="0"/>
                <w:iCs w:val="0"/>
                <w:caps w:val="0"/>
                <w:color w:val="0F1115"/>
                <w:spacing w:val="0"/>
                <w:sz w:val="21"/>
                <w:szCs w:val="24"/>
                <w:shd w:val="clear" w:fill="FFFFFF"/>
                <w:lang w:val="en-US" w:eastAsia="zh-CN"/>
              </w:rPr>
              <w:t>同时对EVA鞋底</w:t>
            </w:r>
            <w:r>
              <w:rPr>
                <w:rFonts w:hint="default" w:ascii="Times New Roman" w:hAnsi="Times New Roman" w:eastAsia="宋体" w:cs="Segoe UI"/>
                <w:i w:val="0"/>
                <w:iCs w:val="0"/>
                <w:caps w:val="0"/>
                <w:color w:val="0F1115"/>
                <w:spacing w:val="0"/>
                <w:sz w:val="21"/>
                <w:szCs w:val="24"/>
                <w:shd w:val="clear" w:fill="FFFFFF"/>
              </w:rPr>
              <w:t>贴合的表面均匀擦拭</w:t>
            </w:r>
            <w:r>
              <w:rPr>
                <w:rFonts w:hint="eastAsia" w:cs="Segoe UI"/>
                <w:i w:val="0"/>
                <w:iCs w:val="0"/>
                <w:caps w:val="0"/>
                <w:color w:val="0F1115"/>
                <w:spacing w:val="0"/>
                <w:sz w:val="21"/>
                <w:szCs w:val="24"/>
                <w:shd w:val="clear" w:fill="FFFFFF"/>
                <w:lang w:val="en-US" w:eastAsia="zh-CN"/>
              </w:rPr>
              <w:t>清洁并烘干</w:t>
            </w:r>
            <w:r>
              <w:rPr>
                <w:rFonts w:hint="default" w:ascii="Times New Roman" w:hAnsi="Times New Roman" w:eastAsia="宋体" w:cs="Segoe UI"/>
                <w:i w:val="0"/>
                <w:iCs w:val="0"/>
                <w:caps w:val="0"/>
                <w:color w:val="0F1115"/>
                <w:spacing w:val="0"/>
                <w:sz w:val="21"/>
                <w:szCs w:val="24"/>
                <w:shd w:val="clear" w:fill="FFFFFF"/>
              </w:rPr>
              <w:t>（约60~70℃），确保表面清洁剂充分挥发干燥</w:t>
            </w:r>
            <w:r>
              <w:rPr>
                <w:rFonts w:hint="eastAsia" w:ascii="Times New Roman" w:hAnsi="Times New Roman" w:eastAsia="宋体" w:cs="Segoe UI"/>
                <w:i w:val="0"/>
                <w:iCs w:val="0"/>
                <w:caps w:val="0"/>
                <w:color w:val="0F1115"/>
                <w:spacing w:val="0"/>
                <w:sz w:val="21"/>
                <w:szCs w:val="24"/>
                <w:shd w:val="clear" w:fill="FFFFFF"/>
                <w:lang w:eastAsia="zh-CN"/>
              </w:rPr>
              <w:t>，</w:t>
            </w:r>
            <w:r>
              <w:rPr>
                <w:rFonts w:hint="default" w:ascii="Times New Roman" w:hAnsi="Times New Roman" w:eastAsia="宋体" w:cs="Segoe UI"/>
                <w:i w:val="0"/>
                <w:iCs w:val="0"/>
                <w:caps w:val="0"/>
                <w:color w:val="0F1115"/>
                <w:spacing w:val="0"/>
                <w:sz w:val="21"/>
                <w:szCs w:val="24"/>
                <w:shd w:val="clear" w:fill="FFFFFF"/>
              </w:rPr>
              <w:t>清洁工序属于涂胶前的表面预处理环节</w:t>
            </w:r>
            <w:r>
              <w:rPr>
                <w:rFonts w:hint="eastAsia" w:cs="Segoe UI"/>
                <w:i w:val="0"/>
                <w:iCs w:val="0"/>
                <w:caps w:val="0"/>
                <w:color w:val="0F1115"/>
                <w:spacing w:val="0"/>
                <w:sz w:val="21"/>
                <w:szCs w:val="24"/>
                <w:shd w:val="clear" w:fill="FFFFFF"/>
                <w:lang w:eastAsia="zh-CN"/>
              </w:rPr>
              <w:t>，</w:t>
            </w:r>
            <w:r>
              <w:rPr>
                <w:rFonts w:hint="default" w:ascii="Times New Roman" w:hAnsi="Times New Roman" w:eastAsia="宋体" w:cs="Segoe UI"/>
                <w:i w:val="0"/>
                <w:iCs w:val="0"/>
                <w:caps w:val="0"/>
                <w:color w:val="0F1115"/>
                <w:spacing w:val="0"/>
                <w:sz w:val="21"/>
                <w:szCs w:val="24"/>
                <w:shd w:val="clear" w:fill="FFFFFF"/>
              </w:rPr>
              <w:t>是去除EVA鞋底表面附着的油污及灰尘等杂质，提高鞋材表面张力，确保后续水性PU胶粘剂能够牢固粘合。年工作时间为2400h。产污分析：刷处理剂</w:t>
            </w:r>
            <w:r>
              <w:rPr>
                <w:rFonts w:hint="eastAsia" w:cs="Segoe UI"/>
                <w:i w:val="0"/>
                <w:iCs w:val="0"/>
                <w:caps w:val="0"/>
                <w:color w:val="0F1115"/>
                <w:spacing w:val="0"/>
                <w:sz w:val="21"/>
                <w:szCs w:val="24"/>
                <w:shd w:val="clear" w:fill="FFFFFF"/>
                <w:lang w:val="en-US" w:eastAsia="zh-CN"/>
              </w:rPr>
              <w:t>和清洁剂</w:t>
            </w:r>
            <w:r>
              <w:rPr>
                <w:rFonts w:hint="default" w:ascii="Times New Roman" w:hAnsi="Times New Roman" w:eastAsia="宋体" w:cs="Segoe UI"/>
                <w:i w:val="0"/>
                <w:iCs w:val="0"/>
                <w:caps w:val="0"/>
                <w:color w:val="0F1115"/>
                <w:spacing w:val="0"/>
                <w:sz w:val="21"/>
                <w:szCs w:val="24"/>
                <w:shd w:val="clear" w:fill="FFFFFF"/>
              </w:rPr>
              <w:t>及烘干过程产生有机废气（以非甲烷总烃、总VOCs表征）和臭气浓度；产生废处理剂</w:t>
            </w:r>
            <w:r>
              <w:rPr>
                <w:rFonts w:hint="eastAsia" w:cs="Segoe UI"/>
                <w:i w:val="0"/>
                <w:iCs w:val="0"/>
                <w:caps w:val="0"/>
                <w:color w:val="0F1115"/>
                <w:spacing w:val="0"/>
                <w:sz w:val="21"/>
                <w:szCs w:val="24"/>
                <w:shd w:val="clear" w:fill="FFFFFF"/>
                <w:lang w:val="en-US" w:eastAsia="zh-CN"/>
              </w:rPr>
              <w:t>和清洁剂</w:t>
            </w:r>
            <w:r>
              <w:rPr>
                <w:rFonts w:hint="default" w:ascii="Times New Roman" w:hAnsi="Times New Roman" w:eastAsia="宋体" w:cs="Segoe UI"/>
                <w:i w:val="0"/>
                <w:iCs w:val="0"/>
                <w:caps w:val="0"/>
                <w:color w:val="0F1115"/>
                <w:spacing w:val="0"/>
                <w:sz w:val="21"/>
                <w:szCs w:val="24"/>
                <w:shd w:val="clear" w:fill="FFFFFF"/>
              </w:rPr>
              <w:t>包装桶（危险废物）；设备运行产生噪声。</w:t>
            </w:r>
          </w:p>
          <w:p w14:paraId="0008AAA2">
            <w:pPr>
              <w:keepNext w:val="0"/>
              <w:keepLines w:val="0"/>
              <w:pageBreakBefore w:val="0"/>
              <w:widowControl/>
              <w:numPr>
                <w:ilvl w:val="0"/>
                <w:numId w:val="22"/>
              </w:numPr>
              <w:suppressLineNumbers w:val="0"/>
              <w:kinsoku/>
              <w:wordWrap/>
              <w:overflowPunct/>
              <w:topLinePunct w:val="0"/>
              <w:autoSpaceDE/>
              <w:autoSpaceDN/>
              <w:bidi w:val="0"/>
              <w:adjustRightInd/>
              <w:snapToGrid/>
              <w:spacing w:before="0" w:beforeAutospacing="0" w:after="0" w:afterAutospacing="0" w:line="360" w:lineRule="auto"/>
              <w:ind w:left="845" w:leftChars="0" w:right="0" w:rightChars="0" w:hanging="425" w:firstLineChars="0"/>
              <w:jc w:val="both"/>
              <w:textAlignment w:val="auto"/>
              <w:rPr>
                <w:rFonts w:hint="default" w:ascii="Times New Roman" w:hAnsi="Times New Roman" w:eastAsia="宋体" w:cs="Segoe UI"/>
                <w:b/>
                <w:bCs/>
                <w:i w:val="0"/>
                <w:iCs w:val="0"/>
                <w:caps w:val="0"/>
                <w:color w:val="auto"/>
                <w:spacing w:val="0"/>
                <w:kern w:val="2"/>
                <w:sz w:val="21"/>
                <w:szCs w:val="24"/>
                <w:lang w:val="en-US" w:eastAsia="zh-CN" w:bidi="ar-SA"/>
              </w:rPr>
            </w:pPr>
            <w:r>
              <w:rPr>
                <w:rFonts w:hint="default" w:ascii="Times New Roman" w:hAnsi="Times New Roman" w:eastAsia="宋体" w:cs="Segoe UI"/>
                <w:b/>
                <w:bCs/>
                <w:i w:val="0"/>
                <w:iCs w:val="0"/>
                <w:caps w:val="0"/>
                <w:color w:val="auto"/>
                <w:spacing w:val="0"/>
                <w:kern w:val="2"/>
                <w:sz w:val="21"/>
                <w:szCs w:val="24"/>
                <w:lang w:val="en-US" w:eastAsia="zh-CN" w:bidi="ar-SA"/>
              </w:rPr>
              <w:t>刷胶</w:t>
            </w:r>
            <w:r>
              <w:rPr>
                <w:rFonts w:hint="eastAsia" w:cs="Segoe UI"/>
                <w:b/>
                <w:bCs/>
                <w:i w:val="0"/>
                <w:iCs w:val="0"/>
                <w:caps w:val="0"/>
                <w:color w:val="auto"/>
                <w:spacing w:val="0"/>
                <w:kern w:val="2"/>
                <w:sz w:val="21"/>
                <w:szCs w:val="24"/>
                <w:lang w:val="en-US" w:eastAsia="zh-CN" w:bidi="ar-SA"/>
              </w:rPr>
              <w:t>及</w:t>
            </w:r>
            <w:r>
              <w:rPr>
                <w:rFonts w:hint="default" w:ascii="Times New Roman" w:hAnsi="Times New Roman" w:eastAsia="宋体" w:cs="Segoe UI"/>
                <w:b/>
                <w:bCs/>
                <w:i w:val="0"/>
                <w:iCs w:val="0"/>
                <w:caps w:val="0"/>
                <w:color w:val="auto"/>
                <w:spacing w:val="0"/>
                <w:kern w:val="2"/>
                <w:sz w:val="21"/>
                <w:szCs w:val="24"/>
                <w:lang w:val="en-US" w:eastAsia="zh-CN" w:bidi="ar-SA"/>
              </w:rPr>
              <w:t>烘干</w:t>
            </w:r>
          </w:p>
          <w:p w14:paraId="792ED4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default" w:ascii="Times New Roman" w:hAnsi="Times New Roman" w:eastAsia="宋体" w:cstheme="minorBidi"/>
                <w:color w:val="auto"/>
                <w:kern w:val="2"/>
                <w:sz w:val="21"/>
                <w:szCs w:val="24"/>
                <w:lang w:val="en-US" w:eastAsia="zh-CN" w:bidi="ar-SA"/>
              </w:rPr>
            </w:pPr>
            <w:r>
              <w:rPr>
                <w:rFonts w:hint="default" w:ascii="Times New Roman" w:hAnsi="Times New Roman" w:eastAsia="宋体" w:cs="Segoe UI"/>
                <w:i w:val="0"/>
                <w:iCs w:val="0"/>
                <w:caps w:val="0"/>
                <w:color w:val="0F1115"/>
                <w:spacing w:val="0"/>
                <w:sz w:val="21"/>
                <w:szCs w:val="24"/>
                <w:shd w:val="clear" w:fill="FFFFFF"/>
              </w:rPr>
              <w:t>烘干后</w:t>
            </w:r>
            <w:r>
              <w:rPr>
                <w:rFonts w:hint="eastAsia" w:cs="Segoe UI"/>
                <w:i w:val="0"/>
                <w:iCs w:val="0"/>
                <w:caps w:val="0"/>
                <w:color w:val="0F1115"/>
                <w:spacing w:val="0"/>
                <w:sz w:val="21"/>
                <w:szCs w:val="24"/>
                <w:shd w:val="clear" w:fill="FFFFFF"/>
                <w:lang w:val="en-US" w:eastAsia="zh-CN"/>
              </w:rPr>
              <w:t>的</w:t>
            </w:r>
            <w:r>
              <w:rPr>
                <w:rFonts w:hint="default" w:ascii="Times New Roman" w:hAnsi="Times New Roman" w:eastAsia="宋体" w:cs="Segoe UI"/>
                <w:i w:val="0"/>
                <w:iCs w:val="0"/>
                <w:caps w:val="0"/>
                <w:color w:val="0F1115"/>
                <w:spacing w:val="0"/>
                <w:sz w:val="21"/>
                <w:szCs w:val="24"/>
                <w:shd w:val="clear" w:fill="FFFFFF"/>
              </w:rPr>
              <w:t>橡胶</w:t>
            </w:r>
            <w:r>
              <w:rPr>
                <w:rFonts w:hint="eastAsia" w:cs="Segoe UI"/>
                <w:i w:val="0"/>
                <w:iCs w:val="0"/>
                <w:caps w:val="0"/>
                <w:color w:val="0F1115"/>
                <w:spacing w:val="0"/>
                <w:sz w:val="21"/>
                <w:szCs w:val="24"/>
                <w:shd w:val="clear" w:fill="FFFFFF"/>
                <w:lang w:val="en-US" w:eastAsia="zh-CN"/>
              </w:rPr>
              <w:t>片</w:t>
            </w:r>
            <w:r>
              <w:rPr>
                <w:rFonts w:hint="default" w:ascii="Times New Roman" w:hAnsi="Times New Roman" w:eastAsia="宋体" w:cs="Segoe UI"/>
                <w:i w:val="0"/>
                <w:iCs w:val="0"/>
                <w:caps w:val="0"/>
                <w:color w:val="0F1115"/>
                <w:spacing w:val="0"/>
                <w:sz w:val="21"/>
                <w:szCs w:val="24"/>
                <w:shd w:val="clear" w:fill="FFFFFF"/>
              </w:rPr>
              <w:t>和EVA鞋底，在贴合面涂刷水性PU胶并烘干（约60~70℃），使胶层中的水分和有机溶剂充分挥发，胶粘剂初步干燥并活化，形成具有粘性的胶膜，为贴合做准备。</w:t>
            </w:r>
            <w:r>
              <w:rPr>
                <w:rFonts w:hint="default" w:ascii="Times New Roman" w:hAnsi="Times New Roman" w:eastAsia="宋体" w:cs="Segoe UI"/>
                <w:b w:val="0"/>
                <w:bCs w:val="0"/>
                <w:i w:val="0"/>
                <w:iCs w:val="0"/>
                <w:caps w:val="0"/>
                <w:color w:val="0F1115"/>
                <w:spacing w:val="0"/>
                <w:sz w:val="21"/>
                <w:szCs w:val="24"/>
                <w:shd w:val="clear" w:fill="FFFFFF"/>
              </w:rPr>
              <w:t>年工作时间为2400h。</w:t>
            </w:r>
            <w:r>
              <w:rPr>
                <w:rFonts w:hint="default" w:ascii="Times New Roman" w:hAnsi="Times New Roman" w:eastAsia="宋体" w:cs="Segoe UI"/>
                <w:i w:val="0"/>
                <w:iCs w:val="0"/>
                <w:caps w:val="0"/>
                <w:color w:val="0F1115"/>
                <w:spacing w:val="0"/>
                <w:sz w:val="21"/>
                <w:szCs w:val="24"/>
                <w:shd w:val="clear" w:fill="FFFFFF"/>
              </w:rPr>
              <w:t>产污分析：刷胶及烘干过程产生有机废气（以非甲烷总烃、总VOCs表征）和臭气浓度；产生废胶桶（危险废物）；设备运行产生噪声。</w:t>
            </w:r>
          </w:p>
          <w:p w14:paraId="76DBB13E">
            <w:pPr>
              <w:keepNext w:val="0"/>
              <w:keepLines w:val="0"/>
              <w:pageBreakBefore w:val="0"/>
              <w:widowControl/>
              <w:numPr>
                <w:ilvl w:val="0"/>
                <w:numId w:val="22"/>
              </w:numPr>
              <w:suppressLineNumbers w:val="0"/>
              <w:kinsoku/>
              <w:wordWrap/>
              <w:overflowPunct/>
              <w:topLinePunct w:val="0"/>
              <w:autoSpaceDE/>
              <w:autoSpaceDN/>
              <w:bidi w:val="0"/>
              <w:adjustRightInd/>
              <w:snapToGrid/>
              <w:spacing w:before="0" w:beforeAutospacing="0" w:after="0" w:afterAutospacing="0" w:line="360" w:lineRule="auto"/>
              <w:ind w:left="845" w:leftChars="0" w:right="0" w:rightChars="0" w:hanging="425" w:firstLineChars="0"/>
              <w:jc w:val="both"/>
              <w:textAlignment w:val="auto"/>
              <w:rPr>
                <w:rFonts w:hint="default" w:ascii="Times New Roman" w:hAnsi="Times New Roman" w:eastAsia="宋体" w:cs="Segoe UI"/>
                <w:b/>
                <w:bCs/>
                <w:i w:val="0"/>
                <w:iCs w:val="0"/>
                <w:caps w:val="0"/>
                <w:color w:val="auto"/>
                <w:spacing w:val="0"/>
                <w:kern w:val="2"/>
                <w:sz w:val="21"/>
                <w:szCs w:val="24"/>
                <w:lang w:val="en-US" w:eastAsia="zh-CN" w:bidi="ar-SA"/>
              </w:rPr>
            </w:pPr>
            <w:r>
              <w:rPr>
                <w:rFonts w:hint="default" w:ascii="Times New Roman" w:hAnsi="Times New Roman" w:eastAsia="宋体" w:cs="Segoe UI"/>
                <w:b/>
                <w:bCs/>
                <w:i w:val="0"/>
                <w:iCs w:val="0"/>
                <w:caps w:val="0"/>
                <w:color w:val="auto"/>
                <w:spacing w:val="0"/>
                <w:kern w:val="2"/>
                <w:sz w:val="21"/>
                <w:szCs w:val="24"/>
                <w:lang w:val="en-US" w:eastAsia="zh-CN" w:bidi="ar-SA"/>
              </w:rPr>
              <w:t>贴合</w:t>
            </w:r>
          </w:p>
          <w:p w14:paraId="6342EB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default" w:ascii="Times New Roman" w:hAnsi="Times New Roman" w:eastAsia="宋体" w:cstheme="minorBidi"/>
                <w:color w:val="auto"/>
                <w:kern w:val="2"/>
                <w:sz w:val="21"/>
                <w:szCs w:val="24"/>
                <w:lang w:val="en-US" w:eastAsia="zh-CN" w:bidi="ar-SA"/>
              </w:rPr>
            </w:pPr>
            <w:r>
              <w:rPr>
                <w:rFonts w:hint="default" w:ascii="Times New Roman" w:hAnsi="Times New Roman" w:eastAsia="宋体" w:cs="Segoe UI"/>
                <w:i w:val="0"/>
                <w:iCs w:val="0"/>
                <w:caps w:val="0"/>
                <w:color w:val="0F1115"/>
                <w:spacing w:val="0"/>
                <w:sz w:val="21"/>
                <w:szCs w:val="24"/>
                <w:shd w:val="clear" w:fill="FFFFFF"/>
              </w:rPr>
              <w:t>将EVA鞋底与橡胶</w:t>
            </w:r>
            <w:r>
              <w:rPr>
                <w:rFonts w:hint="eastAsia" w:cs="Segoe UI"/>
                <w:i w:val="0"/>
                <w:iCs w:val="0"/>
                <w:caps w:val="0"/>
                <w:color w:val="0F1115"/>
                <w:spacing w:val="0"/>
                <w:sz w:val="21"/>
                <w:szCs w:val="24"/>
                <w:shd w:val="clear" w:fill="FFFFFF"/>
                <w:lang w:val="en-US" w:eastAsia="zh-CN"/>
              </w:rPr>
              <w:t>片</w:t>
            </w:r>
            <w:r>
              <w:rPr>
                <w:rFonts w:hint="default" w:ascii="Times New Roman" w:hAnsi="Times New Roman" w:eastAsia="宋体" w:cs="Segoe UI"/>
                <w:i w:val="0"/>
                <w:iCs w:val="0"/>
                <w:caps w:val="0"/>
                <w:color w:val="0F1115"/>
                <w:spacing w:val="0"/>
                <w:sz w:val="21"/>
                <w:szCs w:val="24"/>
                <w:shd w:val="clear" w:fill="FFFFFF"/>
              </w:rPr>
              <w:t>对齐贴合，使两者紧密粘合。贴合要求位置精准、一次到位，避免反复调整影响粘合强度。压贴固化过程残留胶粘剂中有机成分挥发。</w:t>
            </w:r>
            <w:r>
              <w:rPr>
                <w:rFonts w:hint="default" w:ascii="Times New Roman" w:hAnsi="Times New Roman" w:eastAsia="宋体" w:cs="Segoe UI"/>
                <w:b/>
                <w:bCs/>
                <w:i w:val="0"/>
                <w:iCs w:val="0"/>
                <w:caps w:val="0"/>
                <w:color w:val="0F1115"/>
                <w:spacing w:val="0"/>
                <w:sz w:val="21"/>
                <w:szCs w:val="24"/>
                <w:shd w:val="clear" w:fill="FFFFFF"/>
              </w:rPr>
              <w:t>年</w:t>
            </w:r>
            <w:r>
              <w:rPr>
                <w:rFonts w:hint="default" w:ascii="Times New Roman" w:hAnsi="Times New Roman" w:eastAsia="宋体" w:cs="Segoe UI"/>
                <w:b w:val="0"/>
                <w:bCs w:val="0"/>
                <w:i w:val="0"/>
                <w:iCs w:val="0"/>
                <w:caps w:val="0"/>
                <w:color w:val="0F1115"/>
                <w:spacing w:val="0"/>
                <w:sz w:val="21"/>
                <w:szCs w:val="24"/>
                <w:shd w:val="clear" w:fill="FFFFFF"/>
              </w:rPr>
              <w:t>工作时间为2400h</w:t>
            </w:r>
            <w:r>
              <w:rPr>
                <w:rFonts w:hint="default" w:ascii="Times New Roman" w:hAnsi="Times New Roman" w:eastAsia="宋体" w:cs="Segoe UI"/>
                <w:i w:val="0"/>
                <w:iCs w:val="0"/>
                <w:caps w:val="0"/>
                <w:color w:val="0F1115"/>
                <w:spacing w:val="0"/>
                <w:sz w:val="21"/>
                <w:szCs w:val="24"/>
                <w:shd w:val="clear" w:fill="FFFFFF"/>
              </w:rPr>
              <w:t>。产污分析：贴合过程残留胶粘剂中有机成分挥发产生少量有机废气（以非甲烷总烃、总VOCs表征）和臭气浓度</w:t>
            </w:r>
            <w:r>
              <w:rPr>
                <w:rFonts w:hint="eastAsia" w:ascii="Times New Roman" w:hAnsi="Times New Roman" w:eastAsia="宋体" w:cs="Segoe UI"/>
                <w:i w:val="0"/>
                <w:iCs w:val="0"/>
                <w:caps w:val="0"/>
                <w:color w:val="0F1115"/>
                <w:spacing w:val="0"/>
                <w:sz w:val="21"/>
                <w:szCs w:val="24"/>
                <w:shd w:val="clear" w:fill="FFFFFF"/>
                <w:lang w:eastAsia="zh-CN"/>
              </w:rPr>
              <w:t>。</w:t>
            </w:r>
          </w:p>
          <w:p w14:paraId="5E9442C1">
            <w:pPr>
              <w:keepNext w:val="0"/>
              <w:keepLines w:val="0"/>
              <w:pageBreakBefore w:val="0"/>
              <w:widowControl/>
              <w:numPr>
                <w:ilvl w:val="0"/>
                <w:numId w:val="22"/>
              </w:numPr>
              <w:suppressLineNumbers w:val="0"/>
              <w:kinsoku/>
              <w:wordWrap/>
              <w:overflowPunct/>
              <w:topLinePunct w:val="0"/>
              <w:autoSpaceDE/>
              <w:autoSpaceDN/>
              <w:bidi w:val="0"/>
              <w:adjustRightInd/>
              <w:snapToGrid/>
              <w:spacing w:before="0" w:beforeAutospacing="0" w:after="0" w:afterAutospacing="0" w:line="360" w:lineRule="auto"/>
              <w:ind w:left="845" w:leftChars="0" w:right="0" w:rightChars="0" w:hanging="425" w:firstLineChars="0"/>
              <w:jc w:val="both"/>
              <w:textAlignment w:val="auto"/>
              <w:rPr>
                <w:rFonts w:hint="default" w:ascii="Times New Roman" w:hAnsi="Times New Roman" w:eastAsia="宋体" w:cs="Segoe UI"/>
                <w:b/>
                <w:bCs/>
                <w:i w:val="0"/>
                <w:iCs w:val="0"/>
                <w:caps w:val="0"/>
                <w:color w:val="auto"/>
                <w:spacing w:val="0"/>
                <w:kern w:val="2"/>
                <w:sz w:val="21"/>
                <w:szCs w:val="24"/>
                <w:lang w:val="en-US" w:eastAsia="zh-CN" w:bidi="ar-SA"/>
              </w:rPr>
            </w:pPr>
            <w:r>
              <w:rPr>
                <w:rFonts w:hint="default" w:ascii="Times New Roman" w:hAnsi="Times New Roman" w:eastAsia="宋体" w:cs="Segoe UI"/>
                <w:b/>
                <w:bCs/>
                <w:i w:val="0"/>
                <w:iCs w:val="0"/>
                <w:caps w:val="0"/>
                <w:color w:val="auto"/>
                <w:spacing w:val="0"/>
                <w:kern w:val="2"/>
                <w:sz w:val="21"/>
                <w:szCs w:val="24"/>
                <w:lang w:val="en-US" w:eastAsia="zh-CN" w:bidi="ar-SA"/>
              </w:rPr>
              <w:t>压合</w:t>
            </w:r>
          </w:p>
          <w:p w14:paraId="1C2D06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default" w:ascii="Times New Roman" w:hAnsi="Times New Roman" w:eastAsia="宋体" w:cstheme="minorBidi"/>
                <w:color w:val="auto"/>
                <w:kern w:val="2"/>
                <w:sz w:val="21"/>
                <w:szCs w:val="24"/>
                <w:lang w:val="en-US" w:eastAsia="zh-CN" w:bidi="ar-SA"/>
              </w:rPr>
            </w:pPr>
            <w:r>
              <w:rPr>
                <w:rFonts w:hint="default" w:ascii="Times New Roman" w:hAnsi="Times New Roman" w:eastAsia="宋体" w:cs="var(--dsw-font-markdown-base)"/>
                <w:i w:val="0"/>
                <w:iCs w:val="0"/>
                <w:caps w:val="0"/>
                <w:color w:val="auto"/>
                <w:spacing w:val="0"/>
                <w:kern w:val="2"/>
                <w:sz w:val="21"/>
                <w:szCs w:val="21"/>
                <w:lang w:val="en-US" w:eastAsia="zh-CN" w:bidi="ar-SA"/>
              </w:rPr>
              <w:t>贴合后的</w:t>
            </w:r>
            <w:r>
              <w:rPr>
                <w:rFonts w:hint="eastAsia" w:cs="var(--dsw-font-markdown-base)"/>
                <w:i w:val="0"/>
                <w:iCs w:val="0"/>
                <w:caps w:val="0"/>
                <w:color w:val="auto"/>
                <w:spacing w:val="0"/>
                <w:kern w:val="2"/>
                <w:sz w:val="21"/>
                <w:szCs w:val="21"/>
                <w:lang w:val="en-US" w:eastAsia="zh-CN" w:bidi="ar-SA"/>
              </w:rPr>
              <w:t>组成的</w:t>
            </w:r>
            <w:r>
              <w:rPr>
                <w:rFonts w:hint="default" w:ascii="Times New Roman" w:hAnsi="Times New Roman" w:eastAsia="宋体" w:cs="var(--dsw-font-markdown-base)"/>
                <w:i w:val="0"/>
                <w:iCs w:val="0"/>
                <w:caps w:val="0"/>
                <w:color w:val="auto"/>
                <w:spacing w:val="0"/>
                <w:kern w:val="2"/>
                <w:sz w:val="21"/>
                <w:szCs w:val="21"/>
                <w:lang w:val="en-US" w:eastAsia="zh-CN" w:bidi="ar-SA"/>
              </w:rPr>
              <w:t>复合鞋底送入压底机进行加压压实（约30</w:t>
            </w:r>
            <w:r>
              <w:rPr>
                <w:rFonts w:hint="eastAsia" w:cs="var(--dsw-font-markdown-base)"/>
                <w:i w:val="0"/>
                <w:iCs w:val="0"/>
                <w:caps w:val="0"/>
                <w:color w:val="auto"/>
                <w:spacing w:val="0"/>
                <w:kern w:val="2"/>
                <w:sz w:val="21"/>
                <w:szCs w:val="21"/>
                <w:lang w:val="en-US" w:eastAsia="zh-CN" w:bidi="ar-SA"/>
              </w:rPr>
              <w:t>～</w:t>
            </w:r>
            <w:r>
              <w:rPr>
                <w:rFonts w:hint="default" w:ascii="Times New Roman" w:hAnsi="Times New Roman" w:eastAsia="宋体" w:cs="var(--dsw-font-markdown-base)"/>
                <w:i w:val="0"/>
                <w:iCs w:val="0"/>
                <w:caps w:val="0"/>
                <w:color w:val="auto"/>
                <w:spacing w:val="0"/>
                <w:kern w:val="2"/>
                <w:sz w:val="21"/>
                <w:szCs w:val="21"/>
                <w:lang w:val="en-US" w:eastAsia="zh-CN" w:bidi="ar-SA"/>
              </w:rPr>
              <w:t>60秒），使胶层与EVA、橡胶材料充分紧密接触，排除胶层中的气泡，确保粘合面无空隙，达到最大粘合强度。年工作时间为2400h</w:t>
            </w:r>
            <w:r>
              <w:rPr>
                <w:rFonts w:hint="eastAsia" w:cs="var(--dsw-font-markdown-base)"/>
                <w:i w:val="0"/>
                <w:iCs w:val="0"/>
                <w:caps w:val="0"/>
                <w:color w:val="auto"/>
                <w:spacing w:val="0"/>
                <w:kern w:val="2"/>
                <w:sz w:val="21"/>
                <w:szCs w:val="21"/>
                <w:lang w:val="en-US" w:eastAsia="zh-CN" w:bidi="ar-SA"/>
              </w:rPr>
              <w:t>，</w:t>
            </w:r>
            <w:r>
              <w:rPr>
                <w:rFonts w:hint="default" w:ascii="Times New Roman" w:hAnsi="Times New Roman" w:eastAsia="宋体" w:cs="var(--dsw-font-markdown-base)"/>
                <w:i w:val="0"/>
                <w:iCs w:val="0"/>
                <w:caps w:val="0"/>
                <w:color w:val="auto"/>
                <w:spacing w:val="0"/>
                <w:kern w:val="2"/>
                <w:sz w:val="21"/>
                <w:szCs w:val="21"/>
                <w:lang w:val="en-US" w:eastAsia="zh-CN" w:bidi="ar-SA"/>
              </w:rPr>
              <w:t>产污分析：设备运行产生噪声。</w:t>
            </w:r>
          </w:p>
          <w:p w14:paraId="7E48B58D">
            <w:pPr>
              <w:keepNext w:val="0"/>
              <w:keepLines w:val="0"/>
              <w:pageBreakBefore w:val="0"/>
              <w:widowControl/>
              <w:numPr>
                <w:ilvl w:val="0"/>
                <w:numId w:val="22"/>
              </w:numPr>
              <w:suppressLineNumbers w:val="0"/>
              <w:kinsoku/>
              <w:wordWrap/>
              <w:overflowPunct/>
              <w:topLinePunct w:val="0"/>
              <w:autoSpaceDE/>
              <w:autoSpaceDN/>
              <w:bidi w:val="0"/>
              <w:adjustRightInd/>
              <w:snapToGrid/>
              <w:spacing w:before="0" w:beforeAutospacing="0" w:after="0" w:afterAutospacing="0" w:line="360" w:lineRule="auto"/>
              <w:ind w:left="845" w:leftChars="0" w:right="0" w:rightChars="0" w:hanging="425" w:firstLineChars="0"/>
              <w:jc w:val="both"/>
              <w:textAlignment w:val="auto"/>
              <w:rPr>
                <w:rFonts w:hint="default" w:ascii="Times New Roman" w:hAnsi="Times New Roman" w:eastAsia="宋体" w:cs="Segoe UI"/>
                <w:b/>
                <w:bCs/>
                <w:i w:val="0"/>
                <w:iCs w:val="0"/>
                <w:caps w:val="0"/>
                <w:color w:val="auto"/>
                <w:spacing w:val="0"/>
                <w:kern w:val="2"/>
                <w:sz w:val="21"/>
                <w:szCs w:val="24"/>
                <w:lang w:val="en-US" w:eastAsia="zh-CN" w:bidi="ar-SA"/>
              </w:rPr>
            </w:pPr>
            <w:r>
              <w:rPr>
                <w:rFonts w:hint="default" w:ascii="Times New Roman" w:hAnsi="Times New Roman" w:eastAsia="宋体" w:cs="Segoe UI"/>
                <w:b/>
                <w:bCs/>
                <w:i w:val="0"/>
                <w:iCs w:val="0"/>
                <w:caps w:val="0"/>
                <w:color w:val="auto"/>
                <w:spacing w:val="0"/>
                <w:kern w:val="2"/>
                <w:sz w:val="21"/>
                <w:szCs w:val="24"/>
                <w:lang w:val="en-US" w:eastAsia="zh-CN" w:bidi="ar-SA"/>
              </w:rPr>
              <w:t>修边</w:t>
            </w:r>
          </w:p>
          <w:p w14:paraId="58EADD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default" w:ascii="Times New Roman" w:hAnsi="Times New Roman" w:eastAsia="宋体" w:cs="var(--dsw-font-markdown-base)"/>
                <w:i w:val="0"/>
                <w:iCs w:val="0"/>
                <w:caps w:val="0"/>
                <w:color w:val="auto"/>
                <w:spacing w:val="0"/>
                <w:kern w:val="2"/>
                <w:sz w:val="21"/>
                <w:szCs w:val="21"/>
                <w:lang w:val="en-US" w:eastAsia="zh-CN" w:bidi="ar-SA"/>
              </w:rPr>
            </w:pPr>
            <w:r>
              <w:rPr>
                <w:rFonts w:hint="default" w:ascii="Times New Roman" w:hAnsi="Times New Roman" w:eastAsia="宋体" w:cs="var(--dsw-font-markdown-base)"/>
                <w:i w:val="0"/>
                <w:iCs w:val="0"/>
                <w:caps w:val="0"/>
                <w:color w:val="auto"/>
                <w:spacing w:val="0"/>
                <w:kern w:val="2"/>
                <w:sz w:val="21"/>
                <w:szCs w:val="21"/>
                <w:lang w:val="en-US" w:eastAsia="zh-CN" w:bidi="ar-SA"/>
              </w:rPr>
              <w:t>对压合后的复合鞋底边缘进行最终修整，去除溢胶和多余材料，使</w:t>
            </w:r>
            <w:r>
              <w:rPr>
                <w:rFonts w:hint="eastAsia" w:cs="var(--dsw-font-markdown-base)"/>
                <w:i w:val="0"/>
                <w:iCs w:val="0"/>
                <w:caps w:val="0"/>
                <w:color w:val="auto"/>
                <w:spacing w:val="0"/>
                <w:kern w:val="2"/>
                <w:sz w:val="21"/>
                <w:szCs w:val="21"/>
                <w:lang w:val="en-US" w:eastAsia="zh-CN" w:bidi="ar-SA"/>
              </w:rPr>
              <w:t>复合鞋底</w:t>
            </w:r>
            <w:r>
              <w:rPr>
                <w:rFonts w:hint="default" w:ascii="Times New Roman" w:hAnsi="Times New Roman" w:eastAsia="宋体" w:cs="var(--dsw-font-markdown-base)"/>
                <w:i w:val="0"/>
                <w:iCs w:val="0"/>
                <w:caps w:val="0"/>
                <w:color w:val="auto"/>
                <w:spacing w:val="0"/>
                <w:kern w:val="2"/>
                <w:sz w:val="21"/>
                <w:szCs w:val="21"/>
                <w:lang w:val="en-US" w:eastAsia="zh-CN" w:bidi="ar-SA"/>
              </w:rPr>
              <w:t>边缘整齐美观。年工作时间为2400h。产污分析：修边过程产生边角料（一般工业固体废物）；设备运行产生噪声。</w:t>
            </w:r>
          </w:p>
          <w:p w14:paraId="29589842">
            <w:pPr>
              <w:keepNext w:val="0"/>
              <w:keepLines w:val="0"/>
              <w:pageBreakBefore w:val="0"/>
              <w:widowControl/>
              <w:numPr>
                <w:ilvl w:val="0"/>
                <w:numId w:val="22"/>
              </w:numPr>
              <w:suppressLineNumbers w:val="0"/>
              <w:kinsoku/>
              <w:wordWrap/>
              <w:overflowPunct/>
              <w:topLinePunct w:val="0"/>
              <w:autoSpaceDE/>
              <w:autoSpaceDN/>
              <w:bidi w:val="0"/>
              <w:adjustRightInd/>
              <w:snapToGrid/>
              <w:spacing w:before="0" w:beforeAutospacing="0" w:after="0" w:afterAutospacing="0" w:line="360" w:lineRule="auto"/>
              <w:ind w:left="845" w:leftChars="0" w:right="0" w:rightChars="0" w:hanging="425" w:firstLineChars="0"/>
              <w:jc w:val="both"/>
              <w:textAlignment w:val="auto"/>
              <w:rPr>
                <w:rFonts w:hint="default" w:ascii="Times New Roman" w:hAnsi="Times New Roman" w:eastAsia="宋体" w:cs="Segoe UI"/>
                <w:b/>
                <w:bCs/>
                <w:i w:val="0"/>
                <w:iCs w:val="0"/>
                <w:caps w:val="0"/>
                <w:color w:val="auto"/>
                <w:spacing w:val="0"/>
                <w:kern w:val="2"/>
                <w:sz w:val="21"/>
                <w:szCs w:val="24"/>
                <w:lang w:val="en-US" w:eastAsia="zh-CN" w:bidi="ar-SA"/>
              </w:rPr>
            </w:pPr>
            <w:r>
              <w:rPr>
                <w:rFonts w:hint="default" w:ascii="Times New Roman" w:hAnsi="Times New Roman" w:eastAsia="宋体" w:cs="Segoe UI"/>
                <w:b/>
                <w:bCs/>
                <w:i w:val="0"/>
                <w:iCs w:val="0"/>
                <w:caps w:val="0"/>
                <w:color w:val="auto"/>
                <w:spacing w:val="0"/>
                <w:kern w:val="2"/>
                <w:sz w:val="21"/>
                <w:szCs w:val="24"/>
                <w:lang w:val="en-US" w:eastAsia="zh-CN" w:bidi="ar-SA"/>
              </w:rPr>
              <w:t>检验</w:t>
            </w:r>
          </w:p>
          <w:p w14:paraId="10228B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default" w:ascii="Times New Roman" w:hAnsi="Times New Roman" w:eastAsia="宋体" w:cstheme="minorBidi"/>
                <w:color w:val="auto"/>
                <w:kern w:val="2"/>
                <w:sz w:val="21"/>
                <w:szCs w:val="24"/>
                <w:lang w:val="en-US" w:eastAsia="zh-CN" w:bidi="ar-SA"/>
              </w:rPr>
            </w:pPr>
            <w:r>
              <w:rPr>
                <w:rFonts w:hint="default" w:ascii="Times New Roman" w:hAnsi="Times New Roman" w:eastAsia="宋体" w:cs="var(--dsw-font-markdown-base)"/>
                <w:i w:val="0"/>
                <w:iCs w:val="0"/>
                <w:caps w:val="0"/>
                <w:color w:val="auto"/>
                <w:spacing w:val="0"/>
                <w:kern w:val="2"/>
                <w:sz w:val="21"/>
                <w:szCs w:val="21"/>
                <w:lang w:val="en-US" w:eastAsia="zh-CN" w:bidi="ar-SA"/>
              </w:rPr>
              <w:t>对复合</w:t>
            </w:r>
            <w:r>
              <w:rPr>
                <w:rFonts w:hint="eastAsia" w:cs="var(--dsw-font-markdown-base)"/>
                <w:i w:val="0"/>
                <w:iCs w:val="0"/>
                <w:caps w:val="0"/>
                <w:color w:val="auto"/>
                <w:spacing w:val="0"/>
                <w:kern w:val="2"/>
                <w:sz w:val="21"/>
                <w:szCs w:val="21"/>
                <w:lang w:val="en-US" w:eastAsia="zh-CN" w:bidi="ar-SA"/>
              </w:rPr>
              <w:t>鞋底</w:t>
            </w:r>
            <w:r>
              <w:rPr>
                <w:rFonts w:hint="default" w:ascii="Times New Roman" w:hAnsi="Times New Roman" w:eastAsia="宋体" w:cs="var(--dsw-font-markdown-base)"/>
                <w:i w:val="0"/>
                <w:iCs w:val="0"/>
                <w:caps w:val="0"/>
                <w:color w:val="auto"/>
                <w:spacing w:val="0"/>
                <w:kern w:val="2"/>
                <w:sz w:val="21"/>
                <w:szCs w:val="21"/>
                <w:lang w:val="en-US" w:eastAsia="zh-CN" w:bidi="ar-SA"/>
              </w:rPr>
              <w:t>进行外观和尺寸检验，检查贴合是否牢固、有无开胶、尺寸是否准确等。年工作时间为2400h</w:t>
            </w:r>
            <w:r>
              <w:rPr>
                <w:rFonts w:hint="eastAsia" w:cs="var(--dsw-font-markdown-base)"/>
                <w:i w:val="0"/>
                <w:iCs w:val="0"/>
                <w:caps w:val="0"/>
                <w:color w:val="auto"/>
                <w:spacing w:val="0"/>
                <w:kern w:val="2"/>
                <w:sz w:val="21"/>
                <w:szCs w:val="21"/>
                <w:lang w:val="en-US" w:eastAsia="zh-CN" w:bidi="ar-SA"/>
              </w:rPr>
              <w:t>，</w:t>
            </w:r>
            <w:r>
              <w:rPr>
                <w:rFonts w:hint="default" w:ascii="Times New Roman" w:hAnsi="Times New Roman" w:eastAsia="宋体" w:cs="var(--dsw-font-markdown-base)"/>
                <w:i w:val="0"/>
                <w:iCs w:val="0"/>
                <w:caps w:val="0"/>
                <w:color w:val="auto"/>
                <w:spacing w:val="0"/>
                <w:kern w:val="2"/>
                <w:sz w:val="21"/>
                <w:szCs w:val="21"/>
                <w:lang w:val="en-US" w:eastAsia="zh-CN" w:bidi="ar-SA"/>
              </w:rPr>
              <w:t>产污分析：检验过程产生不合格品（一般工业固体废物）；设备运行产生噪声。</w:t>
            </w:r>
          </w:p>
          <w:p w14:paraId="0DEEBD33">
            <w:pPr>
              <w:keepNext w:val="0"/>
              <w:keepLines w:val="0"/>
              <w:pageBreakBefore w:val="0"/>
              <w:widowControl/>
              <w:numPr>
                <w:ilvl w:val="0"/>
                <w:numId w:val="22"/>
              </w:numPr>
              <w:suppressLineNumbers w:val="0"/>
              <w:kinsoku/>
              <w:wordWrap/>
              <w:overflowPunct/>
              <w:topLinePunct w:val="0"/>
              <w:autoSpaceDE/>
              <w:autoSpaceDN/>
              <w:bidi w:val="0"/>
              <w:adjustRightInd/>
              <w:snapToGrid/>
              <w:spacing w:before="0" w:beforeAutospacing="0" w:after="0" w:afterAutospacing="0" w:line="360" w:lineRule="auto"/>
              <w:ind w:left="845" w:leftChars="0" w:right="0" w:rightChars="0" w:hanging="425" w:firstLineChars="0"/>
              <w:jc w:val="both"/>
              <w:textAlignment w:val="auto"/>
              <w:rPr>
                <w:rFonts w:hint="default" w:ascii="Times New Roman" w:hAnsi="Times New Roman" w:eastAsia="宋体" w:cs="Segoe UI"/>
                <w:b/>
                <w:bCs/>
                <w:i w:val="0"/>
                <w:iCs w:val="0"/>
                <w:caps w:val="0"/>
                <w:color w:val="auto"/>
                <w:spacing w:val="0"/>
                <w:kern w:val="2"/>
                <w:sz w:val="21"/>
                <w:szCs w:val="24"/>
                <w:lang w:val="en-US" w:eastAsia="zh-CN" w:bidi="ar-SA"/>
              </w:rPr>
            </w:pPr>
            <w:r>
              <w:rPr>
                <w:rFonts w:hint="default" w:ascii="Times New Roman" w:hAnsi="Times New Roman" w:eastAsia="宋体" w:cs="Segoe UI"/>
                <w:b/>
                <w:bCs/>
                <w:i w:val="0"/>
                <w:iCs w:val="0"/>
                <w:caps w:val="0"/>
                <w:color w:val="auto"/>
                <w:spacing w:val="0"/>
                <w:kern w:val="2"/>
                <w:sz w:val="21"/>
                <w:szCs w:val="24"/>
                <w:lang w:val="en-US" w:eastAsia="zh-CN" w:bidi="ar-SA"/>
              </w:rPr>
              <w:t>鞋底成品</w:t>
            </w:r>
          </w:p>
          <w:p w14:paraId="3224F7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default" w:ascii="Times New Roman" w:hAnsi="Times New Roman" w:eastAsia="宋体" w:cstheme="minorBidi"/>
                <w:color w:val="auto"/>
                <w:kern w:val="2"/>
                <w:sz w:val="21"/>
                <w:szCs w:val="24"/>
                <w:lang w:val="en-US" w:eastAsia="zh-CN" w:bidi="ar-SA"/>
              </w:rPr>
            </w:pPr>
            <w:r>
              <w:rPr>
                <w:rFonts w:hint="default" w:ascii="Times New Roman" w:hAnsi="Times New Roman" w:eastAsia="宋体" w:cs="var(--dsw-font-markdown-base)"/>
                <w:i w:val="0"/>
                <w:iCs w:val="0"/>
                <w:caps w:val="0"/>
                <w:color w:val="auto"/>
                <w:spacing w:val="0"/>
                <w:kern w:val="2"/>
                <w:sz w:val="21"/>
                <w:szCs w:val="21"/>
                <w:lang w:val="en-US" w:eastAsia="zh-CN" w:bidi="ar-SA"/>
              </w:rPr>
              <w:t>检验合格后的鞋底成品入库待用，或直接转入成品组装车间进行鞋面与鞋底的组装。</w:t>
            </w:r>
          </w:p>
          <w:p w14:paraId="34E41DEC">
            <w:pPr>
              <w:pStyle w:val="5"/>
              <w:keepNext w:val="0"/>
              <w:keepLines w:val="0"/>
              <w:pageBreakBefore w:val="0"/>
              <w:widowControl/>
              <w:numPr>
                <w:ilvl w:val="0"/>
                <w:numId w:val="20"/>
              </w:numPr>
              <w:suppressLineNumbers w:val="0"/>
              <w:shd w:val="clear" w:fill="FFFFFF"/>
              <w:kinsoku/>
              <w:overflowPunct/>
              <w:topLinePunct w:val="0"/>
              <w:autoSpaceDE/>
              <w:autoSpaceDN/>
              <w:bidi w:val="0"/>
              <w:adjustRightInd/>
              <w:snapToGrid/>
              <w:spacing w:before="0" w:beforeAutospacing="0" w:after="0" w:afterAutospacing="0" w:line="360" w:lineRule="auto"/>
              <w:ind w:left="0" w:leftChars="0" w:right="0" w:rightChars="0" w:firstLine="422"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鞋面制造</w:t>
            </w:r>
          </w:p>
          <w:p w14:paraId="4582CD96">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eastAsia" w:ascii="Times New Roman" w:hAnsi="Times New Roman" w:eastAsia="宋体" w:cs="Segoe UI"/>
                <w:i w:val="0"/>
                <w:iCs w:val="0"/>
                <w:caps w:val="0"/>
                <w:color w:val="auto"/>
                <w:spacing w:val="0"/>
                <w:sz w:val="21"/>
                <w:szCs w:val="24"/>
                <w:shd w:val="clear" w:fill="FFFFFF"/>
                <w:lang w:val="en-US" w:eastAsia="zh-CN"/>
              </w:rPr>
            </w:pPr>
            <w:r>
              <w:rPr>
                <w:rFonts w:hint="default" w:ascii="Times New Roman" w:hAnsi="Times New Roman" w:eastAsia="宋体" w:cs="Segoe UI"/>
                <w:i w:val="0"/>
                <w:iCs w:val="0"/>
                <w:caps w:val="0"/>
                <w:color w:val="auto"/>
                <w:spacing w:val="0"/>
                <w:sz w:val="21"/>
                <w:szCs w:val="24"/>
                <w:shd w:val="clear" w:fill="FFFFFF"/>
              </w:rPr>
              <w:t>鞋面制造在2#厂房的5层、6层、7层完成。</w:t>
            </w:r>
            <w:r>
              <w:rPr>
                <w:rFonts w:hint="eastAsia" w:ascii="Times New Roman" w:hAnsi="Times New Roman" w:eastAsia="宋体" w:cs="Segoe UI"/>
                <w:i w:val="0"/>
                <w:iCs w:val="0"/>
                <w:caps w:val="0"/>
                <w:color w:val="auto"/>
                <w:spacing w:val="0"/>
                <w:sz w:val="21"/>
                <w:szCs w:val="24"/>
                <w:shd w:val="clear" w:fill="FFFFFF"/>
                <w:lang w:val="en-US" w:eastAsia="zh-CN"/>
              </w:rPr>
              <w:t>生产工艺流程图如下：</w:t>
            </w:r>
          </w:p>
          <w:p w14:paraId="6D7525F1">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Segoe UI"/>
                <w:i w:val="0"/>
                <w:iCs w:val="0"/>
                <w:caps w:val="0"/>
                <w:color w:val="auto"/>
                <w:spacing w:val="0"/>
                <w:sz w:val="21"/>
                <w:szCs w:val="24"/>
                <w:shd w:val="clear" w:fill="FFFFFF"/>
                <w:lang w:val="en-US" w:eastAsia="zh-CN"/>
              </w:rPr>
            </w:pPr>
            <w:r>
              <w:rPr>
                <w:rFonts w:hint="eastAsia" w:ascii="Times New Roman" w:hAnsi="Times New Roman" w:eastAsia="宋体" w:cs="Segoe UI"/>
                <w:i w:val="0"/>
                <w:iCs w:val="0"/>
                <w:caps w:val="0"/>
                <w:color w:val="auto"/>
                <w:spacing w:val="0"/>
                <w:sz w:val="21"/>
                <w:szCs w:val="24"/>
                <w:shd w:val="clear" w:fill="FFFFFF"/>
                <w:lang w:val="en-US" w:eastAsia="zh-CN"/>
              </w:rPr>
              <w:drawing>
                <wp:inline distT="0" distB="0" distL="114300" distR="114300">
                  <wp:extent cx="6152515" cy="1153160"/>
                  <wp:effectExtent l="0" t="0" r="635" b="8890"/>
                  <wp:docPr id="4" name="图片 4" descr="生产工艺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生产工艺流程图"/>
                          <pic:cNvPicPr>
                            <a:picLocks noChangeAspect="1"/>
                          </pic:cNvPicPr>
                        </pic:nvPicPr>
                        <pic:blipFill>
                          <a:blip r:embed="rId8"/>
                          <a:srcRect l="4648" t="69579" r="65312" b="24128"/>
                          <a:stretch>
                            <a:fillRect/>
                          </a:stretch>
                        </pic:blipFill>
                        <pic:spPr>
                          <a:xfrm>
                            <a:off x="0" y="0"/>
                            <a:ext cx="6152515" cy="1153160"/>
                          </a:xfrm>
                          <a:prstGeom prst="rect">
                            <a:avLst/>
                          </a:prstGeom>
                        </pic:spPr>
                      </pic:pic>
                    </a:graphicData>
                  </a:graphic>
                </wp:inline>
              </w:drawing>
            </w:r>
          </w:p>
          <w:p w14:paraId="73B97564">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2" w:firstLineChars="200"/>
              <w:jc w:val="center"/>
              <w:textAlignment w:val="auto"/>
              <w:rPr>
                <w:rFonts w:hint="eastAsia" w:ascii="Times New Roman" w:hAnsi="Times New Roman" w:eastAsia="宋体" w:cs="Segoe UI"/>
                <w:i w:val="0"/>
                <w:iCs w:val="0"/>
                <w:caps w:val="0"/>
                <w:color w:val="auto"/>
                <w:spacing w:val="0"/>
                <w:sz w:val="21"/>
                <w:szCs w:val="24"/>
                <w:shd w:val="clear" w:fill="FFFFFF"/>
                <w:lang w:val="en-US" w:eastAsia="zh-CN"/>
              </w:rPr>
            </w:pPr>
            <w:r>
              <w:rPr>
                <w:rFonts w:hint="eastAsia" w:ascii="Times New Roman" w:hAnsi="Times New Roman" w:eastAsia="宋体" w:cs="Segoe UI"/>
                <w:b/>
                <w:bCs/>
                <w:i w:val="0"/>
                <w:iCs w:val="0"/>
                <w:caps w:val="0"/>
                <w:color w:val="auto"/>
                <w:spacing w:val="0"/>
                <w:sz w:val="21"/>
                <w:szCs w:val="24"/>
                <w:shd w:val="clear" w:fill="FFFFFF"/>
                <w:lang w:val="en-US" w:eastAsia="zh-CN"/>
              </w:rPr>
              <w:t>图</w:t>
            </w:r>
            <w:r>
              <w:rPr>
                <w:rFonts w:hint="eastAsia" w:ascii="Times New Roman" w:hAnsi="Times New Roman" w:cs="Segoe UI"/>
                <w:b/>
                <w:bCs/>
                <w:i w:val="0"/>
                <w:iCs w:val="0"/>
                <w:caps w:val="0"/>
                <w:color w:val="auto"/>
                <w:spacing w:val="0"/>
                <w:sz w:val="21"/>
                <w:szCs w:val="24"/>
                <w:shd w:val="clear" w:fill="FFFFFF"/>
                <w:lang w:val="en-US" w:eastAsia="zh-CN"/>
              </w:rPr>
              <w:t>3</w:t>
            </w:r>
            <w:r>
              <w:rPr>
                <w:rFonts w:hint="eastAsia" w:ascii="Times New Roman" w:hAnsi="Times New Roman" w:eastAsia="宋体" w:cs="Segoe UI"/>
                <w:b/>
                <w:bCs/>
                <w:i w:val="0"/>
                <w:iCs w:val="0"/>
                <w:caps w:val="0"/>
                <w:color w:val="auto"/>
                <w:spacing w:val="0"/>
                <w:sz w:val="21"/>
                <w:szCs w:val="24"/>
                <w:shd w:val="clear" w:fill="FFFFFF"/>
                <w:lang w:val="en-US" w:eastAsia="zh-CN"/>
              </w:rPr>
              <w:t>、鞋面生产工艺流程图</w:t>
            </w:r>
          </w:p>
          <w:p w14:paraId="346A3A89">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lang w:val="en-US" w:eastAsia="zh-CN"/>
              </w:rPr>
            </w:pPr>
            <w:r>
              <w:rPr>
                <w:rFonts w:hint="eastAsia" w:ascii="Times New Roman" w:hAnsi="Times New Roman" w:eastAsia="宋体" w:cs="Segoe UI"/>
                <w:i w:val="0"/>
                <w:iCs w:val="0"/>
                <w:caps w:val="0"/>
                <w:color w:val="auto"/>
                <w:spacing w:val="0"/>
                <w:sz w:val="21"/>
                <w:szCs w:val="24"/>
                <w:shd w:val="clear" w:fill="FFFFFF"/>
                <w:lang w:val="en-US" w:eastAsia="zh-CN"/>
              </w:rPr>
              <w:t>工艺流程说明：</w:t>
            </w:r>
          </w:p>
          <w:p w14:paraId="00C694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2" w:firstLineChars="200"/>
              <w:jc w:val="both"/>
              <w:textAlignment w:val="auto"/>
              <w:outlineLvl w:val="3"/>
              <w:rPr>
                <w:rFonts w:hint="default" w:ascii="Times New Roman" w:hAnsi="Times New Roman" w:eastAsia="宋体" w:cs="Segoe UI"/>
                <w:b/>
                <w:bCs/>
                <w:i w:val="0"/>
                <w:iCs w:val="0"/>
                <w:caps w:val="0"/>
                <w:color w:val="auto"/>
                <w:spacing w:val="0"/>
                <w:kern w:val="2"/>
                <w:sz w:val="21"/>
                <w:szCs w:val="24"/>
                <w:lang w:val="en-US" w:eastAsia="zh-CN" w:bidi="ar-SA"/>
              </w:rPr>
            </w:pPr>
            <w:r>
              <w:rPr>
                <w:rFonts w:hint="default" w:ascii="Times New Roman" w:hAnsi="Times New Roman" w:eastAsia="宋体" w:cs="Segoe UI"/>
                <w:b/>
                <w:bCs/>
                <w:i w:val="0"/>
                <w:iCs w:val="0"/>
                <w:caps w:val="0"/>
                <w:color w:val="auto"/>
                <w:spacing w:val="0"/>
                <w:kern w:val="2"/>
                <w:sz w:val="21"/>
                <w:szCs w:val="24"/>
                <w:lang w:val="en-US" w:eastAsia="zh-CN" w:bidi="ar-SA"/>
              </w:rPr>
              <w:t>1.裁切</w:t>
            </w:r>
          </w:p>
          <w:p w14:paraId="7B6CB183">
            <w:pPr>
              <w:keepNext w:val="0"/>
              <w:keepLines w:val="0"/>
              <w:pageBreakBefore w:val="0"/>
              <w:widowControl/>
              <w:suppressLineNumbers w:val="0"/>
              <w:kinsoku/>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default" w:ascii="Times New Roman" w:hAnsi="Times New Roman" w:eastAsia="宋体" w:cs="Segoe UI"/>
                <w:i w:val="0"/>
                <w:iCs w:val="0"/>
                <w:caps w:val="0"/>
                <w:color w:val="auto"/>
                <w:spacing w:val="0"/>
                <w:kern w:val="0"/>
                <w:sz w:val="21"/>
                <w:szCs w:val="24"/>
                <w:lang w:val="en-US" w:eastAsia="zh-CN" w:bidi="ar-SA"/>
              </w:rPr>
              <w:t>外购的皮革、网布等卷材首先进入裁切工序。采用裁断机、全自动震动刀切割机和激光切割机三种设备进行裁切作业。</w:t>
            </w:r>
          </w:p>
          <w:p w14:paraId="361841FE">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eastAsia" w:ascii="Times New Roman" w:hAnsi="Times New Roman" w:eastAsia="宋体" w:cs="Segoe UI"/>
                <w:i w:val="0"/>
                <w:iCs w:val="0"/>
                <w:caps w:val="0"/>
                <w:color w:val="auto"/>
                <w:spacing w:val="0"/>
                <w:kern w:val="0"/>
                <w:sz w:val="21"/>
                <w:szCs w:val="24"/>
                <w:lang w:val="en-US" w:eastAsia="zh-CN" w:bidi="ar-SA"/>
              </w:rPr>
            </w:pPr>
            <w:r>
              <w:rPr>
                <w:rFonts w:hint="eastAsia" w:ascii="Times New Roman" w:hAnsi="Times New Roman" w:eastAsia="宋体" w:cs="Segoe UI"/>
                <w:i w:val="0"/>
                <w:iCs w:val="0"/>
                <w:caps w:val="0"/>
                <w:color w:val="auto"/>
                <w:spacing w:val="0"/>
                <w:kern w:val="0"/>
                <w:sz w:val="21"/>
                <w:szCs w:val="24"/>
                <w:lang w:val="en-US" w:eastAsia="zh-CN" w:bidi="ar-SA"/>
              </w:rPr>
              <w:t>裁断机：通过机械冲压将叠放的布料裁切成鞋面所需的基础形状部件，适用于大批量生产。</w:t>
            </w:r>
          </w:p>
          <w:p w14:paraId="709488D0">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eastAsia" w:ascii="Times New Roman" w:hAnsi="Times New Roman" w:eastAsia="宋体" w:cs="Segoe UI"/>
                <w:i w:val="0"/>
                <w:iCs w:val="0"/>
                <w:caps w:val="0"/>
                <w:color w:val="auto"/>
                <w:spacing w:val="0"/>
                <w:kern w:val="0"/>
                <w:sz w:val="21"/>
                <w:szCs w:val="24"/>
                <w:lang w:val="en-US" w:eastAsia="zh-CN" w:bidi="ar-SA"/>
              </w:rPr>
            </w:pPr>
            <w:r>
              <w:rPr>
                <w:rFonts w:hint="eastAsia" w:ascii="Times New Roman" w:hAnsi="Times New Roman" w:eastAsia="宋体" w:cs="Segoe UI"/>
                <w:i w:val="0"/>
                <w:iCs w:val="0"/>
                <w:caps w:val="0"/>
                <w:color w:val="auto"/>
                <w:spacing w:val="0"/>
                <w:kern w:val="0"/>
                <w:sz w:val="21"/>
                <w:szCs w:val="24"/>
                <w:lang w:val="en-US" w:eastAsia="zh-CN" w:bidi="ar-SA"/>
              </w:rPr>
              <w:t>全自动震动刀切割机：通过电脑控制刀头高频振动进行精密切割，适用于小批量、多品种的裁切需求。</w:t>
            </w:r>
          </w:p>
          <w:p w14:paraId="258E568F">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eastAsia" w:ascii="Times New Roman" w:hAnsi="Times New Roman" w:eastAsia="宋体" w:cs="Segoe UI"/>
                <w:i w:val="0"/>
                <w:iCs w:val="0"/>
                <w:caps w:val="0"/>
                <w:color w:val="auto"/>
                <w:spacing w:val="0"/>
                <w:kern w:val="0"/>
                <w:sz w:val="21"/>
                <w:szCs w:val="24"/>
                <w:lang w:val="en-US" w:eastAsia="zh-CN" w:bidi="ar-SA"/>
              </w:rPr>
            </w:pPr>
            <w:r>
              <w:rPr>
                <w:rFonts w:hint="eastAsia" w:ascii="Times New Roman" w:hAnsi="Times New Roman" w:eastAsia="宋体" w:cs="Segoe UI"/>
                <w:i w:val="0"/>
                <w:iCs w:val="0"/>
                <w:caps w:val="0"/>
                <w:color w:val="auto"/>
                <w:spacing w:val="0"/>
                <w:kern w:val="0"/>
                <w:sz w:val="21"/>
                <w:szCs w:val="24"/>
                <w:lang w:val="en-US" w:eastAsia="zh-CN" w:bidi="ar-SA"/>
              </w:rPr>
              <w:t>激光切割机：利用高能激光束对材料进行热切割，切割精度高、边缘光滑，适用于合成革、网布等材料的精细裁切。</w:t>
            </w:r>
          </w:p>
          <w:p w14:paraId="4C0FB5C4">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auto"/>
              <w:ind w:left="0" w:leftChars="0" w:right="0" w:rightChars="0" w:firstLine="422" w:firstLineChars="200"/>
              <w:jc w:val="left"/>
              <w:textAlignment w:val="auto"/>
              <w:rPr>
                <w:rFonts w:hint="eastAsia" w:ascii="Times New Roman" w:hAnsi="Times New Roman" w:eastAsia="宋体" w:cs="Segoe UI"/>
                <w:i w:val="0"/>
                <w:iCs w:val="0"/>
                <w:caps w:val="0"/>
                <w:color w:val="auto"/>
                <w:spacing w:val="0"/>
                <w:kern w:val="0"/>
                <w:sz w:val="21"/>
                <w:szCs w:val="24"/>
                <w:lang w:val="en-US" w:eastAsia="zh-CN" w:bidi="ar-SA"/>
              </w:rPr>
            </w:pPr>
            <w:r>
              <w:rPr>
                <w:rFonts w:hint="eastAsia" w:ascii="Times New Roman" w:hAnsi="Times New Roman" w:eastAsia="宋体" w:cs="Segoe UI"/>
                <w:b/>
                <w:bCs/>
                <w:i w:val="0"/>
                <w:iCs w:val="0"/>
                <w:caps w:val="0"/>
                <w:color w:val="0F1115"/>
                <w:spacing w:val="0"/>
                <w:sz w:val="21"/>
                <w:szCs w:val="24"/>
                <w:shd w:val="clear" w:fill="FFFFFF"/>
                <w:lang w:val="en-US" w:eastAsia="zh-CN"/>
              </w:rPr>
              <w:t>以上工序</w:t>
            </w:r>
            <w:r>
              <w:rPr>
                <w:rFonts w:hint="default" w:ascii="Times New Roman" w:hAnsi="Times New Roman" w:eastAsia="宋体" w:cs="Segoe UI"/>
                <w:b/>
                <w:bCs/>
                <w:i w:val="0"/>
                <w:iCs w:val="0"/>
                <w:caps w:val="0"/>
                <w:color w:val="0F1115"/>
                <w:spacing w:val="0"/>
                <w:sz w:val="21"/>
                <w:szCs w:val="24"/>
                <w:shd w:val="clear" w:fill="FFFFFF"/>
              </w:rPr>
              <w:t>年工作时间为2400h</w:t>
            </w:r>
            <w:r>
              <w:rPr>
                <w:rFonts w:hint="eastAsia" w:ascii="Times New Roman" w:hAnsi="Times New Roman" w:eastAsia="宋体" w:cs="Segoe UI"/>
                <w:i w:val="0"/>
                <w:iCs w:val="0"/>
                <w:caps w:val="0"/>
                <w:color w:val="0F1115"/>
                <w:spacing w:val="0"/>
                <w:sz w:val="21"/>
                <w:szCs w:val="24"/>
                <w:shd w:val="clear" w:fill="FFFFFF"/>
                <w:lang w:eastAsia="zh-CN"/>
              </w:rPr>
              <w:t>，</w:t>
            </w:r>
            <w:r>
              <w:rPr>
                <w:rFonts w:hint="eastAsia" w:ascii="Times New Roman" w:hAnsi="Times New Roman" w:eastAsia="宋体" w:cs="Segoe UI"/>
                <w:i w:val="0"/>
                <w:iCs w:val="0"/>
                <w:caps w:val="0"/>
                <w:color w:val="0F1115"/>
                <w:spacing w:val="0"/>
                <w:sz w:val="21"/>
                <w:szCs w:val="24"/>
                <w:shd w:val="clear" w:fill="FFFFFF"/>
                <w:lang w:val="en-US" w:eastAsia="zh-CN"/>
              </w:rPr>
              <w:t>主要</w:t>
            </w:r>
            <w:r>
              <w:rPr>
                <w:rFonts w:hint="eastAsia" w:ascii="Times New Roman" w:hAnsi="Times New Roman" w:eastAsia="宋体" w:cs="Segoe UI"/>
                <w:i w:val="0"/>
                <w:iCs w:val="0"/>
                <w:caps w:val="0"/>
                <w:color w:val="auto"/>
                <w:spacing w:val="0"/>
                <w:kern w:val="0"/>
                <w:sz w:val="21"/>
                <w:szCs w:val="24"/>
                <w:lang w:val="en-US" w:eastAsia="zh-CN" w:bidi="ar-SA"/>
              </w:rPr>
              <w:t>产生边角料（一般工业固体废物）；设备运行产生噪声；激光切割产生少量烟尘（颗粒物）和异味（臭气浓度）。</w:t>
            </w:r>
          </w:p>
          <w:p w14:paraId="09C800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2" w:firstLineChars="200"/>
              <w:jc w:val="both"/>
              <w:textAlignment w:val="auto"/>
              <w:outlineLvl w:val="3"/>
              <w:rPr>
                <w:rFonts w:hint="default" w:ascii="Times New Roman" w:hAnsi="Times New Roman" w:eastAsia="宋体" w:cs="Segoe UI"/>
                <w:b/>
                <w:bCs/>
                <w:i w:val="0"/>
                <w:iCs w:val="0"/>
                <w:caps w:val="0"/>
                <w:color w:val="auto"/>
                <w:spacing w:val="0"/>
                <w:kern w:val="2"/>
                <w:sz w:val="21"/>
                <w:szCs w:val="24"/>
                <w:lang w:val="en-US" w:eastAsia="zh-CN" w:bidi="ar-SA"/>
              </w:rPr>
            </w:pPr>
            <w:r>
              <w:rPr>
                <w:rFonts w:hint="default" w:ascii="Times New Roman" w:hAnsi="Times New Roman" w:eastAsia="宋体" w:cs="Segoe UI"/>
                <w:b/>
                <w:bCs/>
                <w:i w:val="0"/>
                <w:iCs w:val="0"/>
                <w:caps w:val="0"/>
                <w:color w:val="auto"/>
                <w:spacing w:val="0"/>
                <w:kern w:val="2"/>
                <w:sz w:val="21"/>
                <w:szCs w:val="24"/>
                <w:lang w:val="en-US" w:eastAsia="zh-CN" w:bidi="ar-SA"/>
              </w:rPr>
              <w:t>2.UV打印（同步进行打转印纸/热转印/印花）</w:t>
            </w:r>
          </w:p>
          <w:p w14:paraId="01FC1FB9">
            <w:pPr>
              <w:keepNext w:val="0"/>
              <w:keepLines w:val="0"/>
              <w:pageBreakBefore w:val="0"/>
              <w:widowControl/>
              <w:suppressLineNumbers w:val="0"/>
              <w:kinsoku/>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default" w:ascii="Times New Roman" w:hAnsi="Times New Roman" w:eastAsia="宋体" w:cs="Segoe UI"/>
                <w:i w:val="0"/>
                <w:iCs w:val="0"/>
                <w:caps w:val="0"/>
                <w:color w:val="auto"/>
                <w:spacing w:val="0"/>
                <w:kern w:val="0"/>
                <w:sz w:val="21"/>
                <w:szCs w:val="24"/>
                <w:lang w:val="en-US" w:eastAsia="zh-CN" w:bidi="ar-SA"/>
              </w:rPr>
              <w:t>裁切完成后，根据产品设计需求，对鞋面裁片进行图案印刷和装饰加工。</w:t>
            </w:r>
          </w:p>
          <w:p w14:paraId="2D767BA5">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eastAsia" w:ascii="Times New Roman" w:hAnsi="Times New Roman" w:eastAsia="宋体" w:cs="Segoe UI"/>
                <w:i w:val="0"/>
                <w:iCs w:val="0"/>
                <w:caps w:val="0"/>
                <w:color w:val="auto"/>
                <w:spacing w:val="0"/>
                <w:kern w:val="0"/>
                <w:sz w:val="21"/>
                <w:szCs w:val="24"/>
                <w:lang w:val="en-US" w:eastAsia="zh-CN" w:bidi="ar-SA"/>
              </w:rPr>
            </w:pPr>
            <w:r>
              <w:rPr>
                <w:rFonts w:hint="eastAsia" w:ascii="Times New Roman" w:hAnsi="Times New Roman" w:eastAsia="宋体" w:cs="Segoe UI"/>
                <w:i w:val="0"/>
                <w:iCs w:val="0"/>
                <w:caps w:val="0"/>
                <w:color w:val="auto"/>
                <w:spacing w:val="0"/>
                <w:kern w:val="0"/>
                <w:sz w:val="21"/>
                <w:szCs w:val="24"/>
                <w:lang w:val="en-US" w:eastAsia="zh-CN" w:bidi="ar-SA"/>
              </w:rPr>
              <w:t>UV打印：将UV油墨直接喷印在鞋面裁片表面，经UV灯照射瞬间固化。适用于个性化定制、图案复杂的彩色印花。</w:t>
            </w:r>
          </w:p>
          <w:p w14:paraId="7AF87506">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eastAsia" w:ascii="Times New Roman" w:hAnsi="Times New Roman" w:eastAsia="宋体" w:cs="Segoe UI"/>
                <w:i w:val="0"/>
                <w:iCs w:val="0"/>
                <w:caps w:val="0"/>
                <w:color w:val="auto"/>
                <w:spacing w:val="0"/>
                <w:kern w:val="0"/>
                <w:sz w:val="21"/>
                <w:szCs w:val="24"/>
                <w:lang w:val="en-US" w:eastAsia="zh-CN" w:bidi="ar-SA"/>
              </w:rPr>
            </w:pPr>
            <w:r>
              <w:rPr>
                <w:rFonts w:hint="eastAsia" w:ascii="Times New Roman" w:hAnsi="Times New Roman" w:eastAsia="宋体" w:cs="Segoe UI"/>
                <w:i w:val="0"/>
                <w:iCs w:val="0"/>
                <w:caps w:val="0"/>
                <w:color w:val="auto"/>
                <w:spacing w:val="0"/>
                <w:kern w:val="0"/>
                <w:sz w:val="21"/>
                <w:szCs w:val="24"/>
                <w:lang w:val="en-US" w:eastAsia="zh-CN" w:bidi="ar-SA"/>
              </w:rPr>
              <w:t>打转印纸/热转印：先用打转印纸机将图案打印在转印纸上，再通过加热加压（约120℃）将图案转印到鞋面裁片表面。</w:t>
            </w:r>
          </w:p>
          <w:p w14:paraId="4792F80E">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eastAsia" w:ascii="Times New Roman" w:hAnsi="Times New Roman" w:eastAsia="宋体" w:cs="Segoe UI"/>
                <w:i w:val="0"/>
                <w:iCs w:val="0"/>
                <w:caps w:val="0"/>
                <w:color w:val="auto"/>
                <w:spacing w:val="0"/>
                <w:kern w:val="0"/>
                <w:sz w:val="21"/>
                <w:szCs w:val="24"/>
                <w:lang w:val="en-US" w:eastAsia="zh-CN" w:bidi="ar-SA"/>
              </w:rPr>
            </w:pPr>
            <w:r>
              <w:rPr>
                <w:rFonts w:hint="eastAsia" w:ascii="Times New Roman" w:hAnsi="Times New Roman" w:eastAsia="宋体" w:cs="Segoe UI"/>
                <w:i w:val="0"/>
                <w:iCs w:val="0"/>
                <w:caps w:val="0"/>
                <w:color w:val="auto"/>
                <w:spacing w:val="0"/>
                <w:kern w:val="0"/>
                <w:sz w:val="21"/>
                <w:szCs w:val="24"/>
                <w:lang w:val="en-US" w:eastAsia="zh-CN" w:bidi="ar-SA"/>
              </w:rPr>
              <w:t>印花：通过丝网印花方式在鞋面裁片上批量印刷图案，适用于大批量同款同色图案。</w:t>
            </w:r>
          </w:p>
          <w:p w14:paraId="6C0CA3B6">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eastAsia" w:ascii="Times New Roman" w:hAnsi="Times New Roman" w:eastAsia="宋体" w:cs="Segoe UI"/>
                <w:i w:val="0"/>
                <w:iCs w:val="0"/>
                <w:caps w:val="0"/>
                <w:color w:val="auto"/>
                <w:spacing w:val="0"/>
                <w:kern w:val="0"/>
                <w:sz w:val="21"/>
                <w:szCs w:val="24"/>
                <w:lang w:val="en-US" w:eastAsia="zh-CN" w:bidi="ar-SA"/>
              </w:rPr>
            </w:pPr>
            <w:r>
              <w:rPr>
                <w:rFonts w:hint="eastAsia" w:ascii="Times New Roman" w:hAnsi="Times New Roman" w:eastAsia="宋体" w:cs="Segoe UI"/>
                <w:b w:val="0"/>
                <w:bCs w:val="0"/>
                <w:i w:val="0"/>
                <w:iCs w:val="0"/>
                <w:caps w:val="0"/>
                <w:color w:val="0F1115"/>
                <w:spacing w:val="0"/>
                <w:sz w:val="21"/>
                <w:szCs w:val="24"/>
                <w:shd w:val="clear" w:fill="FFFFFF"/>
                <w:lang w:val="en-US" w:eastAsia="zh-CN"/>
              </w:rPr>
              <w:t>以上工序</w:t>
            </w:r>
            <w:r>
              <w:rPr>
                <w:rFonts w:hint="default" w:ascii="Times New Roman" w:hAnsi="Times New Roman" w:eastAsia="宋体" w:cs="Segoe UI"/>
                <w:b w:val="0"/>
                <w:bCs w:val="0"/>
                <w:i w:val="0"/>
                <w:iCs w:val="0"/>
                <w:caps w:val="0"/>
                <w:color w:val="0F1115"/>
                <w:spacing w:val="0"/>
                <w:sz w:val="21"/>
                <w:szCs w:val="24"/>
                <w:shd w:val="clear" w:fill="FFFFFF"/>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eastAsia="zh-CN"/>
              </w:rPr>
              <w:t>，</w:t>
            </w:r>
            <w:r>
              <w:rPr>
                <w:rFonts w:hint="eastAsia" w:ascii="Times New Roman" w:hAnsi="Times New Roman" w:eastAsia="宋体" w:cs="Segoe UI"/>
                <w:i w:val="0"/>
                <w:iCs w:val="0"/>
                <w:caps w:val="0"/>
                <w:color w:val="auto"/>
                <w:spacing w:val="0"/>
                <w:kern w:val="0"/>
                <w:sz w:val="21"/>
                <w:szCs w:val="24"/>
                <w:lang w:val="en-US" w:eastAsia="zh-CN" w:bidi="ar-SA"/>
              </w:rPr>
              <w:t>UV打印、印花过程产生有机废气（非甲烷总烃、总VOCs）和臭气浓度；热转印过程产生少量有机废气（非甲烷总烃）；产生废油墨桶（危险废物）；设备运行产生噪声。</w:t>
            </w:r>
          </w:p>
          <w:p w14:paraId="6B9656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2" w:firstLineChars="200"/>
              <w:jc w:val="both"/>
              <w:textAlignment w:val="auto"/>
              <w:outlineLvl w:val="3"/>
              <w:rPr>
                <w:rFonts w:hint="default" w:ascii="Times New Roman" w:hAnsi="Times New Roman" w:eastAsia="宋体" w:cs="Segoe UI"/>
                <w:b/>
                <w:bCs/>
                <w:i w:val="0"/>
                <w:iCs w:val="0"/>
                <w:caps w:val="0"/>
                <w:color w:val="auto"/>
                <w:spacing w:val="0"/>
                <w:kern w:val="2"/>
                <w:sz w:val="21"/>
                <w:szCs w:val="24"/>
                <w:lang w:val="en-US" w:eastAsia="zh-CN" w:bidi="ar-SA"/>
              </w:rPr>
            </w:pPr>
            <w:r>
              <w:rPr>
                <w:rFonts w:hint="default" w:ascii="Times New Roman" w:hAnsi="Times New Roman" w:eastAsia="宋体" w:cs="Segoe UI"/>
                <w:b/>
                <w:bCs/>
                <w:i w:val="0"/>
                <w:iCs w:val="0"/>
                <w:caps w:val="0"/>
                <w:color w:val="auto"/>
                <w:spacing w:val="0"/>
                <w:kern w:val="2"/>
                <w:sz w:val="21"/>
                <w:szCs w:val="24"/>
                <w:lang w:val="en-US" w:eastAsia="zh-CN" w:bidi="ar-SA"/>
              </w:rPr>
              <w:t>3.熔断</w:t>
            </w:r>
          </w:p>
          <w:p w14:paraId="6535F2BA">
            <w:pPr>
              <w:keepNext w:val="0"/>
              <w:keepLines w:val="0"/>
              <w:pageBreakBefore w:val="0"/>
              <w:widowControl/>
              <w:suppressLineNumbers w:val="0"/>
              <w:kinsoku/>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default" w:ascii="Times New Roman" w:hAnsi="Times New Roman" w:eastAsia="宋体" w:cs="Segoe UI"/>
                <w:i w:val="0"/>
                <w:iCs w:val="0"/>
                <w:caps w:val="0"/>
                <w:color w:val="auto"/>
                <w:spacing w:val="0"/>
                <w:kern w:val="0"/>
                <w:sz w:val="21"/>
                <w:szCs w:val="24"/>
                <w:lang w:val="en-US" w:eastAsia="zh-CN" w:bidi="ar-SA"/>
              </w:rPr>
              <w:t>采用熔断机对鞋面裁片边缘进行高频熔融切断处理。利用高频电磁场使裁片边缘材料内部极性分子振动摩擦产生热量，瞬间将裁片边缘熔融封边，使裁切边缘自然熔合形成光滑封边，无需缝线即可防止材料散边起毛。既可对裁片边缘进行封边处理，也可对裁片进行分片裁切，工作温度约120~150℃。</w:t>
            </w:r>
          </w:p>
          <w:p w14:paraId="0B036303">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eastAsia" w:ascii="Times New Roman" w:hAnsi="Times New Roman" w:eastAsia="宋体" w:cs="Segoe UI"/>
                <w:i w:val="0"/>
                <w:iCs w:val="0"/>
                <w:caps w:val="0"/>
                <w:color w:val="auto"/>
                <w:spacing w:val="0"/>
                <w:kern w:val="0"/>
                <w:sz w:val="21"/>
                <w:szCs w:val="24"/>
                <w:lang w:val="en-US" w:eastAsia="zh-CN" w:bidi="ar-SA"/>
              </w:rPr>
            </w:pPr>
            <w:r>
              <w:rPr>
                <w:rFonts w:hint="eastAsia" w:ascii="Times New Roman" w:hAnsi="Times New Roman" w:eastAsia="宋体" w:cs="Segoe UI"/>
                <w:b w:val="0"/>
                <w:bCs w:val="0"/>
                <w:i w:val="0"/>
                <w:iCs w:val="0"/>
                <w:caps w:val="0"/>
                <w:color w:val="0F1115"/>
                <w:spacing w:val="0"/>
                <w:sz w:val="21"/>
                <w:szCs w:val="24"/>
                <w:shd w:val="clear" w:fill="FFFFFF"/>
                <w:lang w:val="en-US" w:eastAsia="zh-CN"/>
              </w:rPr>
              <w:t>此工序</w:t>
            </w:r>
            <w:r>
              <w:rPr>
                <w:rFonts w:hint="default" w:ascii="Times New Roman" w:hAnsi="Times New Roman" w:eastAsia="宋体" w:cs="Segoe UI"/>
                <w:b w:val="0"/>
                <w:bCs w:val="0"/>
                <w:i w:val="0"/>
                <w:iCs w:val="0"/>
                <w:caps w:val="0"/>
                <w:color w:val="0F1115"/>
                <w:spacing w:val="0"/>
                <w:sz w:val="21"/>
                <w:szCs w:val="24"/>
                <w:shd w:val="clear" w:fill="FFFFFF"/>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eastAsia="zh-CN"/>
              </w:rPr>
              <w:t>，</w:t>
            </w:r>
            <w:r>
              <w:rPr>
                <w:rFonts w:hint="eastAsia" w:ascii="Times New Roman" w:hAnsi="Times New Roman" w:eastAsia="宋体" w:cs="Segoe UI"/>
                <w:i w:val="0"/>
                <w:iCs w:val="0"/>
                <w:caps w:val="0"/>
                <w:color w:val="auto"/>
                <w:spacing w:val="0"/>
                <w:kern w:val="0"/>
                <w:sz w:val="21"/>
                <w:szCs w:val="24"/>
                <w:lang w:val="en-US" w:eastAsia="zh-CN" w:bidi="ar-SA"/>
              </w:rPr>
              <w:t>鞋面材料受热熔融产生少量有机废气（以非甲烷总烃表征）；设备运行产生噪声。</w:t>
            </w:r>
          </w:p>
          <w:p w14:paraId="337328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2" w:firstLineChars="200"/>
              <w:jc w:val="both"/>
              <w:textAlignment w:val="auto"/>
              <w:outlineLvl w:val="3"/>
              <w:rPr>
                <w:rFonts w:hint="default" w:ascii="Times New Roman" w:hAnsi="Times New Roman" w:eastAsia="宋体" w:cs="Segoe UI"/>
                <w:b/>
                <w:bCs/>
                <w:i w:val="0"/>
                <w:iCs w:val="0"/>
                <w:caps w:val="0"/>
                <w:color w:val="auto"/>
                <w:spacing w:val="0"/>
                <w:kern w:val="2"/>
                <w:sz w:val="21"/>
                <w:szCs w:val="24"/>
                <w:lang w:val="en-US" w:eastAsia="zh-CN" w:bidi="ar-SA"/>
              </w:rPr>
            </w:pPr>
            <w:r>
              <w:rPr>
                <w:rFonts w:hint="default" w:ascii="Times New Roman" w:hAnsi="Times New Roman" w:eastAsia="宋体" w:cs="Segoe UI"/>
                <w:b/>
                <w:bCs/>
                <w:i w:val="0"/>
                <w:iCs w:val="0"/>
                <w:caps w:val="0"/>
                <w:color w:val="auto"/>
                <w:spacing w:val="0"/>
                <w:kern w:val="2"/>
                <w:sz w:val="21"/>
                <w:szCs w:val="24"/>
                <w:lang w:val="en-US" w:eastAsia="zh-CN" w:bidi="ar-SA"/>
              </w:rPr>
              <w:t>4.高周波（高频）</w:t>
            </w:r>
          </w:p>
          <w:p w14:paraId="0F265F3C">
            <w:pPr>
              <w:keepNext w:val="0"/>
              <w:keepLines w:val="0"/>
              <w:pageBreakBefore w:val="0"/>
              <w:widowControl/>
              <w:suppressLineNumbers w:val="0"/>
              <w:kinsoku/>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default" w:ascii="Times New Roman" w:hAnsi="Times New Roman" w:eastAsia="宋体" w:cs="Segoe UI"/>
                <w:i w:val="0"/>
                <w:iCs w:val="0"/>
                <w:caps w:val="0"/>
                <w:color w:val="auto"/>
                <w:spacing w:val="0"/>
                <w:kern w:val="0"/>
                <w:sz w:val="21"/>
                <w:szCs w:val="24"/>
                <w:lang w:val="en-US" w:eastAsia="zh-CN" w:bidi="ar-SA"/>
              </w:rPr>
              <w:t>采用高周波机，利用高频电磁场使塑料或合成革材料内部极性分子高速振动摩擦生热，将鞋面图案配件（LOGO标、装饰片等）固定在鞋面指定位置。不涉及使用胶粘剂。</w:t>
            </w:r>
          </w:p>
          <w:p w14:paraId="6FC5A7CE">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eastAsia" w:ascii="Times New Roman" w:hAnsi="Times New Roman" w:eastAsia="宋体" w:cs="Segoe UI"/>
                <w:i w:val="0"/>
                <w:iCs w:val="0"/>
                <w:caps w:val="0"/>
                <w:color w:val="auto"/>
                <w:spacing w:val="0"/>
                <w:kern w:val="0"/>
                <w:sz w:val="21"/>
                <w:szCs w:val="24"/>
                <w:lang w:val="en-US" w:eastAsia="zh-CN" w:bidi="ar-SA"/>
              </w:rPr>
            </w:pPr>
            <w:r>
              <w:rPr>
                <w:rFonts w:hint="eastAsia" w:ascii="Times New Roman" w:hAnsi="Times New Roman" w:eastAsia="宋体" w:cs="Segoe UI"/>
                <w:b w:val="0"/>
                <w:bCs w:val="0"/>
                <w:i w:val="0"/>
                <w:iCs w:val="0"/>
                <w:caps w:val="0"/>
                <w:color w:val="0F1115"/>
                <w:spacing w:val="0"/>
                <w:sz w:val="21"/>
                <w:szCs w:val="24"/>
                <w:shd w:val="clear" w:fill="FFFFFF"/>
                <w:lang w:val="en-US" w:eastAsia="zh-CN"/>
              </w:rPr>
              <w:t>此工序</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val="en-US" w:eastAsia="zh-CN"/>
              </w:rPr>
              <w:t>，</w:t>
            </w:r>
            <w:r>
              <w:rPr>
                <w:rFonts w:hint="eastAsia" w:ascii="Times New Roman" w:hAnsi="Times New Roman" w:eastAsia="宋体" w:cs="Segoe UI"/>
                <w:i w:val="0"/>
                <w:iCs w:val="0"/>
                <w:caps w:val="0"/>
                <w:color w:val="auto"/>
                <w:spacing w:val="0"/>
                <w:kern w:val="0"/>
                <w:sz w:val="21"/>
                <w:szCs w:val="24"/>
                <w:lang w:val="en-US" w:eastAsia="zh-CN" w:bidi="ar-SA"/>
              </w:rPr>
              <w:t>图案配件和鞋面材料受热软化产生少量有机废气（以非甲烷总烃表征）和臭气浓度；设备运行产生噪声。</w:t>
            </w:r>
          </w:p>
          <w:p w14:paraId="025BBE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2" w:firstLineChars="200"/>
              <w:jc w:val="both"/>
              <w:textAlignment w:val="auto"/>
              <w:outlineLvl w:val="3"/>
              <w:rPr>
                <w:rFonts w:hint="default" w:ascii="Times New Roman" w:hAnsi="Times New Roman" w:eastAsia="宋体" w:cs="Segoe UI"/>
                <w:b/>
                <w:bCs/>
                <w:i w:val="0"/>
                <w:iCs w:val="0"/>
                <w:caps w:val="0"/>
                <w:color w:val="auto"/>
                <w:spacing w:val="0"/>
                <w:kern w:val="2"/>
                <w:sz w:val="21"/>
                <w:szCs w:val="24"/>
                <w:lang w:val="en-US" w:eastAsia="zh-CN" w:bidi="ar-SA"/>
              </w:rPr>
            </w:pPr>
            <w:r>
              <w:rPr>
                <w:rFonts w:hint="default" w:ascii="Times New Roman" w:hAnsi="Times New Roman" w:eastAsia="宋体" w:cs="Segoe UI"/>
                <w:b/>
                <w:bCs/>
                <w:i w:val="0"/>
                <w:iCs w:val="0"/>
                <w:caps w:val="0"/>
                <w:color w:val="auto"/>
                <w:spacing w:val="0"/>
                <w:kern w:val="2"/>
                <w:sz w:val="21"/>
                <w:szCs w:val="24"/>
                <w:lang w:val="en-US" w:eastAsia="zh-CN" w:bidi="ar-SA"/>
              </w:rPr>
              <w:t>5.削皮</w:t>
            </w:r>
          </w:p>
          <w:p w14:paraId="72BA0A97">
            <w:pPr>
              <w:keepNext w:val="0"/>
              <w:keepLines w:val="0"/>
              <w:pageBreakBefore w:val="0"/>
              <w:widowControl/>
              <w:suppressLineNumbers w:val="0"/>
              <w:kinsoku/>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default" w:ascii="Times New Roman" w:hAnsi="Times New Roman" w:eastAsia="宋体" w:cs="Segoe UI"/>
                <w:i w:val="0"/>
                <w:iCs w:val="0"/>
                <w:caps w:val="0"/>
                <w:color w:val="auto"/>
                <w:spacing w:val="0"/>
                <w:kern w:val="0"/>
                <w:sz w:val="21"/>
                <w:szCs w:val="24"/>
                <w:lang w:val="en-US" w:eastAsia="zh-CN" w:bidi="ar-SA"/>
              </w:rPr>
              <w:t>采用削皮机对鞋面裁片边缘进行削薄处理，将接缝处的材料厚度削薄至原来的一半左右，使缝纫后的接缝平整美观，减少穿着时接缝处对脚部的摩擦。削皮过程为物理切削。</w:t>
            </w:r>
          </w:p>
          <w:p w14:paraId="55C9D4C8">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eastAsia" w:ascii="Times New Roman" w:hAnsi="Times New Roman" w:eastAsia="宋体" w:cs="Segoe UI"/>
                <w:i w:val="0"/>
                <w:iCs w:val="0"/>
                <w:caps w:val="0"/>
                <w:color w:val="auto"/>
                <w:spacing w:val="0"/>
                <w:kern w:val="0"/>
                <w:sz w:val="21"/>
                <w:szCs w:val="24"/>
                <w:lang w:val="en-US" w:eastAsia="zh-CN" w:bidi="ar-SA"/>
              </w:rPr>
            </w:pPr>
            <w:r>
              <w:rPr>
                <w:rFonts w:hint="eastAsia" w:ascii="Times New Roman" w:hAnsi="Times New Roman" w:eastAsia="宋体" w:cs="Segoe UI"/>
                <w:b w:val="0"/>
                <w:bCs w:val="0"/>
                <w:i w:val="0"/>
                <w:iCs w:val="0"/>
                <w:caps w:val="0"/>
                <w:color w:val="0F1115"/>
                <w:spacing w:val="0"/>
                <w:sz w:val="21"/>
                <w:szCs w:val="24"/>
                <w:shd w:val="clear" w:fill="FFFFFF"/>
                <w:lang w:val="en-US" w:eastAsia="zh-CN"/>
              </w:rPr>
              <w:t>此工序</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val="en-US" w:eastAsia="zh-CN"/>
              </w:rPr>
              <w:t>，</w:t>
            </w:r>
            <w:r>
              <w:rPr>
                <w:rFonts w:hint="eastAsia" w:ascii="Times New Roman" w:hAnsi="Times New Roman" w:eastAsia="宋体" w:cs="Segoe UI"/>
                <w:i w:val="0"/>
                <w:iCs w:val="0"/>
                <w:caps w:val="0"/>
                <w:color w:val="auto"/>
                <w:spacing w:val="0"/>
                <w:kern w:val="0"/>
                <w:sz w:val="21"/>
                <w:szCs w:val="24"/>
                <w:lang w:val="en-US" w:eastAsia="zh-CN" w:bidi="ar-SA"/>
              </w:rPr>
              <w:t>产生皮革/布料边角料（一般工业固体废物）；设备运行产生噪声。</w:t>
            </w:r>
          </w:p>
          <w:p w14:paraId="79101D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2" w:firstLineChars="200"/>
              <w:jc w:val="both"/>
              <w:textAlignment w:val="auto"/>
              <w:outlineLvl w:val="3"/>
              <w:rPr>
                <w:rFonts w:hint="default" w:ascii="Times New Roman" w:hAnsi="Times New Roman" w:eastAsia="宋体" w:cs="Segoe UI"/>
                <w:b/>
                <w:bCs/>
                <w:i w:val="0"/>
                <w:iCs w:val="0"/>
                <w:caps w:val="0"/>
                <w:color w:val="auto"/>
                <w:spacing w:val="0"/>
                <w:kern w:val="2"/>
                <w:sz w:val="21"/>
                <w:szCs w:val="24"/>
                <w:lang w:val="en-US" w:eastAsia="zh-CN" w:bidi="ar-SA"/>
              </w:rPr>
            </w:pPr>
            <w:r>
              <w:rPr>
                <w:rFonts w:hint="default" w:ascii="Times New Roman" w:hAnsi="Times New Roman" w:eastAsia="宋体" w:cs="Segoe UI"/>
                <w:b/>
                <w:bCs/>
                <w:i w:val="0"/>
                <w:iCs w:val="0"/>
                <w:caps w:val="0"/>
                <w:color w:val="auto"/>
                <w:spacing w:val="0"/>
                <w:kern w:val="2"/>
                <w:sz w:val="21"/>
                <w:szCs w:val="24"/>
                <w:lang w:val="en-US" w:eastAsia="zh-CN" w:bidi="ar-SA"/>
              </w:rPr>
              <w:t>6.针车（缝纫）</w:t>
            </w:r>
          </w:p>
          <w:p w14:paraId="23946871">
            <w:pPr>
              <w:keepNext w:val="0"/>
              <w:keepLines w:val="0"/>
              <w:pageBreakBefore w:val="0"/>
              <w:widowControl/>
              <w:suppressLineNumbers w:val="0"/>
              <w:kinsoku/>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default" w:ascii="Times New Roman" w:hAnsi="Times New Roman" w:eastAsia="宋体" w:cs="Segoe UI"/>
                <w:i w:val="0"/>
                <w:iCs w:val="0"/>
                <w:caps w:val="0"/>
                <w:color w:val="auto"/>
                <w:spacing w:val="0"/>
                <w:kern w:val="0"/>
                <w:sz w:val="21"/>
                <w:szCs w:val="24"/>
                <w:lang w:val="en-US" w:eastAsia="zh-CN" w:bidi="ar-SA"/>
              </w:rPr>
              <w:t>采用自动剪线针车、自动花样机、包边车、四针六线机、人字车等设备，将经过裁切、印刷装饰、削皮、熔断、高周波等处理后的各鞋面部件进行拼接缝合。</w:t>
            </w:r>
          </w:p>
          <w:p w14:paraId="18069D7E">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eastAsia" w:ascii="Times New Roman" w:hAnsi="Times New Roman" w:eastAsia="宋体" w:cs="Segoe UI"/>
                <w:i w:val="0"/>
                <w:iCs w:val="0"/>
                <w:caps w:val="0"/>
                <w:color w:val="auto"/>
                <w:spacing w:val="0"/>
                <w:kern w:val="0"/>
                <w:sz w:val="21"/>
                <w:szCs w:val="24"/>
                <w:lang w:val="en-US" w:eastAsia="zh-CN" w:bidi="ar-SA"/>
              </w:rPr>
            </w:pPr>
            <w:r>
              <w:rPr>
                <w:rFonts w:hint="eastAsia" w:ascii="Times New Roman" w:hAnsi="Times New Roman" w:eastAsia="宋体" w:cs="Segoe UI"/>
                <w:b w:val="0"/>
                <w:bCs w:val="0"/>
                <w:i w:val="0"/>
                <w:iCs w:val="0"/>
                <w:caps w:val="0"/>
                <w:color w:val="0F1115"/>
                <w:spacing w:val="0"/>
                <w:sz w:val="21"/>
                <w:szCs w:val="24"/>
                <w:shd w:val="clear" w:fill="FFFFFF"/>
                <w:lang w:val="en-US" w:eastAsia="zh-CN"/>
              </w:rPr>
              <w:t>此工序</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val="en-US" w:eastAsia="zh-CN"/>
              </w:rPr>
              <w:t>，</w:t>
            </w:r>
            <w:r>
              <w:rPr>
                <w:rFonts w:hint="eastAsia" w:ascii="Times New Roman" w:hAnsi="Times New Roman" w:eastAsia="宋体" w:cs="Segoe UI"/>
                <w:i w:val="0"/>
                <w:iCs w:val="0"/>
                <w:caps w:val="0"/>
                <w:color w:val="auto"/>
                <w:spacing w:val="0"/>
                <w:kern w:val="0"/>
                <w:sz w:val="21"/>
                <w:szCs w:val="24"/>
                <w:lang w:val="en-US" w:eastAsia="zh-CN" w:bidi="ar-SA"/>
              </w:rPr>
              <w:t>产生废线头（一般工业固体废物）；设备运行产生噪声。</w:t>
            </w:r>
          </w:p>
          <w:p w14:paraId="2FC92F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2" w:firstLineChars="200"/>
              <w:jc w:val="both"/>
              <w:textAlignment w:val="auto"/>
              <w:outlineLvl w:val="3"/>
              <w:rPr>
                <w:rFonts w:hint="default" w:ascii="Times New Roman" w:hAnsi="Times New Roman" w:eastAsia="宋体" w:cs="Segoe UI"/>
                <w:b/>
                <w:bCs/>
                <w:i w:val="0"/>
                <w:iCs w:val="0"/>
                <w:caps w:val="0"/>
                <w:color w:val="auto"/>
                <w:spacing w:val="0"/>
                <w:kern w:val="2"/>
                <w:sz w:val="21"/>
                <w:szCs w:val="24"/>
                <w:lang w:val="en-US" w:eastAsia="zh-CN" w:bidi="ar-SA"/>
              </w:rPr>
            </w:pPr>
            <w:r>
              <w:rPr>
                <w:rFonts w:hint="default" w:ascii="Times New Roman" w:hAnsi="Times New Roman" w:eastAsia="宋体" w:cs="Segoe UI"/>
                <w:b/>
                <w:bCs/>
                <w:i w:val="0"/>
                <w:iCs w:val="0"/>
                <w:caps w:val="0"/>
                <w:color w:val="auto"/>
                <w:spacing w:val="0"/>
                <w:kern w:val="2"/>
                <w:sz w:val="21"/>
                <w:szCs w:val="24"/>
                <w:lang w:val="en-US" w:eastAsia="zh-CN" w:bidi="ar-SA"/>
              </w:rPr>
              <w:t>7.辅助加工（冲孔、切织带、烫平）</w:t>
            </w:r>
          </w:p>
          <w:p w14:paraId="211E7224">
            <w:pPr>
              <w:keepNext w:val="0"/>
              <w:keepLines w:val="0"/>
              <w:pageBreakBefore w:val="0"/>
              <w:widowControl/>
              <w:suppressLineNumbers w:val="0"/>
              <w:kinsoku/>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default" w:ascii="Times New Roman" w:hAnsi="Times New Roman" w:eastAsia="宋体" w:cs="Segoe UI"/>
                <w:i w:val="0"/>
                <w:iCs w:val="0"/>
                <w:caps w:val="0"/>
                <w:color w:val="auto"/>
                <w:spacing w:val="0"/>
                <w:kern w:val="0"/>
                <w:sz w:val="21"/>
                <w:szCs w:val="24"/>
                <w:lang w:val="en-US" w:eastAsia="zh-CN" w:bidi="ar-SA"/>
              </w:rPr>
            </w:pPr>
            <w:r>
              <w:rPr>
                <w:rFonts w:hint="default" w:ascii="Times New Roman" w:hAnsi="Times New Roman" w:eastAsia="宋体" w:cs="Segoe UI"/>
                <w:i w:val="0"/>
                <w:iCs w:val="0"/>
                <w:caps w:val="0"/>
                <w:color w:val="auto"/>
                <w:spacing w:val="0"/>
                <w:kern w:val="0"/>
                <w:sz w:val="21"/>
                <w:szCs w:val="24"/>
                <w:lang w:val="en-US" w:eastAsia="zh-CN" w:bidi="ar-SA"/>
              </w:rPr>
              <w:t>冲孔（冲孔机）：在鞋面指定位置冲压出透气孔、鞋带孔等功能性孔洞</w:t>
            </w:r>
            <w:r>
              <w:rPr>
                <w:rFonts w:hint="eastAsia" w:cs="Segoe UI"/>
                <w:i w:val="0"/>
                <w:iCs w:val="0"/>
                <w:caps w:val="0"/>
                <w:color w:val="auto"/>
                <w:spacing w:val="0"/>
                <w:kern w:val="0"/>
                <w:sz w:val="21"/>
                <w:szCs w:val="24"/>
                <w:lang w:val="en-US" w:eastAsia="zh-CN" w:bidi="ar-SA"/>
              </w:rPr>
              <w:t>，</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val="en-US" w:eastAsia="zh-CN"/>
              </w:rPr>
              <w:t>，</w:t>
            </w:r>
            <w:r>
              <w:rPr>
                <w:rFonts w:hint="default" w:ascii="Times New Roman" w:hAnsi="Times New Roman" w:eastAsia="宋体" w:cs="Segoe UI"/>
                <w:i w:val="0"/>
                <w:iCs w:val="0"/>
                <w:caps w:val="0"/>
                <w:color w:val="auto"/>
                <w:spacing w:val="0"/>
                <w:kern w:val="0"/>
                <w:sz w:val="21"/>
                <w:szCs w:val="24"/>
                <w:lang w:val="en-US" w:eastAsia="zh-CN" w:bidi="ar-SA"/>
              </w:rPr>
              <w:t>产生边角料（一般工业固体废物）和噪声。</w:t>
            </w:r>
          </w:p>
          <w:p w14:paraId="5CD4AA81">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eastAsia" w:ascii="Times New Roman" w:hAnsi="Times New Roman" w:eastAsia="宋体" w:cs="Segoe UI"/>
                <w:i w:val="0"/>
                <w:iCs w:val="0"/>
                <w:caps w:val="0"/>
                <w:color w:val="auto"/>
                <w:spacing w:val="0"/>
                <w:kern w:val="0"/>
                <w:sz w:val="21"/>
                <w:szCs w:val="24"/>
                <w:lang w:val="en-US" w:eastAsia="zh-CN" w:bidi="ar-SA"/>
              </w:rPr>
            </w:pPr>
            <w:r>
              <w:rPr>
                <w:rFonts w:hint="eastAsia" w:ascii="Times New Roman" w:hAnsi="Times New Roman" w:eastAsia="宋体" w:cs="Segoe UI"/>
                <w:i w:val="0"/>
                <w:iCs w:val="0"/>
                <w:caps w:val="0"/>
                <w:color w:val="auto"/>
                <w:spacing w:val="0"/>
                <w:kern w:val="0"/>
                <w:sz w:val="21"/>
                <w:szCs w:val="24"/>
                <w:lang w:val="en-US" w:eastAsia="zh-CN" w:bidi="ar-SA"/>
              </w:rPr>
              <w:t>切织带（全自动切织带机、超声波织带裁切机）：将鞋带、织带等辅料裁切成指定长度</w:t>
            </w:r>
            <w:r>
              <w:rPr>
                <w:rFonts w:hint="eastAsia" w:cs="Segoe UI"/>
                <w:i w:val="0"/>
                <w:iCs w:val="0"/>
                <w:caps w:val="0"/>
                <w:color w:val="auto"/>
                <w:spacing w:val="0"/>
                <w:kern w:val="0"/>
                <w:sz w:val="21"/>
                <w:szCs w:val="24"/>
                <w:lang w:val="en-US" w:eastAsia="zh-CN" w:bidi="ar-SA"/>
              </w:rPr>
              <w:t>，</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val="en-US" w:eastAsia="zh-CN"/>
              </w:rPr>
              <w:t>，产生废织</w:t>
            </w:r>
            <w:r>
              <w:rPr>
                <w:rFonts w:hint="eastAsia" w:ascii="Times New Roman" w:hAnsi="Times New Roman" w:eastAsia="宋体" w:cs="Segoe UI"/>
                <w:i w:val="0"/>
                <w:iCs w:val="0"/>
                <w:caps w:val="0"/>
                <w:color w:val="auto"/>
                <w:spacing w:val="0"/>
                <w:kern w:val="0"/>
                <w:sz w:val="21"/>
                <w:szCs w:val="24"/>
                <w:lang w:val="en-US" w:eastAsia="zh-CN" w:bidi="ar-SA"/>
              </w:rPr>
              <w:t>带边角料（一般工业固体废物）和噪声。</w:t>
            </w:r>
          </w:p>
          <w:p w14:paraId="0D6708B8">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auto"/>
              <w:ind w:left="0" w:leftChars="0" w:right="0" w:rightChars="0" w:firstLine="420" w:firstLineChars="200"/>
              <w:jc w:val="left"/>
              <w:textAlignment w:val="auto"/>
              <w:rPr>
                <w:rFonts w:hint="eastAsia" w:ascii="Times New Roman" w:hAnsi="Times New Roman" w:eastAsia="宋体" w:cs="Segoe UI"/>
                <w:b w:val="0"/>
                <w:bCs w:val="0"/>
                <w:i w:val="0"/>
                <w:iCs w:val="0"/>
                <w:caps w:val="0"/>
                <w:color w:val="0F1115"/>
                <w:spacing w:val="0"/>
                <w:sz w:val="21"/>
                <w:szCs w:val="24"/>
                <w:shd w:val="clear" w:fill="FFFFFF"/>
                <w:lang w:val="en-US" w:eastAsia="zh-CN"/>
              </w:rPr>
            </w:pPr>
            <w:r>
              <w:rPr>
                <w:rFonts w:hint="eastAsia" w:ascii="Times New Roman" w:hAnsi="Times New Roman" w:eastAsia="宋体" w:cs="Segoe UI"/>
                <w:i w:val="0"/>
                <w:iCs w:val="0"/>
                <w:caps w:val="0"/>
                <w:color w:val="auto"/>
                <w:spacing w:val="0"/>
                <w:kern w:val="0"/>
                <w:sz w:val="21"/>
                <w:szCs w:val="24"/>
                <w:lang w:val="en-US" w:eastAsia="zh-CN" w:bidi="ar-SA"/>
              </w:rPr>
              <w:t>烫平（烫平机）：通过加热加压将布标（尺码标、洗水标、品牌标等）烫印在鞋面指定位置</w:t>
            </w:r>
            <w:r>
              <w:rPr>
                <w:rFonts w:hint="eastAsia" w:cs="Segoe UI"/>
                <w:i w:val="0"/>
                <w:iCs w:val="0"/>
                <w:caps w:val="0"/>
                <w:color w:val="auto"/>
                <w:spacing w:val="0"/>
                <w:kern w:val="0"/>
                <w:sz w:val="21"/>
                <w:szCs w:val="24"/>
                <w:lang w:val="en-US" w:eastAsia="zh-CN" w:bidi="ar-SA"/>
              </w:rPr>
              <w:t>，</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val="en-US" w:eastAsia="zh-CN"/>
              </w:rPr>
              <w:t>，产生少量有机废气（非甲烷总烃）和噪声。</w:t>
            </w:r>
          </w:p>
          <w:p w14:paraId="411AE0AB">
            <w:pPr>
              <w:pStyle w:val="5"/>
              <w:keepNext w:val="0"/>
              <w:keepLines w:val="0"/>
              <w:pageBreakBefore w:val="0"/>
              <w:widowControl/>
              <w:numPr>
                <w:ilvl w:val="0"/>
                <w:numId w:val="20"/>
              </w:numPr>
              <w:suppressLineNumbers w:val="0"/>
              <w:shd w:val="clear" w:fill="FFFFFF"/>
              <w:kinsoku/>
              <w:overflowPunct/>
              <w:topLinePunct w:val="0"/>
              <w:autoSpaceDE/>
              <w:autoSpaceDN/>
              <w:bidi w:val="0"/>
              <w:adjustRightInd/>
              <w:snapToGrid/>
              <w:spacing w:before="0" w:beforeAutospacing="0" w:after="0" w:afterAutospacing="0" w:line="360" w:lineRule="auto"/>
              <w:ind w:left="0" w:leftChars="0" w:right="0" w:rightChars="0" w:firstLine="422"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成型贴合</w:t>
            </w:r>
          </w:p>
          <w:p w14:paraId="4C922070">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eastAsia" w:ascii="Times New Roman" w:hAnsi="Times New Roman" w:cs="Segoe UI"/>
                <w:i w:val="0"/>
                <w:iCs w:val="0"/>
                <w:caps w:val="0"/>
                <w:color w:val="auto"/>
                <w:spacing w:val="0"/>
                <w:sz w:val="21"/>
                <w:szCs w:val="24"/>
                <w:shd w:val="clear" w:fill="FFFFFF"/>
                <w:lang w:val="en-US" w:eastAsia="zh-CN"/>
              </w:rPr>
            </w:pPr>
            <w:r>
              <w:rPr>
                <w:rFonts w:hint="default" w:ascii="Times New Roman" w:hAnsi="Times New Roman" w:eastAsia="宋体" w:cs="Segoe UI"/>
                <w:i w:val="0"/>
                <w:iCs w:val="0"/>
                <w:caps w:val="0"/>
                <w:color w:val="auto"/>
                <w:spacing w:val="0"/>
                <w:sz w:val="21"/>
                <w:szCs w:val="24"/>
                <w:shd w:val="clear" w:fill="FFFFFF"/>
              </w:rPr>
              <w:t>成型贴合在1#厂房4层和6层</w:t>
            </w:r>
            <w:r>
              <w:rPr>
                <w:rFonts w:hint="eastAsia" w:ascii="Times New Roman" w:hAnsi="Times New Roman" w:cs="Segoe UI"/>
                <w:i w:val="0"/>
                <w:iCs w:val="0"/>
                <w:caps w:val="0"/>
                <w:color w:val="auto"/>
                <w:spacing w:val="0"/>
                <w:sz w:val="21"/>
                <w:szCs w:val="24"/>
                <w:shd w:val="clear" w:fill="FFFFFF"/>
                <w:lang w:eastAsia="zh-CN"/>
              </w:rPr>
              <w:t>、</w:t>
            </w:r>
            <w:r>
              <w:rPr>
                <w:rFonts w:hint="eastAsia" w:ascii="Times New Roman" w:hAnsi="Times New Roman" w:cs="Segoe UI"/>
                <w:i w:val="0"/>
                <w:iCs w:val="0"/>
                <w:caps w:val="0"/>
                <w:color w:val="auto"/>
                <w:spacing w:val="0"/>
                <w:sz w:val="21"/>
                <w:szCs w:val="24"/>
                <w:shd w:val="clear" w:fill="FFFFFF"/>
                <w:lang w:val="en-US" w:eastAsia="zh-CN"/>
              </w:rPr>
              <w:t>2</w:t>
            </w:r>
            <w:r>
              <w:rPr>
                <w:rFonts w:hint="default" w:ascii="Times New Roman" w:hAnsi="Times New Roman" w:eastAsia="宋体" w:cs="Segoe UI"/>
                <w:i w:val="0"/>
                <w:iCs w:val="0"/>
                <w:caps w:val="0"/>
                <w:color w:val="auto"/>
                <w:spacing w:val="0"/>
                <w:sz w:val="21"/>
                <w:szCs w:val="24"/>
                <w:shd w:val="clear" w:fill="FFFFFF"/>
              </w:rPr>
              <w:t>#厂房4层的成型车间完成。</w:t>
            </w:r>
            <w:r>
              <w:rPr>
                <w:rFonts w:hint="eastAsia" w:ascii="Times New Roman" w:hAnsi="Times New Roman" w:cs="Segoe UI"/>
                <w:i w:val="0"/>
                <w:iCs w:val="0"/>
                <w:caps w:val="0"/>
                <w:color w:val="auto"/>
                <w:spacing w:val="0"/>
                <w:sz w:val="21"/>
                <w:szCs w:val="24"/>
                <w:shd w:val="clear" w:fill="FFFFFF"/>
                <w:lang w:val="en-US" w:eastAsia="zh-CN"/>
              </w:rPr>
              <w:t>生产工艺流程图如下：</w:t>
            </w:r>
          </w:p>
          <w:p w14:paraId="1D9E427B">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jc w:val="center"/>
              <w:textAlignment w:val="auto"/>
              <w:rPr>
                <w:rFonts w:hint="eastAsia" w:ascii="Times New Roman" w:hAnsi="Times New Roman" w:cs="Segoe UI"/>
                <w:i w:val="0"/>
                <w:iCs w:val="0"/>
                <w:caps w:val="0"/>
                <w:color w:val="auto"/>
                <w:spacing w:val="0"/>
                <w:sz w:val="21"/>
                <w:szCs w:val="24"/>
                <w:shd w:val="clear" w:fill="FFFFFF"/>
                <w:lang w:val="en-US" w:eastAsia="zh-CN"/>
              </w:rPr>
            </w:pPr>
            <w:r>
              <w:rPr>
                <w:rFonts w:hint="eastAsia" w:eastAsia="宋体"/>
                <w:color w:val="auto"/>
                <w:lang w:eastAsia="zh-CN"/>
              </w:rPr>
              <w:drawing>
                <wp:inline distT="0" distB="0" distL="114300" distR="114300">
                  <wp:extent cx="6209665" cy="2317115"/>
                  <wp:effectExtent l="0" t="0" r="635" b="6985"/>
                  <wp:docPr id="14" name="图片 14" descr="生产工艺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生产工艺流程图"/>
                          <pic:cNvPicPr>
                            <a:picLocks noChangeAspect="1"/>
                          </pic:cNvPicPr>
                        </pic:nvPicPr>
                        <pic:blipFill>
                          <a:blip r:embed="rId9"/>
                          <a:srcRect t="68893"/>
                          <a:stretch>
                            <a:fillRect/>
                          </a:stretch>
                        </pic:blipFill>
                        <pic:spPr>
                          <a:xfrm>
                            <a:off x="0" y="0"/>
                            <a:ext cx="6209665" cy="2317115"/>
                          </a:xfrm>
                          <a:prstGeom prst="rect">
                            <a:avLst/>
                          </a:prstGeom>
                        </pic:spPr>
                      </pic:pic>
                    </a:graphicData>
                  </a:graphic>
                </wp:inline>
              </w:drawing>
            </w:r>
          </w:p>
          <w:p w14:paraId="41251A19">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2" w:firstLineChars="200"/>
              <w:jc w:val="center"/>
              <w:textAlignment w:val="auto"/>
              <w:rPr>
                <w:rFonts w:hint="eastAsia" w:ascii="Times New Roman" w:hAnsi="Times New Roman" w:cs="Segoe UI"/>
                <w:b/>
                <w:bCs/>
                <w:i w:val="0"/>
                <w:iCs w:val="0"/>
                <w:caps w:val="0"/>
                <w:color w:val="auto"/>
                <w:spacing w:val="0"/>
                <w:sz w:val="21"/>
                <w:szCs w:val="24"/>
                <w:shd w:val="clear" w:fill="FFFFFF"/>
                <w:lang w:val="en-US" w:eastAsia="zh-CN"/>
              </w:rPr>
            </w:pPr>
            <w:r>
              <w:rPr>
                <w:rFonts w:hint="eastAsia" w:ascii="Times New Roman" w:hAnsi="Times New Roman" w:cs="Segoe UI"/>
                <w:b/>
                <w:bCs/>
                <w:i w:val="0"/>
                <w:iCs w:val="0"/>
                <w:caps w:val="0"/>
                <w:color w:val="auto"/>
                <w:spacing w:val="0"/>
                <w:sz w:val="21"/>
                <w:szCs w:val="24"/>
                <w:shd w:val="clear" w:fill="FFFFFF"/>
                <w:lang w:val="en-US" w:eastAsia="zh-CN"/>
              </w:rPr>
              <w:t>图4、成型贴合生产工艺流程图</w:t>
            </w:r>
          </w:p>
          <w:p w14:paraId="16FB0F47">
            <w:pPr>
              <w:pStyle w:val="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rPr>
            </w:pPr>
            <w:bookmarkStart w:id="16" w:name="_Toc3587"/>
            <w:bookmarkStart w:id="17" w:name="_Toc28278"/>
            <w:r>
              <w:rPr>
                <w:rFonts w:hint="eastAsia" w:ascii="Times New Roman" w:hAnsi="Times New Roman" w:cs="Segoe UI"/>
                <w:b/>
                <w:bCs/>
                <w:i w:val="0"/>
                <w:iCs w:val="0"/>
                <w:caps w:val="0"/>
                <w:color w:val="auto"/>
                <w:spacing w:val="0"/>
                <w:sz w:val="21"/>
                <w:szCs w:val="24"/>
                <w:shd w:val="clear" w:fill="FFFFFF"/>
                <w:lang w:val="en-US" w:eastAsia="zh-CN"/>
              </w:rPr>
              <w:t>工艺流程说明</w:t>
            </w:r>
            <w:bookmarkEnd w:id="16"/>
            <w:bookmarkEnd w:id="17"/>
          </w:p>
          <w:p w14:paraId="259B9E2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auto"/>
              <w:ind w:left="0" w:leftChars="0" w:right="0" w:rightChars="0" w:firstLine="422" w:firstLineChars="200"/>
              <w:jc w:val="left"/>
              <w:textAlignment w:val="auto"/>
              <w:outlineLvl w:val="3"/>
              <w:rPr>
                <w:rFonts w:hint="default" w:ascii="Times New Roman" w:hAnsi="Times New Roman" w:eastAsia="宋体" w:cs="Segoe UI"/>
                <w:b/>
                <w:bCs/>
                <w:i w:val="0"/>
                <w:iCs w:val="0"/>
                <w:caps w:val="0"/>
                <w:color w:val="auto"/>
                <w:spacing w:val="0"/>
                <w:kern w:val="0"/>
                <w:sz w:val="21"/>
                <w:szCs w:val="24"/>
                <w:lang w:val="en-US" w:eastAsia="zh-CN" w:bidi="ar"/>
              </w:rPr>
            </w:pPr>
            <w:r>
              <w:rPr>
                <w:rFonts w:hint="default" w:ascii="Times New Roman" w:hAnsi="Times New Roman" w:eastAsia="宋体" w:cs="Segoe UI"/>
                <w:b/>
                <w:bCs/>
                <w:i w:val="0"/>
                <w:iCs w:val="0"/>
                <w:caps w:val="0"/>
                <w:color w:val="auto"/>
                <w:spacing w:val="0"/>
                <w:kern w:val="0"/>
                <w:sz w:val="21"/>
                <w:szCs w:val="24"/>
                <w:lang w:val="en-US" w:eastAsia="zh-CN" w:bidi="ar"/>
              </w:rPr>
              <w:t>1.拉帮</w:t>
            </w:r>
          </w:p>
          <w:p w14:paraId="59103F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default" w:ascii="Times New Roman" w:hAnsi="Times New Roman" w:eastAsia="宋体" w:cs="unset"/>
                <w:color w:val="auto"/>
                <w:kern w:val="2"/>
                <w:sz w:val="21"/>
                <w:szCs w:val="24"/>
                <w:lang w:val="en-US" w:eastAsia="zh-CN" w:bidi="ar-SA"/>
              </w:rPr>
              <w:t>从鞋面制造车间转入的成品鞋面，首先进入拉帮工序。将鞋面底部边缘套在鞋楦底部中底板上，通过拉帮机将鞋面边缘均匀拉伸并向下拉紧，使鞋面底部边缘紧密贴合在中底板边缘上，用鞋钉将鞋面底部边缘临时固定在中底板上。随后采用专用缝纫设备沿鞋面底部边缘与中底板连接处缝合一圈加固线，使鞋面底部与中底板牢固缝合在一起，防止后续加工和穿着过程中鞋面与中底板脱离。该缝线紧贴中底板边缘，线迹均匀整齐，为后续刷胶贴合工序提供精确的粘合边界定位。</w:t>
            </w:r>
          </w:p>
          <w:p w14:paraId="190BF0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eastAsia" w:ascii="Times New Roman" w:hAnsi="Times New Roman" w:eastAsia="宋体" w:cs="Segoe UI"/>
                <w:b w:val="0"/>
                <w:bCs w:val="0"/>
                <w:i w:val="0"/>
                <w:iCs w:val="0"/>
                <w:caps w:val="0"/>
                <w:color w:val="0F1115"/>
                <w:spacing w:val="0"/>
                <w:sz w:val="21"/>
                <w:szCs w:val="24"/>
                <w:shd w:val="clear" w:fill="FFFFFF"/>
                <w:lang w:val="en-US" w:eastAsia="zh-CN"/>
              </w:rPr>
              <w:t>此工序</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val="en-US" w:eastAsia="zh-CN"/>
              </w:rPr>
              <w:t>，</w:t>
            </w:r>
            <w:r>
              <w:rPr>
                <w:rFonts w:hint="default" w:ascii="Times New Roman" w:hAnsi="Times New Roman" w:eastAsia="宋体" w:cs="Segoe UI"/>
                <w:b w:val="0"/>
                <w:bCs w:val="0"/>
                <w:i w:val="0"/>
                <w:iCs w:val="0"/>
                <w:caps w:val="0"/>
                <w:color w:val="0F1115"/>
                <w:spacing w:val="0"/>
                <w:sz w:val="21"/>
                <w:szCs w:val="24"/>
                <w:shd w:val="clear" w:fill="FFFFFF"/>
                <w:lang w:val="en-US" w:eastAsia="zh-CN"/>
              </w:rPr>
              <w:t>拉</w:t>
            </w:r>
            <w:r>
              <w:rPr>
                <w:rFonts w:hint="default" w:ascii="Times New Roman" w:hAnsi="Times New Roman" w:eastAsia="宋体" w:cs="unset"/>
                <w:color w:val="auto"/>
                <w:kern w:val="2"/>
                <w:sz w:val="21"/>
                <w:szCs w:val="24"/>
                <w:lang w:val="en-US" w:eastAsia="zh-CN" w:bidi="ar-SA"/>
              </w:rPr>
              <w:t>帮机、缝纫设备运行产生</w:t>
            </w:r>
            <w:r>
              <w:rPr>
                <w:rFonts w:hint="eastAsia" w:cs="unset"/>
                <w:color w:val="auto"/>
                <w:kern w:val="2"/>
                <w:sz w:val="21"/>
                <w:szCs w:val="24"/>
                <w:lang w:val="en-US" w:eastAsia="zh-CN" w:bidi="ar-SA"/>
              </w:rPr>
              <w:t>噪声。</w:t>
            </w:r>
            <w:r>
              <w:rPr>
                <w:rFonts w:hint="default" w:ascii="Times New Roman" w:hAnsi="Times New Roman" w:eastAsia="宋体" w:cs="unset"/>
                <w:color w:val="auto"/>
                <w:kern w:val="2"/>
                <w:sz w:val="21"/>
                <w:szCs w:val="24"/>
                <w:lang w:val="en-US" w:eastAsia="zh-CN" w:bidi="ar-SA"/>
              </w:rPr>
              <w:t>；产生少量废线头（一般工业固体废物）。</w:t>
            </w:r>
          </w:p>
          <w:p w14:paraId="06F6238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auto"/>
              <w:ind w:left="0" w:leftChars="0" w:right="0" w:rightChars="0" w:firstLine="422" w:firstLineChars="200"/>
              <w:jc w:val="left"/>
              <w:textAlignment w:val="auto"/>
              <w:outlineLvl w:val="3"/>
              <w:rPr>
                <w:rFonts w:hint="default" w:ascii="Times New Roman" w:hAnsi="Times New Roman" w:eastAsia="宋体" w:cs="Segoe UI"/>
                <w:b/>
                <w:bCs/>
                <w:i w:val="0"/>
                <w:iCs w:val="0"/>
                <w:caps w:val="0"/>
                <w:color w:val="auto"/>
                <w:spacing w:val="0"/>
                <w:kern w:val="0"/>
                <w:sz w:val="21"/>
                <w:szCs w:val="24"/>
                <w:lang w:val="en-US" w:eastAsia="zh-CN" w:bidi="ar"/>
              </w:rPr>
            </w:pPr>
            <w:r>
              <w:rPr>
                <w:rFonts w:hint="default" w:ascii="Times New Roman" w:hAnsi="Times New Roman" w:eastAsia="宋体" w:cs="Segoe UI"/>
                <w:b/>
                <w:bCs/>
                <w:i w:val="0"/>
                <w:iCs w:val="0"/>
                <w:caps w:val="0"/>
                <w:color w:val="auto"/>
                <w:spacing w:val="0"/>
                <w:kern w:val="0"/>
                <w:sz w:val="21"/>
                <w:szCs w:val="24"/>
                <w:lang w:val="en-US" w:eastAsia="zh-CN" w:bidi="ar"/>
              </w:rPr>
              <w:t>2.锤平</w:t>
            </w:r>
          </w:p>
          <w:p w14:paraId="7071D7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default" w:ascii="Times New Roman" w:hAnsi="Times New Roman" w:eastAsia="宋体" w:cs="unset"/>
                <w:color w:val="auto"/>
                <w:kern w:val="2"/>
                <w:sz w:val="21"/>
                <w:szCs w:val="24"/>
                <w:lang w:val="en-US" w:eastAsia="zh-CN" w:bidi="ar-SA"/>
              </w:rPr>
              <w:t>采用锤平机对鞋面底部边缘与中底板连接处进行敲击锤平处理，消除拉帮过程中产生的褶皱和应力集中，使鞋面底部边缘平整服帖地贴合在中底板上。</w:t>
            </w:r>
          </w:p>
          <w:p w14:paraId="4943F2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eastAsia" w:ascii="Times New Roman" w:hAnsi="Times New Roman" w:eastAsia="宋体" w:cs="Segoe UI"/>
                <w:b w:val="0"/>
                <w:bCs w:val="0"/>
                <w:i w:val="0"/>
                <w:iCs w:val="0"/>
                <w:caps w:val="0"/>
                <w:color w:val="0F1115"/>
                <w:spacing w:val="0"/>
                <w:sz w:val="21"/>
                <w:szCs w:val="24"/>
                <w:shd w:val="clear" w:fill="FFFFFF"/>
                <w:lang w:val="en-US" w:eastAsia="zh-CN"/>
              </w:rPr>
              <w:t>此工序</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val="en-US" w:eastAsia="zh-CN"/>
              </w:rPr>
              <w:t>，</w:t>
            </w:r>
            <w:r>
              <w:rPr>
                <w:rFonts w:hint="default" w:ascii="Times New Roman" w:hAnsi="Times New Roman" w:eastAsia="宋体" w:cs="unset"/>
                <w:color w:val="auto"/>
                <w:kern w:val="2"/>
                <w:sz w:val="21"/>
                <w:szCs w:val="24"/>
                <w:lang w:val="en-US" w:eastAsia="zh-CN" w:bidi="ar-SA"/>
              </w:rPr>
              <w:t>锤平机运行产生噪声。</w:t>
            </w:r>
          </w:p>
          <w:p w14:paraId="59E136F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auto"/>
              <w:ind w:left="0" w:leftChars="0" w:right="0" w:rightChars="0" w:firstLine="422" w:firstLineChars="200"/>
              <w:jc w:val="left"/>
              <w:textAlignment w:val="auto"/>
              <w:outlineLvl w:val="3"/>
              <w:rPr>
                <w:rFonts w:hint="default" w:ascii="Times New Roman" w:hAnsi="Times New Roman" w:eastAsia="宋体" w:cs="Segoe UI"/>
                <w:b/>
                <w:bCs/>
                <w:i w:val="0"/>
                <w:iCs w:val="0"/>
                <w:caps w:val="0"/>
                <w:color w:val="auto"/>
                <w:spacing w:val="0"/>
                <w:kern w:val="0"/>
                <w:sz w:val="21"/>
                <w:szCs w:val="24"/>
                <w:lang w:val="en-US" w:eastAsia="zh-CN" w:bidi="ar"/>
              </w:rPr>
            </w:pPr>
            <w:r>
              <w:rPr>
                <w:rFonts w:hint="default" w:ascii="Times New Roman" w:hAnsi="Times New Roman" w:eastAsia="宋体" w:cs="Segoe UI"/>
                <w:b/>
                <w:bCs/>
                <w:i w:val="0"/>
                <w:iCs w:val="0"/>
                <w:caps w:val="0"/>
                <w:color w:val="auto"/>
                <w:spacing w:val="0"/>
                <w:kern w:val="0"/>
                <w:sz w:val="21"/>
                <w:szCs w:val="24"/>
                <w:lang w:val="en-US" w:eastAsia="zh-CN" w:bidi="ar"/>
              </w:rPr>
              <w:t>3.套楦</w:t>
            </w:r>
          </w:p>
          <w:p w14:paraId="19F765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default" w:ascii="Times New Roman" w:hAnsi="Times New Roman" w:eastAsia="宋体" w:cs="unset"/>
                <w:color w:val="auto"/>
                <w:kern w:val="2"/>
                <w:sz w:val="21"/>
                <w:szCs w:val="24"/>
                <w:lang w:val="en-US" w:eastAsia="zh-CN" w:bidi="ar-SA"/>
              </w:rPr>
              <w:t>将拉帮、锤平后的鞋面半成品套在相应尺码的鞋楦上，使鞋面完全包裹鞋楦，鞋头、后踵部位与楦头对应位置对齐，调整鞋面在楦头上的位置，确保左右对称、松紧适中。</w:t>
            </w:r>
          </w:p>
          <w:p w14:paraId="487BBA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eastAsia" w:ascii="Times New Roman" w:hAnsi="Times New Roman" w:eastAsia="宋体" w:cs="Segoe UI"/>
                <w:b w:val="0"/>
                <w:bCs w:val="0"/>
                <w:i w:val="0"/>
                <w:iCs w:val="0"/>
                <w:caps w:val="0"/>
                <w:color w:val="0F1115"/>
                <w:spacing w:val="0"/>
                <w:sz w:val="21"/>
                <w:szCs w:val="24"/>
                <w:shd w:val="clear" w:fill="FFFFFF"/>
                <w:lang w:val="en-US" w:eastAsia="zh-CN"/>
              </w:rPr>
              <w:t>此工序</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val="en-US" w:eastAsia="zh-CN"/>
              </w:rPr>
              <w:t>，</w:t>
            </w:r>
            <w:r>
              <w:rPr>
                <w:rFonts w:hint="default" w:ascii="Times New Roman" w:hAnsi="Times New Roman" w:eastAsia="宋体" w:cs="Segoe UI"/>
                <w:b w:val="0"/>
                <w:bCs w:val="0"/>
                <w:i w:val="0"/>
                <w:iCs w:val="0"/>
                <w:caps w:val="0"/>
                <w:color w:val="0F1115"/>
                <w:spacing w:val="0"/>
                <w:sz w:val="21"/>
                <w:szCs w:val="24"/>
                <w:shd w:val="clear" w:fill="FFFFFF"/>
                <w:lang w:val="en-US" w:eastAsia="zh-CN"/>
              </w:rPr>
              <w:t>无</w:t>
            </w:r>
            <w:r>
              <w:rPr>
                <w:rFonts w:hint="default" w:ascii="Times New Roman" w:hAnsi="Times New Roman" w:eastAsia="宋体" w:cs="unset"/>
                <w:color w:val="auto"/>
                <w:kern w:val="2"/>
                <w:sz w:val="21"/>
                <w:szCs w:val="24"/>
                <w:lang w:val="en-US" w:eastAsia="zh-CN" w:bidi="ar-SA"/>
              </w:rPr>
              <w:t>污染物产生。</w:t>
            </w:r>
          </w:p>
          <w:p w14:paraId="37493FB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auto"/>
              <w:ind w:left="0" w:leftChars="0" w:right="0" w:rightChars="0" w:firstLine="422" w:firstLineChars="200"/>
              <w:jc w:val="left"/>
              <w:textAlignment w:val="auto"/>
              <w:outlineLvl w:val="3"/>
              <w:rPr>
                <w:rFonts w:hint="default" w:ascii="Times New Roman" w:hAnsi="Times New Roman" w:eastAsia="宋体" w:cs="Segoe UI"/>
                <w:b/>
                <w:bCs/>
                <w:i w:val="0"/>
                <w:iCs w:val="0"/>
                <w:caps w:val="0"/>
                <w:color w:val="auto"/>
                <w:spacing w:val="0"/>
                <w:kern w:val="0"/>
                <w:sz w:val="21"/>
                <w:szCs w:val="24"/>
                <w:lang w:val="en-US" w:eastAsia="zh-CN" w:bidi="ar"/>
              </w:rPr>
            </w:pPr>
            <w:r>
              <w:rPr>
                <w:rFonts w:hint="default" w:ascii="Times New Roman" w:hAnsi="Times New Roman" w:eastAsia="宋体" w:cs="Segoe UI"/>
                <w:b/>
                <w:bCs/>
                <w:i w:val="0"/>
                <w:iCs w:val="0"/>
                <w:caps w:val="0"/>
                <w:color w:val="auto"/>
                <w:spacing w:val="0"/>
                <w:kern w:val="0"/>
                <w:sz w:val="21"/>
                <w:szCs w:val="24"/>
                <w:lang w:val="en-US" w:eastAsia="zh-CN" w:bidi="ar"/>
              </w:rPr>
              <w:t>4.蒸湿</w:t>
            </w:r>
          </w:p>
          <w:p w14:paraId="78D368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default" w:ascii="Times New Roman" w:hAnsi="Times New Roman" w:eastAsia="宋体" w:cs="unset"/>
                <w:color w:val="auto"/>
                <w:kern w:val="2"/>
                <w:sz w:val="21"/>
                <w:szCs w:val="24"/>
                <w:lang w:val="en-US" w:eastAsia="zh-CN" w:bidi="ar-SA"/>
              </w:rPr>
              <w:t>采用蒸湿机对套好楦头的鞋面进行蒸汽加湿软化（约60~80℃），使鞋面纤维充分湿润、舒展，提高材料柔韧性，使鞋面更加服帖地贴合楦头形状，为后续加热定型做准备。</w:t>
            </w:r>
          </w:p>
          <w:p w14:paraId="37F8ED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eastAsia" w:ascii="Times New Roman" w:hAnsi="Times New Roman" w:eastAsia="宋体" w:cs="Segoe UI"/>
                <w:b w:val="0"/>
                <w:bCs w:val="0"/>
                <w:i w:val="0"/>
                <w:iCs w:val="0"/>
                <w:caps w:val="0"/>
                <w:color w:val="0F1115"/>
                <w:spacing w:val="0"/>
                <w:sz w:val="21"/>
                <w:szCs w:val="24"/>
                <w:shd w:val="clear" w:fill="FFFFFF"/>
                <w:lang w:val="en-US" w:eastAsia="zh-CN"/>
              </w:rPr>
              <w:t>此工序</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val="en-US" w:eastAsia="zh-CN"/>
              </w:rPr>
              <w:t>，</w:t>
            </w:r>
            <w:r>
              <w:rPr>
                <w:rFonts w:hint="default" w:ascii="Times New Roman" w:hAnsi="Times New Roman" w:eastAsia="宋体" w:cs="Segoe UI"/>
                <w:b w:val="0"/>
                <w:bCs w:val="0"/>
                <w:i w:val="0"/>
                <w:iCs w:val="0"/>
                <w:caps w:val="0"/>
                <w:color w:val="0F1115"/>
                <w:spacing w:val="0"/>
                <w:sz w:val="21"/>
                <w:szCs w:val="24"/>
                <w:shd w:val="clear" w:fill="FFFFFF"/>
                <w:lang w:val="en-US" w:eastAsia="zh-CN"/>
              </w:rPr>
              <w:t>蒸湿</w:t>
            </w:r>
            <w:r>
              <w:rPr>
                <w:rFonts w:hint="default" w:ascii="Times New Roman" w:hAnsi="Times New Roman" w:eastAsia="宋体" w:cs="unset"/>
                <w:color w:val="auto"/>
                <w:kern w:val="2"/>
                <w:sz w:val="21"/>
                <w:szCs w:val="24"/>
                <w:lang w:val="en-US" w:eastAsia="zh-CN" w:bidi="ar-SA"/>
              </w:rPr>
              <w:t>机运行产生噪声；蒸汽挥发，无废水产生。</w:t>
            </w:r>
          </w:p>
          <w:p w14:paraId="3EA5CEE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auto"/>
              <w:ind w:left="0" w:leftChars="0" w:right="0" w:rightChars="0" w:firstLine="422" w:firstLineChars="200"/>
              <w:jc w:val="left"/>
              <w:textAlignment w:val="auto"/>
              <w:outlineLvl w:val="3"/>
              <w:rPr>
                <w:rFonts w:hint="default" w:ascii="Times New Roman" w:hAnsi="Times New Roman" w:eastAsia="宋体" w:cs="Segoe UI"/>
                <w:b/>
                <w:bCs/>
                <w:i w:val="0"/>
                <w:iCs w:val="0"/>
                <w:caps w:val="0"/>
                <w:color w:val="auto"/>
                <w:spacing w:val="0"/>
                <w:kern w:val="0"/>
                <w:sz w:val="21"/>
                <w:szCs w:val="24"/>
                <w:lang w:val="en-US" w:eastAsia="zh-CN" w:bidi="ar"/>
              </w:rPr>
            </w:pPr>
            <w:r>
              <w:rPr>
                <w:rFonts w:hint="default" w:ascii="Times New Roman" w:hAnsi="Times New Roman" w:eastAsia="宋体" w:cs="Segoe UI"/>
                <w:b/>
                <w:bCs/>
                <w:i w:val="0"/>
                <w:iCs w:val="0"/>
                <w:caps w:val="0"/>
                <w:color w:val="auto"/>
                <w:spacing w:val="0"/>
                <w:kern w:val="0"/>
                <w:sz w:val="21"/>
                <w:szCs w:val="24"/>
                <w:lang w:val="en-US" w:eastAsia="zh-CN" w:bidi="ar"/>
              </w:rPr>
              <w:t>5.加热定型</w:t>
            </w:r>
          </w:p>
          <w:p w14:paraId="2CEA84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default" w:ascii="Times New Roman" w:hAnsi="Times New Roman" w:eastAsia="宋体" w:cs="unset"/>
                <w:color w:val="auto"/>
                <w:kern w:val="2"/>
                <w:sz w:val="21"/>
                <w:szCs w:val="24"/>
                <w:lang w:val="en-US" w:eastAsia="zh-CN" w:bidi="ar-SA"/>
              </w:rPr>
              <w:t>采用鞋头定型机和后踵定型机，对套好楦头的鞋面鞋头部位和后踵部位进行加热加压定型（约100~120℃），使鞋面材料在热和压力作用下软化并塑形，形成符合鞋楦曲面的立体形状，冷却后形状固定。</w:t>
            </w:r>
          </w:p>
          <w:p w14:paraId="3CB3C0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eastAsia" w:ascii="Times New Roman" w:hAnsi="Times New Roman" w:eastAsia="宋体" w:cs="Segoe UI"/>
                <w:b w:val="0"/>
                <w:bCs w:val="0"/>
                <w:i w:val="0"/>
                <w:iCs w:val="0"/>
                <w:caps w:val="0"/>
                <w:color w:val="0F1115"/>
                <w:spacing w:val="0"/>
                <w:sz w:val="21"/>
                <w:szCs w:val="24"/>
                <w:shd w:val="clear" w:fill="FFFFFF"/>
                <w:lang w:val="en-US" w:eastAsia="zh-CN"/>
              </w:rPr>
              <w:t>此工序</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val="en-US" w:eastAsia="zh-CN"/>
              </w:rPr>
              <w:t>，</w:t>
            </w:r>
            <w:r>
              <w:rPr>
                <w:rFonts w:hint="default" w:ascii="Times New Roman" w:hAnsi="Times New Roman" w:eastAsia="宋体" w:cs="Segoe UI"/>
                <w:b w:val="0"/>
                <w:bCs w:val="0"/>
                <w:i w:val="0"/>
                <w:iCs w:val="0"/>
                <w:caps w:val="0"/>
                <w:color w:val="0F1115"/>
                <w:spacing w:val="0"/>
                <w:sz w:val="21"/>
                <w:szCs w:val="24"/>
                <w:shd w:val="clear" w:fill="FFFFFF"/>
                <w:lang w:val="en-US" w:eastAsia="zh-CN"/>
              </w:rPr>
              <w:t>鞋</w:t>
            </w:r>
            <w:r>
              <w:rPr>
                <w:rFonts w:hint="default" w:ascii="Times New Roman" w:hAnsi="Times New Roman" w:eastAsia="宋体" w:cs="unset"/>
                <w:color w:val="auto"/>
                <w:kern w:val="2"/>
                <w:sz w:val="21"/>
                <w:szCs w:val="24"/>
                <w:lang w:val="en-US" w:eastAsia="zh-CN" w:bidi="ar-SA"/>
              </w:rPr>
              <w:t>面材料受热产生少量有机废气（以非甲烷总烃表征）；设备运行产生噪声。</w:t>
            </w:r>
          </w:p>
          <w:p w14:paraId="45C2B9C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auto"/>
              <w:ind w:left="0" w:leftChars="0" w:right="0" w:rightChars="0" w:firstLine="422" w:firstLineChars="200"/>
              <w:jc w:val="left"/>
              <w:textAlignment w:val="auto"/>
              <w:outlineLvl w:val="3"/>
              <w:rPr>
                <w:rFonts w:hint="default" w:ascii="Times New Roman" w:hAnsi="Times New Roman" w:eastAsia="宋体" w:cs="Segoe UI"/>
                <w:b/>
                <w:bCs/>
                <w:i w:val="0"/>
                <w:iCs w:val="0"/>
                <w:caps w:val="0"/>
                <w:color w:val="auto"/>
                <w:spacing w:val="0"/>
                <w:kern w:val="0"/>
                <w:sz w:val="21"/>
                <w:szCs w:val="24"/>
                <w:lang w:val="en-US" w:eastAsia="zh-CN" w:bidi="ar"/>
              </w:rPr>
            </w:pPr>
            <w:r>
              <w:rPr>
                <w:rFonts w:hint="default" w:ascii="Times New Roman" w:hAnsi="Times New Roman" w:eastAsia="宋体" w:cs="Segoe UI"/>
                <w:b/>
                <w:bCs/>
                <w:i w:val="0"/>
                <w:iCs w:val="0"/>
                <w:caps w:val="0"/>
                <w:color w:val="auto"/>
                <w:spacing w:val="0"/>
                <w:kern w:val="0"/>
                <w:sz w:val="21"/>
                <w:szCs w:val="24"/>
                <w:lang w:val="en-US" w:eastAsia="zh-CN" w:bidi="ar"/>
              </w:rPr>
              <w:t>6.打粗</w:t>
            </w:r>
          </w:p>
          <w:p w14:paraId="40D753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default" w:ascii="Times New Roman" w:hAnsi="Times New Roman" w:eastAsia="宋体" w:cs="unset"/>
                <w:color w:val="auto"/>
                <w:kern w:val="2"/>
                <w:sz w:val="21"/>
                <w:szCs w:val="24"/>
                <w:lang w:val="en-US" w:eastAsia="zh-CN" w:bidi="ar-SA"/>
              </w:rPr>
              <w:t>在鞋面与鞋底贴合前，采用打粗机对鞋面底部边缘以及待贴合的</w:t>
            </w:r>
            <w:r>
              <w:rPr>
                <w:rFonts w:hint="eastAsia" w:cs="unset"/>
                <w:color w:val="auto"/>
                <w:kern w:val="2"/>
                <w:sz w:val="21"/>
                <w:szCs w:val="24"/>
                <w:lang w:val="en-US" w:eastAsia="zh-CN" w:bidi="ar-SA"/>
              </w:rPr>
              <w:t>鞋底</w:t>
            </w:r>
            <w:r>
              <w:rPr>
                <w:rFonts w:hint="default" w:ascii="Times New Roman" w:hAnsi="Times New Roman" w:eastAsia="宋体" w:cs="unset"/>
                <w:color w:val="auto"/>
                <w:kern w:val="2"/>
                <w:sz w:val="21"/>
                <w:szCs w:val="24"/>
                <w:lang w:val="en-US" w:eastAsia="zh-CN" w:bidi="ar-SA"/>
              </w:rPr>
              <w:t>贴合面边缘进行打磨粗糙处理，以增大表面物理摩擦力，提高胶水浸润性和粘合强度。</w:t>
            </w:r>
          </w:p>
          <w:p w14:paraId="6D6CDE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eastAsia" w:ascii="Times New Roman" w:hAnsi="Times New Roman" w:eastAsia="宋体" w:cs="Segoe UI"/>
                <w:b w:val="0"/>
                <w:bCs w:val="0"/>
                <w:i w:val="0"/>
                <w:iCs w:val="0"/>
                <w:caps w:val="0"/>
                <w:color w:val="0F1115"/>
                <w:spacing w:val="0"/>
                <w:sz w:val="21"/>
                <w:szCs w:val="24"/>
                <w:shd w:val="clear" w:fill="FFFFFF"/>
                <w:lang w:val="en-US" w:eastAsia="zh-CN"/>
              </w:rPr>
              <w:t>此工序</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年工作时间为2400h</w:t>
            </w:r>
            <w:r>
              <w:rPr>
                <w:rFonts w:hint="eastAsia" w:ascii="Times New Roman" w:hAnsi="Times New Roman" w:eastAsia="宋体" w:cs="Segoe UI"/>
                <w:i w:val="0"/>
                <w:iCs w:val="0"/>
                <w:caps w:val="0"/>
                <w:color w:val="0F1115"/>
                <w:spacing w:val="0"/>
                <w:sz w:val="21"/>
                <w:szCs w:val="24"/>
                <w:shd w:val="clear" w:fill="FFFFFF"/>
                <w:lang w:eastAsia="zh-CN"/>
              </w:rPr>
              <w:t>，</w:t>
            </w:r>
            <w:r>
              <w:rPr>
                <w:rFonts w:hint="default" w:ascii="Times New Roman" w:hAnsi="Times New Roman" w:eastAsia="宋体" w:cs="unset"/>
                <w:color w:val="auto"/>
                <w:kern w:val="2"/>
                <w:sz w:val="21"/>
                <w:szCs w:val="24"/>
                <w:lang w:val="en-US" w:eastAsia="zh-CN" w:bidi="ar-SA"/>
              </w:rPr>
              <w:t>打粗过程产生粉尘（颗粒物）；设备运行产生噪声。</w:t>
            </w:r>
          </w:p>
          <w:p w14:paraId="2F1FB9F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auto"/>
              <w:ind w:left="0" w:leftChars="0" w:right="0" w:rightChars="0" w:firstLine="422" w:firstLineChars="200"/>
              <w:jc w:val="left"/>
              <w:textAlignment w:val="auto"/>
              <w:outlineLvl w:val="3"/>
              <w:rPr>
                <w:rFonts w:hint="default" w:ascii="Times New Roman" w:hAnsi="Times New Roman" w:eastAsia="宋体" w:cs="Segoe UI"/>
                <w:b/>
                <w:bCs/>
                <w:i w:val="0"/>
                <w:iCs w:val="0"/>
                <w:caps w:val="0"/>
                <w:color w:val="auto"/>
                <w:spacing w:val="0"/>
                <w:kern w:val="0"/>
                <w:sz w:val="21"/>
                <w:szCs w:val="24"/>
                <w:lang w:val="en-US" w:eastAsia="zh-CN" w:bidi="ar"/>
              </w:rPr>
            </w:pPr>
            <w:r>
              <w:rPr>
                <w:rFonts w:hint="default" w:ascii="Times New Roman" w:hAnsi="Times New Roman" w:eastAsia="宋体" w:cs="Segoe UI"/>
                <w:b/>
                <w:bCs/>
                <w:i w:val="0"/>
                <w:iCs w:val="0"/>
                <w:caps w:val="0"/>
                <w:color w:val="auto"/>
                <w:spacing w:val="0"/>
                <w:kern w:val="0"/>
                <w:sz w:val="21"/>
                <w:szCs w:val="24"/>
                <w:lang w:val="en-US" w:eastAsia="zh-CN" w:bidi="ar"/>
              </w:rPr>
              <w:t>7.刷处理剂</w:t>
            </w:r>
            <w:r>
              <w:rPr>
                <w:rFonts w:hint="eastAsia" w:cs="Segoe UI"/>
                <w:b/>
                <w:bCs/>
                <w:i w:val="0"/>
                <w:iCs w:val="0"/>
                <w:caps w:val="0"/>
                <w:color w:val="auto"/>
                <w:spacing w:val="0"/>
                <w:kern w:val="0"/>
                <w:sz w:val="21"/>
                <w:szCs w:val="24"/>
                <w:lang w:val="en-US" w:eastAsia="zh-CN" w:bidi="ar"/>
              </w:rPr>
              <w:t>、清洁、</w:t>
            </w:r>
            <w:r>
              <w:rPr>
                <w:rFonts w:hint="default" w:ascii="Times New Roman" w:hAnsi="Times New Roman" w:eastAsia="宋体" w:cs="Segoe UI"/>
                <w:b/>
                <w:bCs/>
                <w:i w:val="0"/>
                <w:iCs w:val="0"/>
                <w:caps w:val="0"/>
                <w:color w:val="auto"/>
                <w:spacing w:val="0"/>
                <w:kern w:val="0"/>
                <w:sz w:val="21"/>
                <w:szCs w:val="24"/>
                <w:lang w:val="en-US" w:eastAsia="zh-CN" w:bidi="ar"/>
              </w:rPr>
              <w:t>烘干</w:t>
            </w:r>
          </w:p>
          <w:p w14:paraId="6BCD13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default" w:ascii="Times New Roman" w:hAnsi="Times New Roman" w:eastAsia="宋体" w:cs="unset"/>
                <w:color w:val="auto"/>
                <w:kern w:val="2"/>
                <w:sz w:val="21"/>
                <w:szCs w:val="24"/>
                <w:lang w:val="en-US" w:eastAsia="zh-CN" w:bidi="ar-SA"/>
              </w:rPr>
              <w:t>在成品组装工序中，将经打粗处理后的</w:t>
            </w:r>
            <w:r>
              <w:rPr>
                <w:rFonts w:hint="eastAsia" w:cs="unset"/>
                <w:color w:val="auto"/>
                <w:kern w:val="2"/>
                <w:sz w:val="21"/>
                <w:szCs w:val="24"/>
                <w:lang w:val="en-US" w:eastAsia="zh-CN" w:bidi="ar-SA"/>
              </w:rPr>
              <w:t>复合</w:t>
            </w:r>
            <w:r>
              <w:rPr>
                <w:rFonts w:hint="default" w:ascii="Times New Roman" w:hAnsi="Times New Roman" w:eastAsia="宋体" w:cs="unset"/>
                <w:color w:val="auto"/>
                <w:kern w:val="2"/>
                <w:sz w:val="21"/>
                <w:szCs w:val="24"/>
                <w:lang w:val="en-US" w:eastAsia="zh-CN" w:bidi="ar-SA"/>
              </w:rPr>
              <w:t>鞋底贴合面</w:t>
            </w:r>
            <w:r>
              <w:rPr>
                <w:rFonts w:hint="eastAsia" w:cs="unset"/>
                <w:color w:val="auto"/>
                <w:kern w:val="2"/>
                <w:sz w:val="21"/>
                <w:szCs w:val="24"/>
                <w:lang w:val="en-US" w:eastAsia="zh-CN" w:bidi="ar-SA"/>
              </w:rPr>
              <w:t>边缘</w:t>
            </w:r>
            <w:r>
              <w:rPr>
                <w:rFonts w:hint="default" w:ascii="Times New Roman" w:hAnsi="Times New Roman" w:eastAsia="宋体" w:cs="unset"/>
                <w:color w:val="auto"/>
                <w:kern w:val="2"/>
                <w:sz w:val="21"/>
                <w:szCs w:val="24"/>
                <w:lang w:val="en-US" w:eastAsia="zh-CN" w:bidi="ar-SA"/>
              </w:rPr>
              <w:t>，均匀涂刷一层橡胶处理剂，随后进入烘箱烘干（约60~70℃），使处理剂中的有机溶剂充分挥发，并在橡胶表面形成活化涂层，达到最佳助粘效果</w:t>
            </w:r>
            <w:r>
              <w:rPr>
                <w:rFonts w:hint="eastAsia" w:cs="unset"/>
                <w:color w:val="auto"/>
                <w:kern w:val="2"/>
                <w:sz w:val="21"/>
                <w:szCs w:val="24"/>
                <w:lang w:val="en-US" w:eastAsia="zh-CN" w:bidi="ar-SA"/>
              </w:rPr>
              <w:t>；部分</w:t>
            </w:r>
            <w:r>
              <w:rPr>
                <w:rFonts w:hint="eastAsia" w:ascii="Times New Roman" w:hAnsi="Times New Roman" w:eastAsia="宋体" w:cs="Segoe UI"/>
                <w:i w:val="0"/>
                <w:iCs w:val="0"/>
                <w:caps w:val="0"/>
                <w:color w:val="0F1115"/>
                <w:spacing w:val="0"/>
                <w:sz w:val="21"/>
                <w:szCs w:val="24"/>
                <w:shd w:val="clear" w:fill="FFFFFF"/>
                <w:lang w:val="en-US" w:eastAsia="zh-CN"/>
              </w:rPr>
              <w:t>EVA鞋底</w:t>
            </w:r>
            <w:r>
              <w:rPr>
                <w:rFonts w:hint="default" w:ascii="Times New Roman" w:hAnsi="Times New Roman" w:eastAsia="宋体" w:cs="unset"/>
                <w:color w:val="auto"/>
                <w:kern w:val="2"/>
                <w:sz w:val="21"/>
                <w:szCs w:val="24"/>
                <w:lang w:val="en-US" w:eastAsia="zh-CN" w:bidi="ar-SA"/>
              </w:rPr>
              <w:t>贴合面</w:t>
            </w:r>
            <w:r>
              <w:rPr>
                <w:rFonts w:hint="eastAsia" w:cs="unset"/>
                <w:color w:val="auto"/>
                <w:kern w:val="2"/>
                <w:sz w:val="21"/>
                <w:szCs w:val="24"/>
                <w:lang w:val="en-US" w:eastAsia="zh-CN" w:bidi="ar-SA"/>
              </w:rPr>
              <w:t>边缘</w:t>
            </w:r>
            <w:r>
              <w:rPr>
                <w:rFonts w:hint="default" w:ascii="Times New Roman" w:hAnsi="Times New Roman" w:eastAsia="宋体" w:cs="Segoe UI"/>
                <w:i w:val="0"/>
                <w:iCs w:val="0"/>
                <w:caps w:val="0"/>
                <w:color w:val="0F1115"/>
                <w:spacing w:val="0"/>
                <w:sz w:val="21"/>
                <w:szCs w:val="24"/>
                <w:shd w:val="clear" w:fill="FFFFFF"/>
              </w:rPr>
              <w:t>均匀擦拭</w:t>
            </w:r>
            <w:r>
              <w:rPr>
                <w:rFonts w:hint="eastAsia" w:cs="Segoe UI"/>
                <w:i w:val="0"/>
                <w:iCs w:val="0"/>
                <w:caps w:val="0"/>
                <w:color w:val="0F1115"/>
                <w:spacing w:val="0"/>
                <w:sz w:val="21"/>
                <w:szCs w:val="24"/>
                <w:shd w:val="clear" w:fill="FFFFFF"/>
                <w:lang w:val="en-US" w:eastAsia="zh-CN"/>
              </w:rPr>
              <w:t>清洁随后烘干</w:t>
            </w:r>
            <w:r>
              <w:rPr>
                <w:rFonts w:hint="default" w:ascii="Times New Roman" w:hAnsi="Times New Roman" w:eastAsia="宋体" w:cs="Segoe UI"/>
                <w:i w:val="0"/>
                <w:iCs w:val="0"/>
                <w:caps w:val="0"/>
                <w:color w:val="0F1115"/>
                <w:spacing w:val="0"/>
                <w:sz w:val="21"/>
                <w:szCs w:val="24"/>
                <w:shd w:val="clear" w:fill="FFFFFF"/>
              </w:rPr>
              <w:t>（约60~70℃），确保表面清洁剂充分挥发干燥</w:t>
            </w:r>
            <w:r>
              <w:rPr>
                <w:rFonts w:hint="default" w:ascii="Times New Roman" w:hAnsi="Times New Roman" w:eastAsia="宋体" w:cs="unset"/>
                <w:color w:val="auto"/>
                <w:kern w:val="2"/>
                <w:sz w:val="21"/>
                <w:szCs w:val="24"/>
                <w:lang w:val="en-US" w:eastAsia="zh-CN" w:bidi="ar-SA"/>
              </w:rPr>
              <w:t>。鞋面贴合面</w:t>
            </w:r>
            <w:r>
              <w:rPr>
                <w:rFonts w:hint="eastAsia" w:cs="unset"/>
                <w:color w:val="auto"/>
                <w:kern w:val="2"/>
                <w:sz w:val="21"/>
                <w:szCs w:val="24"/>
                <w:lang w:val="en-US" w:eastAsia="zh-CN" w:bidi="ar-SA"/>
              </w:rPr>
              <w:t>边缘</w:t>
            </w:r>
            <w:r>
              <w:rPr>
                <w:rFonts w:hint="default" w:ascii="Times New Roman" w:hAnsi="Times New Roman" w:eastAsia="宋体" w:cs="Segoe UI"/>
                <w:i w:val="0"/>
                <w:iCs w:val="0"/>
                <w:caps w:val="0"/>
                <w:color w:val="0F1115"/>
                <w:spacing w:val="0"/>
                <w:sz w:val="21"/>
                <w:szCs w:val="24"/>
                <w:shd w:val="clear" w:fill="FFFFFF"/>
              </w:rPr>
              <w:t>均匀擦拭</w:t>
            </w:r>
            <w:r>
              <w:rPr>
                <w:rFonts w:hint="eastAsia" w:cs="Segoe UI"/>
                <w:i w:val="0"/>
                <w:iCs w:val="0"/>
                <w:caps w:val="0"/>
                <w:color w:val="0F1115"/>
                <w:spacing w:val="0"/>
                <w:sz w:val="21"/>
                <w:szCs w:val="24"/>
                <w:shd w:val="clear" w:fill="FFFFFF"/>
                <w:lang w:val="en-US" w:eastAsia="zh-CN"/>
              </w:rPr>
              <w:t>清洁并后烘干</w:t>
            </w:r>
            <w:r>
              <w:rPr>
                <w:rFonts w:hint="default" w:ascii="Times New Roman" w:hAnsi="Times New Roman" w:eastAsia="宋体" w:cs="Segoe UI"/>
                <w:i w:val="0"/>
                <w:iCs w:val="0"/>
                <w:caps w:val="0"/>
                <w:color w:val="0F1115"/>
                <w:spacing w:val="0"/>
                <w:sz w:val="21"/>
                <w:szCs w:val="24"/>
                <w:shd w:val="clear" w:fill="FFFFFF"/>
              </w:rPr>
              <w:t>（约60~70℃）</w:t>
            </w:r>
            <w:r>
              <w:rPr>
                <w:rFonts w:hint="eastAsia" w:cs="Segoe UI"/>
                <w:i w:val="0"/>
                <w:iCs w:val="0"/>
                <w:caps w:val="0"/>
                <w:color w:val="0F1115"/>
                <w:spacing w:val="0"/>
                <w:sz w:val="21"/>
                <w:szCs w:val="24"/>
                <w:shd w:val="clear" w:fill="FFFFFF"/>
                <w:lang w:eastAsia="zh-CN"/>
              </w:rPr>
              <w:t>，</w:t>
            </w:r>
            <w:r>
              <w:rPr>
                <w:rFonts w:hint="eastAsia" w:cs="Segoe UI"/>
                <w:i w:val="0"/>
                <w:iCs w:val="0"/>
                <w:caps w:val="0"/>
                <w:color w:val="0F1115"/>
                <w:spacing w:val="0"/>
                <w:sz w:val="21"/>
                <w:szCs w:val="24"/>
                <w:shd w:val="clear" w:fill="FFFFFF"/>
                <w:lang w:val="en-US" w:eastAsia="zh-CN"/>
              </w:rPr>
              <w:t>随后</w:t>
            </w:r>
            <w:r>
              <w:rPr>
                <w:rFonts w:hint="default" w:ascii="Times New Roman" w:hAnsi="Times New Roman" w:eastAsia="宋体" w:cs="unset"/>
                <w:color w:val="auto"/>
                <w:kern w:val="2"/>
                <w:sz w:val="21"/>
                <w:szCs w:val="24"/>
                <w:lang w:val="en-US" w:eastAsia="zh-CN" w:bidi="ar-SA"/>
              </w:rPr>
              <w:t>进入下一步刷胶工序。</w:t>
            </w:r>
          </w:p>
          <w:p w14:paraId="389784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eastAsia" w:ascii="Times New Roman" w:hAnsi="Times New Roman" w:eastAsia="宋体" w:cs="Segoe UI"/>
                <w:b w:val="0"/>
                <w:bCs w:val="0"/>
                <w:i w:val="0"/>
                <w:iCs w:val="0"/>
                <w:caps w:val="0"/>
                <w:color w:val="0F1115"/>
                <w:spacing w:val="0"/>
                <w:sz w:val="21"/>
                <w:szCs w:val="24"/>
                <w:shd w:val="clear" w:fill="FFFFFF"/>
                <w:lang w:val="en-US" w:eastAsia="zh-CN"/>
              </w:rPr>
              <w:t>此工序</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val="en-US" w:eastAsia="zh-CN"/>
              </w:rPr>
              <w:t>，</w:t>
            </w:r>
            <w:r>
              <w:rPr>
                <w:rFonts w:hint="default" w:ascii="Times New Roman" w:hAnsi="Times New Roman" w:eastAsia="宋体" w:cs="unset"/>
                <w:color w:val="auto"/>
                <w:kern w:val="2"/>
                <w:sz w:val="21"/>
                <w:szCs w:val="24"/>
                <w:lang w:val="en-US" w:eastAsia="zh-CN" w:bidi="ar-SA"/>
              </w:rPr>
              <w:t>刷处理剂</w:t>
            </w:r>
            <w:r>
              <w:rPr>
                <w:rFonts w:hint="eastAsia" w:cs="unset"/>
                <w:color w:val="auto"/>
                <w:kern w:val="2"/>
                <w:sz w:val="21"/>
                <w:szCs w:val="24"/>
                <w:lang w:val="en-US" w:eastAsia="zh-CN" w:bidi="ar-SA"/>
              </w:rPr>
              <w:t>、清洁</w:t>
            </w:r>
            <w:r>
              <w:rPr>
                <w:rFonts w:hint="default" w:ascii="Times New Roman" w:hAnsi="Times New Roman" w:eastAsia="宋体" w:cs="unset"/>
                <w:color w:val="auto"/>
                <w:kern w:val="2"/>
                <w:sz w:val="21"/>
                <w:szCs w:val="24"/>
                <w:lang w:val="en-US" w:eastAsia="zh-CN" w:bidi="ar-SA"/>
              </w:rPr>
              <w:t>及烘干过程中产生有机废气（以非甲烷总烃、总VOCs表征）和臭气浓度；产生废处理剂</w:t>
            </w:r>
            <w:r>
              <w:rPr>
                <w:rFonts w:hint="eastAsia" w:cs="unset"/>
                <w:color w:val="auto"/>
                <w:kern w:val="2"/>
                <w:sz w:val="21"/>
                <w:szCs w:val="24"/>
                <w:lang w:val="en-US" w:eastAsia="zh-CN" w:bidi="ar-SA"/>
              </w:rPr>
              <w:t>和清洁剂</w:t>
            </w:r>
            <w:r>
              <w:rPr>
                <w:rFonts w:hint="default" w:ascii="Times New Roman" w:hAnsi="Times New Roman" w:eastAsia="宋体" w:cs="unset"/>
                <w:color w:val="auto"/>
                <w:kern w:val="2"/>
                <w:sz w:val="21"/>
                <w:szCs w:val="24"/>
                <w:lang w:val="en-US" w:eastAsia="zh-CN" w:bidi="ar-SA"/>
              </w:rPr>
              <w:t>包装桶（危险废物，代码HW49）；设备运行产生噪声</w:t>
            </w:r>
          </w:p>
          <w:p w14:paraId="03EDFBF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auto"/>
              <w:ind w:left="0" w:leftChars="0" w:right="0" w:rightChars="0" w:firstLine="422" w:firstLineChars="200"/>
              <w:jc w:val="left"/>
              <w:textAlignment w:val="auto"/>
              <w:outlineLvl w:val="3"/>
              <w:rPr>
                <w:rFonts w:hint="default" w:ascii="Times New Roman" w:hAnsi="Times New Roman" w:eastAsia="宋体" w:cs="Segoe UI"/>
                <w:b/>
                <w:bCs/>
                <w:i w:val="0"/>
                <w:iCs w:val="0"/>
                <w:caps w:val="0"/>
                <w:color w:val="auto"/>
                <w:spacing w:val="0"/>
                <w:kern w:val="0"/>
                <w:sz w:val="21"/>
                <w:szCs w:val="24"/>
                <w:lang w:val="en-US" w:eastAsia="zh-CN" w:bidi="ar"/>
              </w:rPr>
            </w:pPr>
            <w:r>
              <w:rPr>
                <w:rFonts w:hint="default" w:ascii="Times New Roman" w:hAnsi="Times New Roman" w:eastAsia="宋体" w:cs="Segoe UI"/>
                <w:b/>
                <w:bCs/>
                <w:i w:val="0"/>
                <w:iCs w:val="0"/>
                <w:caps w:val="0"/>
                <w:color w:val="auto"/>
                <w:spacing w:val="0"/>
                <w:kern w:val="0"/>
                <w:sz w:val="21"/>
                <w:szCs w:val="24"/>
                <w:lang w:val="en-US" w:eastAsia="zh-CN" w:bidi="ar"/>
              </w:rPr>
              <w:t>8.刷胶</w:t>
            </w:r>
            <w:r>
              <w:rPr>
                <w:rFonts w:hint="eastAsia" w:cs="Segoe UI"/>
                <w:b/>
                <w:bCs/>
                <w:i w:val="0"/>
                <w:iCs w:val="0"/>
                <w:caps w:val="0"/>
                <w:color w:val="auto"/>
                <w:spacing w:val="0"/>
                <w:kern w:val="0"/>
                <w:sz w:val="21"/>
                <w:szCs w:val="24"/>
                <w:lang w:val="en-US" w:eastAsia="zh-CN" w:bidi="ar"/>
              </w:rPr>
              <w:t>/</w:t>
            </w:r>
            <w:r>
              <w:rPr>
                <w:rFonts w:hint="default" w:ascii="Times New Roman" w:hAnsi="Times New Roman" w:eastAsia="宋体" w:cs="Segoe UI"/>
                <w:b/>
                <w:bCs/>
                <w:i w:val="0"/>
                <w:iCs w:val="0"/>
                <w:caps w:val="0"/>
                <w:color w:val="auto"/>
                <w:spacing w:val="0"/>
                <w:kern w:val="0"/>
                <w:sz w:val="21"/>
                <w:szCs w:val="24"/>
                <w:lang w:val="en-US" w:eastAsia="zh-CN" w:bidi="ar"/>
              </w:rPr>
              <w:t>烘干</w:t>
            </w:r>
          </w:p>
          <w:p w14:paraId="1C087D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default" w:ascii="Times New Roman" w:hAnsi="Times New Roman" w:eastAsia="宋体" w:cs="unset"/>
                <w:color w:val="auto"/>
                <w:kern w:val="2"/>
                <w:sz w:val="21"/>
                <w:szCs w:val="24"/>
                <w:lang w:val="en-US" w:eastAsia="zh-CN" w:bidi="ar-SA"/>
              </w:rPr>
              <w:t>处理剂烘干后，在鞋面底部边缘和</w:t>
            </w:r>
            <w:r>
              <w:rPr>
                <w:rFonts w:hint="eastAsia" w:cs="unset"/>
                <w:color w:val="auto"/>
                <w:kern w:val="2"/>
                <w:sz w:val="21"/>
                <w:szCs w:val="24"/>
                <w:lang w:val="en-US" w:eastAsia="zh-CN" w:bidi="ar-SA"/>
              </w:rPr>
              <w:t>鞋底（包括复合鞋底、EVA鞋底）边缘</w:t>
            </w:r>
            <w:r>
              <w:rPr>
                <w:rFonts w:hint="default" w:ascii="Times New Roman" w:hAnsi="Times New Roman" w:eastAsia="宋体" w:cs="unset"/>
                <w:color w:val="auto"/>
                <w:kern w:val="2"/>
                <w:sz w:val="21"/>
                <w:szCs w:val="24"/>
                <w:lang w:val="en-US" w:eastAsia="zh-CN" w:bidi="ar-SA"/>
              </w:rPr>
              <w:t>贴合面涂刷水性PU胶</w:t>
            </w:r>
            <w:r>
              <w:rPr>
                <w:rFonts w:hint="eastAsia" w:cs="unset"/>
                <w:color w:val="auto"/>
                <w:kern w:val="2"/>
                <w:sz w:val="21"/>
                <w:szCs w:val="24"/>
                <w:lang w:val="en-US" w:eastAsia="zh-CN" w:bidi="ar-SA"/>
              </w:rPr>
              <w:t>并烘干</w:t>
            </w:r>
            <w:r>
              <w:rPr>
                <w:rFonts w:hint="default" w:ascii="Times New Roman" w:hAnsi="Times New Roman" w:eastAsia="宋体" w:cs="unset"/>
                <w:color w:val="auto"/>
                <w:kern w:val="2"/>
                <w:sz w:val="21"/>
                <w:szCs w:val="24"/>
                <w:lang w:val="en-US" w:eastAsia="zh-CN" w:bidi="ar-SA"/>
              </w:rPr>
              <w:t>（约60~70℃），使胶层中的水分和有机溶剂充分挥发，胶粘剂初步干燥并活化，形成具有粘性的胶膜。为提高粘合强度，本工序需进行两次涂胶及烘干，第二次涂胶在已干燥的第一层胶膜上同步涂刷第二层水性PU胶，再次送入烘干线烘干，使胶层完全活化，达到最佳粘性状态。</w:t>
            </w:r>
          </w:p>
          <w:p w14:paraId="106D03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eastAsia" w:ascii="Times New Roman" w:hAnsi="Times New Roman" w:eastAsia="宋体" w:cs="Segoe UI"/>
                <w:b w:val="0"/>
                <w:bCs w:val="0"/>
                <w:i w:val="0"/>
                <w:iCs w:val="0"/>
                <w:caps w:val="0"/>
                <w:color w:val="0F1115"/>
                <w:spacing w:val="0"/>
                <w:sz w:val="21"/>
                <w:szCs w:val="24"/>
                <w:shd w:val="clear" w:fill="FFFFFF"/>
                <w:lang w:val="en-US" w:eastAsia="zh-CN"/>
              </w:rPr>
              <w:t>此工序</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val="en-US" w:eastAsia="zh-CN"/>
              </w:rPr>
              <w:t>，</w:t>
            </w:r>
            <w:r>
              <w:rPr>
                <w:rFonts w:hint="default" w:ascii="Times New Roman" w:hAnsi="Times New Roman" w:eastAsia="宋体" w:cs="Segoe UI"/>
                <w:b w:val="0"/>
                <w:bCs w:val="0"/>
                <w:i w:val="0"/>
                <w:iCs w:val="0"/>
                <w:caps w:val="0"/>
                <w:color w:val="0F1115"/>
                <w:spacing w:val="0"/>
                <w:sz w:val="21"/>
                <w:szCs w:val="24"/>
                <w:shd w:val="clear" w:fill="FFFFFF"/>
                <w:lang w:val="en-US" w:eastAsia="zh-CN"/>
              </w:rPr>
              <w:t>涂</w:t>
            </w:r>
            <w:r>
              <w:rPr>
                <w:rFonts w:hint="default" w:ascii="Times New Roman" w:hAnsi="Times New Roman" w:eastAsia="宋体" w:cs="unset"/>
                <w:color w:val="auto"/>
                <w:kern w:val="2"/>
                <w:sz w:val="21"/>
                <w:szCs w:val="24"/>
                <w:lang w:val="en-US" w:eastAsia="zh-CN" w:bidi="ar-SA"/>
              </w:rPr>
              <w:t>胶及烘干过程产生有机废气（非甲烷总烃、总VOCs）和臭气浓度；产生废胶桶（危险废物）；设备运行产生噪声。</w:t>
            </w:r>
          </w:p>
          <w:p w14:paraId="5EB72ED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auto"/>
              <w:ind w:left="0" w:leftChars="0" w:right="0" w:rightChars="0" w:firstLine="422" w:firstLineChars="200"/>
              <w:jc w:val="left"/>
              <w:textAlignment w:val="auto"/>
              <w:outlineLvl w:val="3"/>
              <w:rPr>
                <w:rFonts w:hint="default" w:ascii="Times New Roman" w:hAnsi="Times New Roman" w:eastAsia="宋体" w:cs="Segoe UI"/>
                <w:b/>
                <w:bCs/>
                <w:i w:val="0"/>
                <w:iCs w:val="0"/>
                <w:caps w:val="0"/>
                <w:color w:val="auto"/>
                <w:spacing w:val="0"/>
                <w:kern w:val="0"/>
                <w:sz w:val="21"/>
                <w:szCs w:val="24"/>
                <w:lang w:val="en-US" w:eastAsia="zh-CN" w:bidi="ar"/>
              </w:rPr>
            </w:pPr>
            <w:r>
              <w:rPr>
                <w:rFonts w:hint="default" w:ascii="Times New Roman" w:hAnsi="Times New Roman" w:eastAsia="宋体" w:cs="Segoe UI"/>
                <w:b/>
                <w:bCs/>
                <w:i w:val="0"/>
                <w:iCs w:val="0"/>
                <w:caps w:val="0"/>
                <w:color w:val="auto"/>
                <w:spacing w:val="0"/>
                <w:kern w:val="0"/>
                <w:sz w:val="21"/>
                <w:szCs w:val="24"/>
                <w:lang w:val="en-US" w:eastAsia="zh-CN" w:bidi="ar"/>
              </w:rPr>
              <w:t>9.贴合（鞋面+成品大底）</w:t>
            </w:r>
          </w:p>
          <w:p w14:paraId="76D1BA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default" w:ascii="Times New Roman" w:hAnsi="Times New Roman" w:eastAsia="宋体" w:cs="unset"/>
                <w:color w:val="auto"/>
                <w:kern w:val="2"/>
                <w:sz w:val="21"/>
                <w:szCs w:val="24"/>
                <w:lang w:val="en-US" w:eastAsia="zh-CN" w:bidi="ar-SA"/>
              </w:rPr>
              <w:t>将烘干的鞋面与</w:t>
            </w:r>
            <w:r>
              <w:rPr>
                <w:rFonts w:hint="eastAsia" w:cs="unset"/>
                <w:color w:val="auto"/>
                <w:kern w:val="2"/>
                <w:sz w:val="21"/>
                <w:szCs w:val="24"/>
                <w:lang w:val="en-US" w:eastAsia="zh-CN" w:bidi="ar-SA"/>
              </w:rPr>
              <w:t>鞋底</w:t>
            </w:r>
            <w:r>
              <w:rPr>
                <w:rFonts w:hint="default" w:ascii="Times New Roman" w:hAnsi="Times New Roman" w:eastAsia="宋体" w:cs="unset"/>
                <w:color w:val="auto"/>
                <w:kern w:val="2"/>
                <w:sz w:val="21"/>
                <w:szCs w:val="24"/>
                <w:lang w:val="en-US" w:eastAsia="zh-CN" w:bidi="ar-SA"/>
              </w:rPr>
              <w:t>对齐贴合，使鞋面底部边缘准确粘合在大底边缘上，确保位置精准、边缘整齐、一次到位，避免反复调整影响粘合强度。</w:t>
            </w:r>
          </w:p>
          <w:p w14:paraId="0DC770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eastAsia" w:ascii="Times New Roman" w:hAnsi="Times New Roman" w:eastAsia="宋体" w:cs="Segoe UI"/>
                <w:b w:val="0"/>
                <w:bCs w:val="0"/>
                <w:i w:val="0"/>
                <w:iCs w:val="0"/>
                <w:caps w:val="0"/>
                <w:color w:val="0F1115"/>
                <w:spacing w:val="0"/>
                <w:sz w:val="21"/>
                <w:szCs w:val="24"/>
                <w:shd w:val="clear" w:fill="FFFFFF"/>
                <w:lang w:val="en-US" w:eastAsia="zh-CN"/>
              </w:rPr>
              <w:t>此工序</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val="en-US" w:eastAsia="zh-CN"/>
              </w:rPr>
              <w:t>，</w:t>
            </w:r>
            <w:r>
              <w:rPr>
                <w:rFonts w:hint="default" w:ascii="Times New Roman" w:hAnsi="Times New Roman" w:eastAsia="宋体" w:cs="Segoe UI"/>
                <w:b w:val="0"/>
                <w:bCs w:val="0"/>
                <w:i w:val="0"/>
                <w:iCs w:val="0"/>
                <w:caps w:val="0"/>
                <w:color w:val="0F1115"/>
                <w:spacing w:val="0"/>
                <w:sz w:val="21"/>
                <w:szCs w:val="24"/>
                <w:shd w:val="clear" w:fill="FFFFFF"/>
                <w:lang w:val="en-US" w:eastAsia="zh-CN"/>
              </w:rPr>
              <w:t>无</w:t>
            </w:r>
            <w:r>
              <w:rPr>
                <w:rFonts w:hint="default" w:ascii="Times New Roman" w:hAnsi="Times New Roman" w:eastAsia="宋体" w:cs="unset"/>
                <w:color w:val="auto"/>
                <w:kern w:val="2"/>
                <w:sz w:val="21"/>
                <w:szCs w:val="24"/>
                <w:lang w:val="en-US" w:eastAsia="zh-CN" w:bidi="ar-SA"/>
              </w:rPr>
              <w:t>新增污染物。</w:t>
            </w:r>
          </w:p>
          <w:p w14:paraId="39A1B8D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auto"/>
              <w:ind w:left="0" w:leftChars="0" w:right="0" w:rightChars="0" w:firstLine="422" w:firstLineChars="200"/>
              <w:jc w:val="left"/>
              <w:textAlignment w:val="auto"/>
              <w:outlineLvl w:val="3"/>
              <w:rPr>
                <w:rFonts w:hint="default" w:ascii="Times New Roman" w:hAnsi="Times New Roman" w:eastAsia="宋体" w:cs="Segoe UI"/>
                <w:b/>
                <w:bCs/>
                <w:i w:val="0"/>
                <w:iCs w:val="0"/>
                <w:caps w:val="0"/>
                <w:color w:val="auto"/>
                <w:spacing w:val="0"/>
                <w:kern w:val="0"/>
                <w:sz w:val="21"/>
                <w:szCs w:val="24"/>
                <w:lang w:val="en-US" w:eastAsia="zh-CN" w:bidi="ar"/>
              </w:rPr>
            </w:pPr>
            <w:r>
              <w:rPr>
                <w:rFonts w:hint="default" w:ascii="Times New Roman" w:hAnsi="Times New Roman" w:eastAsia="宋体" w:cs="Segoe UI"/>
                <w:b/>
                <w:bCs/>
                <w:i w:val="0"/>
                <w:iCs w:val="0"/>
                <w:caps w:val="0"/>
                <w:color w:val="auto"/>
                <w:spacing w:val="0"/>
                <w:kern w:val="0"/>
                <w:sz w:val="21"/>
                <w:szCs w:val="24"/>
                <w:lang w:val="en-US" w:eastAsia="zh-CN" w:bidi="ar"/>
              </w:rPr>
              <w:t>1</w:t>
            </w:r>
            <w:r>
              <w:rPr>
                <w:rFonts w:hint="eastAsia" w:cs="Segoe UI"/>
                <w:b/>
                <w:bCs/>
                <w:i w:val="0"/>
                <w:iCs w:val="0"/>
                <w:caps w:val="0"/>
                <w:color w:val="auto"/>
                <w:spacing w:val="0"/>
                <w:kern w:val="0"/>
                <w:sz w:val="21"/>
                <w:szCs w:val="24"/>
                <w:lang w:val="en-US" w:eastAsia="zh-CN" w:bidi="ar"/>
              </w:rPr>
              <w:t>0</w:t>
            </w:r>
            <w:r>
              <w:rPr>
                <w:rFonts w:hint="default" w:ascii="Times New Roman" w:hAnsi="Times New Roman" w:eastAsia="宋体" w:cs="Segoe UI"/>
                <w:b/>
                <w:bCs/>
                <w:i w:val="0"/>
                <w:iCs w:val="0"/>
                <w:caps w:val="0"/>
                <w:color w:val="auto"/>
                <w:spacing w:val="0"/>
                <w:kern w:val="0"/>
                <w:sz w:val="21"/>
                <w:szCs w:val="24"/>
                <w:lang w:val="en-US" w:eastAsia="zh-CN" w:bidi="ar"/>
              </w:rPr>
              <w:t>.压底</w:t>
            </w:r>
          </w:p>
          <w:p w14:paraId="50A7D8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default" w:ascii="Times New Roman" w:hAnsi="Times New Roman" w:eastAsia="宋体" w:cs="unset"/>
                <w:color w:val="auto"/>
                <w:kern w:val="2"/>
                <w:sz w:val="21"/>
                <w:szCs w:val="24"/>
                <w:lang w:val="en-US" w:eastAsia="zh-CN" w:bidi="ar-SA"/>
              </w:rPr>
              <w:t>半成品鞋送入压底机进行加压压实（约30</w:t>
            </w:r>
            <w:r>
              <w:rPr>
                <w:rFonts w:hint="eastAsia" w:cs="unset"/>
                <w:color w:val="auto"/>
                <w:kern w:val="2"/>
                <w:sz w:val="21"/>
                <w:szCs w:val="24"/>
                <w:lang w:val="en-US" w:eastAsia="zh-CN" w:bidi="ar-SA"/>
              </w:rPr>
              <w:t>～</w:t>
            </w:r>
            <w:r>
              <w:rPr>
                <w:rFonts w:hint="default" w:ascii="Times New Roman" w:hAnsi="Times New Roman" w:eastAsia="宋体" w:cs="unset"/>
                <w:color w:val="auto"/>
                <w:kern w:val="2"/>
                <w:sz w:val="21"/>
                <w:szCs w:val="24"/>
                <w:lang w:val="en-US" w:eastAsia="zh-CN" w:bidi="ar-SA"/>
              </w:rPr>
              <w:t>60秒），使胶层与鞋面、鞋底材料充分紧密接触，排除胶层中的气泡，确保粘合面无空隙，达到最大粘合强度。</w:t>
            </w:r>
          </w:p>
          <w:p w14:paraId="397003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eastAsia" w:ascii="Times New Roman" w:hAnsi="Times New Roman" w:eastAsia="宋体" w:cs="Segoe UI"/>
                <w:b w:val="0"/>
                <w:bCs w:val="0"/>
                <w:i w:val="0"/>
                <w:iCs w:val="0"/>
                <w:caps w:val="0"/>
                <w:color w:val="0F1115"/>
                <w:spacing w:val="0"/>
                <w:sz w:val="21"/>
                <w:szCs w:val="24"/>
                <w:shd w:val="clear" w:fill="FFFFFF"/>
                <w:lang w:val="en-US" w:eastAsia="zh-CN"/>
              </w:rPr>
              <w:t>此工序</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val="en-US" w:eastAsia="zh-CN"/>
              </w:rPr>
              <w:t>，</w:t>
            </w:r>
            <w:r>
              <w:rPr>
                <w:rFonts w:hint="default" w:ascii="Times New Roman" w:hAnsi="Times New Roman" w:eastAsia="宋体" w:cs="unset"/>
                <w:color w:val="auto"/>
                <w:kern w:val="2"/>
                <w:sz w:val="21"/>
                <w:szCs w:val="24"/>
                <w:lang w:val="en-US" w:eastAsia="zh-CN" w:bidi="ar-SA"/>
              </w:rPr>
              <w:t>设备运行产生噪声。</w:t>
            </w:r>
          </w:p>
          <w:p w14:paraId="2EBCF4B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auto"/>
              <w:ind w:left="0" w:leftChars="0" w:right="0" w:rightChars="0" w:firstLine="422" w:firstLineChars="200"/>
              <w:jc w:val="left"/>
              <w:textAlignment w:val="auto"/>
              <w:outlineLvl w:val="3"/>
              <w:rPr>
                <w:rFonts w:hint="default" w:ascii="Times New Roman" w:hAnsi="Times New Roman" w:eastAsia="宋体" w:cs="Segoe UI"/>
                <w:b/>
                <w:bCs/>
                <w:i w:val="0"/>
                <w:iCs w:val="0"/>
                <w:caps w:val="0"/>
                <w:color w:val="auto"/>
                <w:spacing w:val="0"/>
                <w:kern w:val="0"/>
                <w:sz w:val="21"/>
                <w:szCs w:val="24"/>
                <w:lang w:val="en-US" w:eastAsia="zh-CN" w:bidi="ar"/>
              </w:rPr>
            </w:pPr>
            <w:r>
              <w:rPr>
                <w:rFonts w:hint="default" w:ascii="Times New Roman" w:hAnsi="Times New Roman" w:eastAsia="宋体" w:cs="Segoe UI"/>
                <w:b/>
                <w:bCs/>
                <w:i w:val="0"/>
                <w:iCs w:val="0"/>
                <w:caps w:val="0"/>
                <w:color w:val="auto"/>
                <w:spacing w:val="0"/>
                <w:kern w:val="0"/>
                <w:sz w:val="21"/>
                <w:szCs w:val="24"/>
                <w:lang w:val="en-US" w:eastAsia="zh-CN" w:bidi="ar"/>
              </w:rPr>
              <w:t>1</w:t>
            </w:r>
            <w:r>
              <w:rPr>
                <w:rFonts w:hint="eastAsia" w:cs="Segoe UI"/>
                <w:b/>
                <w:bCs/>
                <w:i w:val="0"/>
                <w:iCs w:val="0"/>
                <w:caps w:val="0"/>
                <w:color w:val="auto"/>
                <w:spacing w:val="0"/>
                <w:kern w:val="0"/>
                <w:sz w:val="21"/>
                <w:szCs w:val="24"/>
                <w:lang w:val="en-US" w:eastAsia="zh-CN" w:bidi="ar"/>
              </w:rPr>
              <w:t>1</w:t>
            </w:r>
            <w:r>
              <w:rPr>
                <w:rFonts w:hint="default" w:ascii="Times New Roman" w:hAnsi="Times New Roman" w:eastAsia="宋体" w:cs="Segoe UI"/>
                <w:b/>
                <w:bCs/>
                <w:i w:val="0"/>
                <w:iCs w:val="0"/>
                <w:caps w:val="0"/>
                <w:color w:val="auto"/>
                <w:spacing w:val="0"/>
                <w:kern w:val="0"/>
                <w:sz w:val="21"/>
                <w:szCs w:val="24"/>
                <w:lang w:val="en-US" w:eastAsia="zh-CN" w:bidi="ar"/>
              </w:rPr>
              <w:t>.补胶</w:t>
            </w:r>
            <w:r>
              <w:rPr>
                <w:rFonts w:hint="eastAsia" w:cs="Segoe UI"/>
                <w:b/>
                <w:bCs/>
                <w:i w:val="0"/>
                <w:iCs w:val="0"/>
                <w:caps w:val="0"/>
                <w:color w:val="auto"/>
                <w:spacing w:val="0"/>
                <w:kern w:val="0"/>
                <w:sz w:val="21"/>
                <w:szCs w:val="24"/>
                <w:lang w:val="en-US" w:eastAsia="zh-CN" w:bidi="ar"/>
              </w:rPr>
              <w:t>/</w:t>
            </w:r>
            <w:r>
              <w:rPr>
                <w:rFonts w:hint="default" w:ascii="Times New Roman" w:hAnsi="Times New Roman" w:eastAsia="宋体" w:cs="Segoe UI"/>
                <w:b/>
                <w:bCs/>
                <w:i w:val="0"/>
                <w:iCs w:val="0"/>
                <w:caps w:val="0"/>
                <w:color w:val="auto"/>
                <w:spacing w:val="0"/>
                <w:kern w:val="0"/>
                <w:sz w:val="21"/>
                <w:szCs w:val="24"/>
                <w:lang w:val="en-US" w:eastAsia="zh-CN" w:bidi="ar"/>
              </w:rPr>
              <w:t>烘干</w:t>
            </w:r>
          </w:p>
          <w:p w14:paraId="2FB46C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default" w:ascii="Times New Roman" w:hAnsi="Times New Roman" w:eastAsia="宋体" w:cs="unset"/>
                <w:color w:val="auto"/>
                <w:kern w:val="2"/>
                <w:sz w:val="21"/>
                <w:szCs w:val="24"/>
                <w:lang w:val="en-US" w:eastAsia="zh-CN" w:bidi="ar-SA"/>
              </w:rPr>
              <w:t>压底后对鞋面与鞋底接合处出现的缺胶部位进行人工补胶，补胶后经恒温烘干线烘干（约60~70℃），使补胶处的胶粘剂充分干燥固化。</w:t>
            </w:r>
          </w:p>
          <w:p w14:paraId="1C70A2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eastAsia" w:ascii="Times New Roman" w:hAnsi="Times New Roman" w:eastAsia="宋体" w:cs="Segoe UI"/>
                <w:b w:val="0"/>
                <w:bCs w:val="0"/>
                <w:i w:val="0"/>
                <w:iCs w:val="0"/>
                <w:caps w:val="0"/>
                <w:color w:val="0F1115"/>
                <w:spacing w:val="0"/>
                <w:sz w:val="21"/>
                <w:szCs w:val="24"/>
                <w:shd w:val="clear" w:fill="FFFFFF"/>
                <w:lang w:val="en-US" w:eastAsia="zh-CN"/>
              </w:rPr>
              <w:t>此工序</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val="en-US" w:eastAsia="zh-CN"/>
              </w:rPr>
              <w:t>，</w:t>
            </w:r>
            <w:r>
              <w:rPr>
                <w:rFonts w:hint="default" w:ascii="Times New Roman" w:hAnsi="Times New Roman" w:eastAsia="宋体" w:cs="Segoe UI"/>
                <w:b w:val="0"/>
                <w:bCs w:val="0"/>
                <w:i w:val="0"/>
                <w:iCs w:val="0"/>
                <w:caps w:val="0"/>
                <w:color w:val="0F1115"/>
                <w:spacing w:val="0"/>
                <w:sz w:val="21"/>
                <w:szCs w:val="24"/>
                <w:shd w:val="clear" w:fill="FFFFFF"/>
                <w:lang w:val="en-US" w:eastAsia="zh-CN"/>
              </w:rPr>
              <w:t>补</w:t>
            </w:r>
            <w:r>
              <w:rPr>
                <w:rFonts w:hint="default" w:ascii="Times New Roman" w:hAnsi="Times New Roman" w:eastAsia="宋体" w:cs="unset"/>
                <w:color w:val="auto"/>
                <w:kern w:val="2"/>
                <w:sz w:val="21"/>
                <w:szCs w:val="24"/>
                <w:lang w:val="en-US" w:eastAsia="zh-CN" w:bidi="ar-SA"/>
              </w:rPr>
              <w:t>胶及烘干过程产生少量有机废气（非甲烷总烃、总VOCs）和臭气浓度；产生废胶桶（危险废物）。</w:t>
            </w:r>
          </w:p>
          <w:p w14:paraId="6A6BEFC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auto"/>
              <w:ind w:left="0" w:leftChars="0" w:right="0" w:rightChars="0" w:firstLine="422" w:firstLineChars="200"/>
              <w:jc w:val="left"/>
              <w:textAlignment w:val="auto"/>
              <w:outlineLvl w:val="3"/>
              <w:rPr>
                <w:rFonts w:hint="default" w:ascii="Times New Roman" w:hAnsi="Times New Roman" w:eastAsia="宋体" w:cs="Segoe UI"/>
                <w:b/>
                <w:bCs/>
                <w:i w:val="0"/>
                <w:iCs w:val="0"/>
                <w:caps w:val="0"/>
                <w:color w:val="auto"/>
                <w:spacing w:val="0"/>
                <w:kern w:val="0"/>
                <w:sz w:val="21"/>
                <w:szCs w:val="24"/>
                <w:lang w:val="en-US" w:eastAsia="zh-CN" w:bidi="ar"/>
              </w:rPr>
            </w:pPr>
            <w:r>
              <w:rPr>
                <w:rFonts w:hint="eastAsia" w:cs="Segoe UI"/>
                <w:b/>
                <w:bCs/>
                <w:i w:val="0"/>
                <w:iCs w:val="0"/>
                <w:caps w:val="0"/>
                <w:color w:val="auto"/>
                <w:spacing w:val="0"/>
                <w:kern w:val="0"/>
                <w:sz w:val="21"/>
                <w:szCs w:val="24"/>
                <w:lang w:val="en-US" w:eastAsia="zh-CN" w:bidi="ar"/>
              </w:rPr>
              <w:t>12</w:t>
            </w:r>
            <w:r>
              <w:rPr>
                <w:rFonts w:hint="default" w:ascii="Times New Roman" w:hAnsi="Times New Roman" w:eastAsia="宋体" w:cs="Segoe UI"/>
                <w:b/>
                <w:bCs/>
                <w:i w:val="0"/>
                <w:iCs w:val="0"/>
                <w:caps w:val="0"/>
                <w:color w:val="auto"/>
                <w:spacing w:val="0"/>
                <w:kern w:val="0"/>
                <w:sz w:val="21"/>
                <w:szCs w:val="24"/>
                <w:lang w:val="en-US" w:eastAsia="zh-CN" w:bidi="ar"/>
              </w:rPr>
              <w:t>.除皱</w:t>
            </w:r>
          </w:p>
          <w:p w14:paraId="073BD8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default" w:ascii="Times New Roman" w:hAnsi="Times New Roman" w:eastAsia="宋体" w:cs="unset"/>
                <w:color w:val="auto"/>
                <w:kern w:val="2"/>
                <w:sz w:val="21"/>
                <w:szCs w:val="24"/>
                <w:lang w:val="en-US" w:eastAsia="zh-CN" w:bidi="ar-SA"/>
              </w:rPr>
              <w:t>采用传送除皱机对冷定型后的成品鞋进行熨烫除皱处理，使鞋面外表面平整光滑，提升外观品质。</w:t>
            </w:r>
            <w:r>
              <w:rPr>
                <w:rFonts w:hint="eastAsia" w:ascii="Times New Roman" w:hAnsi="Times New Roman" w:eastAsia="宋体" w:cs="Segoe UI"/>
                <w:b w:val="0"/>
                <w:bCs w:val="0"/>
                <w:i w:val="0"/>
                <w:iCs w:val="0"/>
                <w:caps w:val="0"/>
                <w:color w:val="0F1115"/>
                <w:spacing w:val="0"/>
                <w:sz w:val="21"/>
                <w:szCs w:val="24"/>
                <w:shd w:val="clear" w:fill="FFFFFF"/>
                <w:lang w:val="en-US" w:eastAsia="zh-CN"/>
              </w:rPr>
              <w:t>此工序</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val="en-US" w:eastAsia="zh-CN"/>
              </w:rPr>
              <w:t>，</w:t>
            </w:r>
            <w:r>
              <w:rPr>
                <w:rFonts w:hint="default" w:ascii="Times New Roman" w:hAnsi="Times New Roman" w:eastAsia="宋体" w:cs="unset"/>
                <w:color w:val="auto"/>
                <w:kern w:val="2"/>
                <w:sz w:val="21"/>
                <w:szCs w:val="24"/>
                <w:lang w:val="en-US" w:eastAsia="zh-CN" w:bidi="ar-SA"/>
              </w:rPr>
              <w:t>除皱机运行产生噪声。</w:t>
            </w:r>
          </w:p>
          <w:p w14:paraId="4B47865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auto"/>
              <w:ind w:left="0" w:leftChars="0" w:right="0" w:rightChars="0" w:firstLine="422" w:firstLineChars="200"/>
              <w:jc w:val="left"/>
              <w:textAlignment w:val="auto"/>
              <w:outlineLvl w:val="3"/>
              <w:rPr>
                <w:rFonts w:hint="default" w:ascii="Times New Roman" w:hAnsi="Times New Roman" w:eastAsia="宋体" w:cs="Segoe UI"/>
                <w:b/>
                <w:bCs/>
                <w:i w:val="0"/>
                <w:iCs w:val="0"/>
                <w:caps w:val="0"/>
                <w:color w:val="auto"/>
                <w:spacing w:val="0"/>
                <w:kern w:val="0"/>
                <w:sz w:val="21"/>
                <w:szCs w:val="24"/>
                <w:lang w:val="en-US" w:eastAsia="zh-CN" w:bidi="ar"/>
              </w:rPr>
            </w:pPr>
            <w:r>
              <w:rPr>
                <w:rFonts w:hint="default" w:ascii="Times New Roman" w:hAnsi="Times New Roman" w:eastAsia="宋体" w:cs="Segoe UI"/>
                <w:b/>
                <w:bCs/>
                <w:i w:val="0"/>
                <w:iCs w:val="0"/>
                <w:caps w:val="0"/>
                <w:color w:val="auto"/>
                <w:spacing w:val="0"/>
                <w:kern w:val="0"/>
                <w:sz w:val="21"/>
                <w:szCs w:val="24"/>
                <w:lang w:val="en-US" w:eastAsia="zh-CN" w:bidi="ar"/>
              </w:rPr>
              <w:t>1</w:t>
            </w:r>
            <w:r>
              <w:rPr>
                <w:rFonts w:hint="eastAsia" w:cs="Segoe UI"/>
                <w:b/>
                <w:bCs/>
                <w:i w:val="0"/>
                <w:iCs w:val="0"/>
                <w:caps w:val="0"/>
                <w:color w:val="auto"/>
                <w:spacing w:val="0"/>
                <w:kern w:val="0"/>
                <w:sz w:val="21"/>
                <w:szCs w:val="24"/>
                <w:lang w:val="en-US" w:eastAsia="zh-CN" w:bidi="ar"/>
              </w:rPr>
              <w:t>3</w:t>
            </w:r>
            <w:r>
              <w:rPr>
                <w:rFonts w:hint="default" w:ascii="Times New Roman" w:hAnsi="Times New Roman" w:eastAsia="宋体" w:cs="Segoe UI"/>
                <w:b/>
                <w:bCs/>
                <w:i w:val="0"/>
                <w:iCs w:val="0"/>
                <w:caps w:val="0"/>
                <w:color w:val="auto"/>
                <w:spacing w:val="0"/>
                <w:kern w:val="0"/>
                <w:sz w:val="21"/>
                <w:szCs w:val="24"/>
                <w:lang w:val="en-US" w:eastAsia="zh-CN" w:bidi="ar"/>
              </w:rPr>
              <w:t>.冷定型</w:t>
            </w:r>
          </w:p>
          <w:p w14:paraId="577A71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default" w:ascii="Times New Roman" w:hAnsi="Times New Roman" w:eastAsia="宋体" w:cs="unset"/>
                <w:color w:val="auto"/>
                <w:kern w:val="2"/>
                <w:sz w:val="21"/>
                <w:szCs w:val="24"/>
                <w:lang w:val="en-US" w:eastAsia="zh-CN" w:bidi="ar-SA"/>
              </w:rPr>
              <w:t>将烘干后的成品鞋送入冷柜进行冷却定型（约0~10℃），使胶层在低温条件下快速稳定固化，减少热胀冷缩引起的变形和脱胶风险，保持鞋型挺括美观。</w:t>
            </w:r>
          </w:p>
          <w:p w14:paraId="7F6FF0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eastAsia" w:ascii="Times New Roman" w:hAnsi="Times New Roman" w:eastAsia="宋体" w:cs="Segoe UI"/>
                <w:b w:val="0"/>
                <w:bCs w:val="0"/>
                <w:i w:val="0"/>
                <w:iCs w:val="0"/>
                <w:caps w:val="0"/>
                <w:color w:val="0F1115"/>
                <w:spacing w:val="0"/>
                <w:sz w:val="21"/>
                <w:szCs w:val="24"/>
                <w:shd w:val="clear" w:fill="FFFFFF"/>
                <w:lang w:val="en-US" w:eastAsia="zh-CN"/>
              </w:rPr>
              <w:t>此工序</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val="en-US" w:eastAsia="zh-CN"/>
              </w:rPr>
              <w:t>，</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冷</w:t>
            </w:r>
            <w:r>
              <w:rPr>
                <w:rFonts w:hint="default" w:ascii="Times New Roman" w:hAnsi="Times New Roman" w:eastAsia="宋体" w:cs="unset"/>
                <w:color w:val="auto"/>
                <w:kern w:val="2"/>
                <w:sz w:val="21"/>
                <w:szCs w:val="24"/>
                <w:lang w:val="en-US" w:eastAsia="zh-CN" w:bidi="ar-SA"/>
              </w:rPr>
              <w:t>柜运行产生噪声。</w:t>
            </w:r>
          </w:p>
          <w:p w14:paraId="4828AFC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auto"/>
              <w:ind w:left="0" w:leftChars="0" w:right="0" w:rightChars="0" w:firstLine="422" w:firstLineChars="200"/>
              <w:jc w:val="left"/>
              <w:textAlignment w:val="auto"/>
              <w:outlineLvl w:val="3"/>
              <w:rPr>
                <w:rFonts w:hint="default" w:ascii="Times New Roman" w:hAnsi="Times New Roman" w:eastAsia="宋体" w:cs="Segoe UI"/>
                <w:b/>
                <w:bCs/>
                <w:i w:val="0"/>
                <w:iCs w:val="0"/>
                <w:caps w:val="0"/>
                <w:color w:val="auto"/>
                <w:spacing w:val="0"/>
                <w:kern w:val="0"/>
                <w:sz w:val="21"/>
                <w:szCs w:val="24"/>
                <w:lang w:val="en-US" w:eastAsia="zh-CN" w:bidi="ar"/>
              </w:rPr>
            </w:pPr>
            <w:r>
              <w:rPr>
                <w:rFonts w:hint="default" w:ascii="Times New Roman" w:hAnsi="Times New Roman" w:eastAsia="宋体" w:cs="Segoe UI"/>
                <w:b/>
                <w:bCs/>
                <w:i w:val="0"/>
                <w:iCs w:val="0"/>
                <w:caps w:val="0"/>
                <w:color w:val="auto"/>
                <w:spacing w:val="0"/>
                <w:kern w:val="0"/>
                <w:sz w:val="21"/>
                <w:szCs w:val="24"/>
                <w:lang w:val="en-US" w:eastAsia="zh-CN" w:bidi="ar"/>
              </w:rPr>
              <w:t>1</w:t>
            </w:r>
            <w:r>
              <w:rPr>
                <w:rFonts w:hint="eastAsia" w:cs="Segoe UI"/>
                <w:b/>
                <w:bCs/>
                <w:i w:val="0"/>
                <w:iCs w:val="0"/>
                <w:caps w:val="0"/>
                <w:color w:val="auto"/>
                <w:spacing w:val="0"/>
                <w:kern w:val="0"/>
                <w:sz w:val="21"/>
                <w:szCs w:val="24"/>
                <w:lang w:val="en-US" w:eastAsia="zh-CN" w:bidi="ar"/>
              </w:rPr>
              <w:t>4</w:t>
            </w:r>
            <w:r>
              <w:rPr>
                <w:rFonts w:hint="default" w:ascii="Times New Roman" w:hAnsi="Times New Roman" w:eastAsia="宋体" w:cs="Segoe UI"/>
                <w:b/>
                <w:bCs/>
                <w:i w:val="0"/>
                <w:iCs w:val="0"/>
                <w:caps w:val="0"/>
                <w:color w:val="auto"/>
                <w:spacing w:val="0"/>
                <w:kern w:val="0"/>
                <w:sz w:val="21"/>
                <w:szCs w:val="24"/>
                <w:lang w:val="en-US" w:eastAsia="zh-CN" w:bidi="ar"/>
              </w:rPr>
              <w:t>.拔楦</w:t>
            </w:r>
          </w:p>
          <w:p w14:paraId="5B8A81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default" w:ascii="Times New Roman" w:hAnsi="Times New Roman" w:eastAsia="宋体" w:cs="unset"/>
                <w:color w:val="auto"/>
                <w:kern w:val="2"/>
                <w:sz w:val="21"/>
                <w:szCs w:val="24"/>
                <w:lang w:val="en-US" w:eastAsia="zh-CN" w:bidi="ar-SA"/>
              </w:rPr>
              <w:t>采用拔楦机将鞋楦从成品鞋内部拔出，得到完整的成品鞋。</w:t>
            </w:r>
          </w:p>
          <w:p w14:paraId="63940C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eastAsia" w:ascii="Times New Roman" w:hAnsi="Times New Roman" w:eastAsia="宋体" w:cs="Segoe UI"/>
                <w:b w:val="0"/>
                <w:bCs w:val="0"/>
                <w:i w:val="0"/>
                <w:iCs w:val="0"/>
                <w:caps w:val="0"/>
                <w:color w:val="0F1115"/>
                <w:spacing w:val="0"/>
                <w:sz w:val="21"/>
                <w:szCs w:val="24"/>
                <w:shd w:val="clear" w:fill="FFFFFF"/>
                <w:lang w:val="en-US" w:eastAsia="zh-CN"/>
              </w:rPr>
              <w:t>此工序</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val="en-US" w:eastAsia="zh-CN"/>
              </w:rPr>
              <w:t>，</w:t>
            </w:r>
            <w:r>
              <w:rPr>
                <w:rFonts w:hint="default" w:ascii="Times New Roman" w:hAnsi="Times New Roman" w:eastAsia="宋体" w:cs="Segoe UI"/>
                <w:b w:val="0"/>
                <w:bCs w:val="0"/>
                <w:i w:val="0"/>
                <w:iCs w:val="0"/>
                <w:caps w:val="0"/>
                <w:color w:val="0F1115"/>
                <w:spacing w:val="0"/>
                <w:sz w:val="21"/>
                <w:szCs w:val="24"/>
                <w:shd w:val="clear" w:fill="FFFFFF"/>
                <w:lang w:val="en-US" w:eastAsia="zh-CN"/>
              </w:rPr>
              <w:t>拔</w:t>
            </w:r>
            <w:r>
              <w:rPr>
                <w:rFonts w:hint="default" w:ascii="Times New Roman" w:hAnsi="Times New Roman" w:eastAsia="宋体" w:cs="unset"/>
                <w:color w:val="auto"/>
                <w:kern w:val="2"/>
                <w:sz w:val="21"/>
                <w:szCs w:val="24"/>
                <w:lang w:val="en-US" w:eastAsia="zh-CN" w:bidi="ar-SA"/>
              </w:rPr>
              <w:t>楦机运行产生噪声。</w:t>
            </w:r>
          </w:p>
          <w:p w14:paraId="0D7481A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auto"/>
              <w:ind w:left="0" w:leftChars="0" w:right="0" w:rightChars="0" w:firstLine="422" w:firstLineChars="200"/>
              <w:jc w:val="left"/>
              <w:textAlignment w:val="auto"/>
              <w:outlineLvl w:val="3"/>
              <w:rPr>
                <w:rFonts w:hint="default" w:ascii="Times New Roman" w:hAnsi="Times New Roman" w:eastAsia="宋体" w:cs="Segoe UI"/>
                <w:b/>
                <w:bCs/>
                <w:i w:val="0"/>
                <w:iCs w:val="0"/>
                <w:caps w:val="0"/>
                <w:color w:val="auto"/>
                <w:spacing w:val="0"/>
                <w:kern w:val="0"/>
                <w:sz w:val="21"/>
                <w:szCs w:val="24"/>
                <w:lang w:val="en-US" w:eastAsia="zh-CN" w:bidi="ar"/>
              </w:rPr>
            </w:pPr>
            <w:r>
              <w:rPr>
                <w:rFonts w:hint="default" w:ascii="Times New Roman" w:hAnsi="Times New Roman" w:eastAsia="宋体" w:cs="Segoe UI"/>
                <w:b/>
                <w:bCs/>
                <w:i w:val="0"/>
                <w:iCs w:val="0"/>
                <w:caps w:val="0"/>
                <w:color w:val="auto"/>
                <w:spacing w:val="0"/>
                <w:kern w:val="0"/>
                <w:sz w:val="21"/>
                <w:szCs w:val="24"/>
                <w:lang w:val="en-US" w:eastAsia="zh-CN" w:bidi="ar"/>
              </w:rPr>
              <w:t>1</w:t>
            </w:r>
            <w:r>
              <w:rPr>
                <w:rFonts w:hint="eastAsia" w:cs="Segoe UI"/>
                <w:b/>
                <w:bCs/>
                <w:i w:val="0"/>
                <w:iCs w:val="0"/>
                <w:caps w:val="0"/>
                <w:color w:val="auto"/>
                <w:spacing w:val="0"/>
                <w:kern w:val="0"/>
                <w:sz w:val="21"/>
                <w:szCs w:val="24"/>
                <w:lang w:val="en-US" w:eastAsia="zh-CN" w:bidi="ar"/>
              </w:rPr>
              <w:t>5</w:t>
            </w:r>
            <w:r>
              <w:rPr>
                <w:rFonts w:hint="default" w:ascii="Times New Roman" w:hAnsi="Times New Roman" w:eastAsia="宋体" w:cs="Segoe UI"/>
                <w:b/>
                <w:bCs/>
                <w:i w:val="0"/>
                <w:iCs w:val="0"/>
                <w:caps w:val="0"/>
                <w:color w:val="auto"/>
                <w:spacing w:val="0"/>
                <w:kern w:val="0"/>
                <w:sz w:val="21"/>
                <w:szCs w:val="24"/>
                <w:lang w:val="en-US" w:eastAsia="zh-CN" w:bidi="ar"/>
              </w:rPr>
              <w:t>.检验</w:t>
            </w:r>
          </w:p>
          <w:p w14:paraId="6BE8D2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default" w:ascii="Times New Roman" w:hAnsi="Times New Roman" w:eastAsia="宋体" w:cs="unset"/>
                <w:color w:val="auto"/>
                <w:kern w:val="2"/>
                <w:sz w:val="21"/>
                <w:szCs w:val="24"/>
                <w:lang w:val="en-US" w:eastAsia="zh-CN" w:bidi="ar-SA"/>
              </w:rPr>
              <w:t>采用验针机对成品鞋进行金属残留检测，确保鞋内无断针、金属异物残留，保证穿用安全；同时人工检查成品鞋外观质量（粘合牢固度、溢胶、色差、尺码等）。</w:t>
            </w:r>
          </w:p>
          <w:p w14:paraId="782ED4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eastAsia" w:ascii="Times New Roman" w:hAnsi="Times New Roman" w:eastAsia="宋体" w:cs="Segoe UI"/>
                <w:b w:val="0"/>
                <w:bCs w:val="0"/>
                <w:i w:val="0"/>
                <w:iCs w:val="0"/>
                <w:caps w:val="0"/>
                <w:color w:val="0F1115"/>
                <w:spacing w:val="0"/>
                <w:sz w:val="21"/>
                <w:szCs w:val="24"/>
                <w:shd w:val="clear" w:fill="FFFFFF"/>
                <w:lang w:val="en-US" w:eastAsia="zh-CN"/>
              </w:rPr>
              <w:t>此工序</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val="en-US" w:eastAsia="zh-CN"/>
              </w:rPr>
              <w:t>，</w:t>
            </w:r>
            <w:r>
              <w:rPr>
                <w:rFonts w:hint="default" w:ascii="Times New Roman" w:hAnsi="Times New Roman" w:eastAsia="宋体" w:cs="Segoe UI"/>
                <w:b w:val="0"/>
                <w:bCs w:val="0"/>
                <w:i w:val="0"/>
                <w:iCs w:val="0"/>
                <w:caps w:val="0"/>
                <w:color w:val="0F1115"/>
                <w:spacing w:val="0"/>
                <w:sz w:val="21"/>
                <w:szCs w:val="24"/>
                <w:shd w:val="clear" w:fill="FFFFFF"/>
                <w:lang w:val="en-US" w:eastAsia="zh-CN"/>
              </w:rPr>
              <w:t>产</w:t>
            </w:r>
            <w:r>
              <w:rPr>
                <w:rFonts w:hint="default" w:ascii="Times New Roman" w:hAnsi="Times New Roman" w:eastAsia="宋体" w:cs="unset"/>
                <w:color w:val="auto"/>
                <w:kern w:val="2"/>
                <w:sz w:val="21"/>
                <w:szCs w:val="24"/>
                <w:lang w:val="en-US" w:eastAsia="zh-CN" w:bidi="ar-SA"/>
              </w:rPr>
              <w:t>生不合格品（一般工业固体废物）；设备运行产生噪声。</w:t>
            </w:r>
          </w:p>
          <w:p w14:paraId="5759461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auto"/>
              <w:ind w:left="0" w:leftChars="0" w:right="0" w:rightChars="0" w:firstLine="422" w:firstLineChars="200"/>
              <w:jc w:val="left"/>
              <w:textAlignment w:val="auto"/>
              <w:outlineLvl w:val="3"/>
              <w:rPr>
                <w:rFonts w:hint="default" w:ascii="Times New Roman" w:hAnsi="Times New Roman" w:eastAsia="宋体" w:cs="Segoe UI"/>
                <w:b/>
                <w:bCs/>
                <w:i w:val="0"/>
                <w:iCs w:val="0"/>
                <w:caps w:val="0"/>
                <w:color w:val="auto"/>
                <w:spacing w:val="0"/>
                <w:kern w:val="0"/>
                <w:sz w:val="21"/>
                <w:szCs w:val="24"/>
                <w:lang w:val="en-US" w:eastAsia="zh-CN" w:bidi="ar"/>
              </w:rPr>
            </w:pPr>
            <w:r>
              <w:rPr>
                <w:rFonts w:hint="default" w:ascii="Times New Roman" w:hAnsi="Times New Roman" w:eastAsia="宋体" w:cs="Segoe UI"/>
                <w:b/>
                <w:bCs/>
                <w:i w:val="0"/>
                <w:iCs w:val="0"/>
                <w:caps w:val="0"/>
                <w:color w:val="auto"/>
                <w:spacing w:val="0"/>
                <w:kern w:val="0"/>
                <w:sz w:val="21"/>
                <w:szCs w:val="24"/>
                <w:lang w:val="en-US" w:eastAsia="zh-CN" w:bidi="ar"/>
              </w:rPr>
              <w:t>1</w:t>
            </w:r>
            <w:r>
              <w:rPr>
                <w:rFonts w:hint="eastAsia" w:cs="Segoe UI"/>
                <w:b/>
                <w:bCs/>
                <w:i w:val="0"/>
                <w:iCs w:val="0"/>
                <w:caps w:val="0"/>
                <w:color w:val="auto"/>
                <w:spacing w:val="0"/>
                <w:kern w:val="0"/>
                <w:sz w:val="21"/>
                <w:szCs w:val="24"/>
                <w:lang w:val="en-US" w:eastAsia="zh-CN" w:bidi="ar"/>
              </w:rPr>
              <w:t>6</w:t>
            </w:r>
            <w:r>
              <w:rPr>
                <w:rFonts w:hint="default" w:ascii="Times New Roman" w:hAnsi="Times New Roman" w:eastAsia="宋体" w:cs="Segoe UI"/>
                <w:b/>
                <w:bCs/>
                <w:i w:val="0"/>
                <w:iCs w:val="0"/>
                <w:caps w:val="0"/>
                <w:color w:val="auto"/>
                <w:spacing w:val="0"/>
                <w:kern w:val="0"/>
                <w:sz w:val="21"/>
                <w:szCs w:val="24"/>
                <w:lang w:val="en-US" w:eastAsia="zh-CN" w:bidi="ar"/>
              </w:rPr>
              <w:t>.包装</w:t>
            </w:r>
          </w:p>
          <w:p w14:paraId="506294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unset"/>
                <w:color w:val="auto"/>
                <w:kern w:val="2"/>
                <w:sz w:val="21"/>
                <w:szCs w:val="24"/>
                <w:lang w:val="en-US" w:eastAsia="zh-CN" w:bidi="ar-SA"/>
              </w:rPr>
            </w:pPr>
            <w:r>
              <w:rPr>
                <w:rFonts w:hint="default" w:ascii="Times New Roman" w:hAnsi="Times New Roman" w:eastAsia="宋体" w:cs="unset"/>
                <w:color w:val="auto"/>
                <w:kern w:val="2"/>
                <w:sz w:val="21"/>
                <w:szCs w:val="24"/>
                <w:lang w:val="en-US" w:eastAsia="zh-CN" w:bidi="ar-SA"/>
              </w:rPr>
              <w:t>检验合格的成品鞋进行清洁、配对、装鞋盒、贴标签、装箱等包装操作，入库待售。</w:t>
            </w:r>
          </w:p>
          <w:p w14:paraId="7E2B89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Segoe UI"/>
                <w:i w:val="0"/>
                <w:iCs w:val="0"/>
                <w:caps w:val="0"/>
                <w:color w:val="auto"/>
                <w:spacing w:val="0"/>
                <w:sz w:val="21"/>
                <w:szCs w:val="24"/>
              </w:rPr>
            </w:pPr>
            <w:r>
              <w:rPr>
                <w:rFonts w:hint="eastAsia" w:ascii="Times New Roman" w:hAnsi="Times New Roman" w:eastAsia="宋体" w:cs="Segoe UI"/>
                <w:b w:val="0"/>
                <w:bCs w:val="0"/>
                <w:i w:val="0"/>
                <w:iCs w:val="0"/>
                <w:caps w:val="0"/>
                <w:color w:val="0F1115"/>
                <w:spacing w:val="0"/>
                <w:sz w:val="21"/>
                <w:szCs w:val="24"/>
                <w:shd w:val="clear" w:fill="FFFFFF"/>
                <w:lang w:val="en-US" w:eastAsia="zh-CN"/>
              </w:rPr>
              <w:t>此工序</w:t>
            </w:r>
            <w:r>
              <w:rPr>
                <w:rFonts w:hint="default" w:ascii="Times New Roman" w:hAnsi="Times New Roman" w:eastAsia="宋体" w:cs="Segoe UI"/>
                <w:b w:val="0"/>
                <w:bCs w:val="0"/>
                <w:i w:val="0"/>
                <w:iCs w:val="0"/>
                <w:caps w:val="0"/>
                <w:color w:val="0F1115"/>
                <w:spacing w:val="0"/>
                <w:sz w:val="21"/>
                <w:szCs w:val="24"/>
                <w:shd w:val="clear" w:fill="FFFFFF"/>
                <w:lang w:val="en-US" w:eastAsia="zh-CN"/>
              </w:rPr>
              <w:t>年工作时间为2400h</w:t>
            </w:r>
            <w:r>
              <w:rPr>
                <w:rFonts w:hint="eastAsia" w:ascii="Times New Roman" w:hAnsi="Times New Roman" w:eastAsia="宋体" w:cs="Segoe UI"/>
                <w:b w:val="0"/>
                <w:bCs w:val="0"/>
                <w:i w:val="0"/>
                <w:iCs w:val="0"/>
                <w:caps w:val="0"/>
                <w:color w:val="0F1115"/>
                <w:spacing w:val="0"/>
                <w:sz w:val="21"/>
                <w:szCs w:val="24"/>
                <w:shd w:val="clear" w:fill="FFFFFF"/>
                <w:lang w:val="en-US" w:eastAsia="zh-CN"/>
              </w:rPr>
              <w:t>，</w:t>
            </w:r>
            <w:r>
              <w:rPr>
                <w:rFonts w:hint="default" w:ascii="Times New Roman" w:hAnsi="Times New Roman" w:eastAsia="宋体" w:cs="unset"/>
                <w:color w:val="auto"/>
                <w:kern w:val="2"/>
                <w:sz w:val="21"/>
                <w:szCs w:val="24"/>
                <w:lang w:val="en-US" w:eastAsia="zh-CN" w:bidi="ar-SA"/>
              </w:rPr>
              <w:t>产生废包装材料（一般工业固体废物）。</w:t>
            </w:r>
          </w:p>
          <w:p w14:paraId="7C1AE04D">
            <w:pPr>
              <w:pStyle w:val="5"/>
              <w:keepNext w:val="0"/>
              <w:keepLines w:val="0"/>
              <w:pageBreakBefore w:val="0"/>
              <w:widowControl/>
              <w:suppressLineNumbers w:val="0"/>
              <w:shd w:val="clear" w:fill="FFFFFF"/>
              <w:kinsoku/>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5、网版制作工艺流程（配套丝印工序）</w:t>
            </w:r>
          </w:p>
          <w:p w14:paraId="01A38C71">
            <w:pPr>
              <w:pStyle w:val="4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Times New Roman" w:hAnsi="Times New Roman" w:eastAsia="宋体" w:cs="var(--dsl-code-block-content-fo"/>
                <w:color w:val="auto"/>
                <w:sz w:val="21"/>
                <w:lang w:eastAsia="zh-CN"/>
              </w:rPr>
            </w:pPr>
            <w:r>
              <w:rPr>
                <w:rFonts w:hint="eastAsia" w:ascii="Times New Roman" w:hAnsi="Times New Roman" w:eastAsia="宋体" w:cs="var(--dsl-code-block-content-fo"/>
                <w:color w:val="auto"/>
                <w:sz w:val="21"/>
                <w:lang w:eastAsia="zh-CN"/>
              </w:rPr>
              <w:drawing>
                <wp:inline distT="0" distB="0" distL="114300" distR="114300">
                  <wp:extent cx="4110990" cy="1207770"/>
                  <wp:effectExtent l="0" t="0" r="3810" b="11430"/>
                  <wp:docPr id="10" name="图片 10" descr="生产工艺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生产工艺流程图"/>
                          <pic:cNvPicPr>
                            <a:picLocks noChangeAspect="1"/>
                          </pic:cNvPicPr>
                        </pic:nvPicPr>
                        <pic:blipFill>
                          <a:blip r:embed="rId10"/>
                          <a:srcRect l="26011" r="22050" b="91753"/>
                          <a:stretch>
                            <a:fillRect/>
                          </a:stretch>
                        </pic:blipFill>
                        <pic:spPr>
                          <a:xfrm>
                            <a:off x="0" y="0"/>
                            <a:ext cx="4110990" cy="1207770"/>
                          </a:xfrm>
                          <a:prstGeom prst="rect">
                            <a:avLst/>
                          </a:prstGeom>
                        </pic:spPr>
                      </pic:pic>
                    </a:graphicData>
                  </a:graphic>
                </wp:inline>
              </w:drawing>
            </w:r>
          </w:p>
          <w:p w14:paraId="3992B195">
            <w:pPr>
              <w:pStyle w:val="4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var(--dsl-code-block-content-fo"/>
                <w:color w:val="auto"/>
                <w:sz w:val="21"/>
                <w:lang w:val="en-US" w:eastAsia="zh-CN"/>
              </w:rPr>
            </w:pPr>
            <w:r>
              <w:rPr>
                <w:rFonts w:hint="eastAsia" w:ascii="Times New Roman" w:hAnsi="Times New Roman" w:cs="var(--dsl-code-block-content-fo"/>
                <w:b/>
                <w:bCs/>
                <w:color w:val="auto"/>
                <w:sz w:val="21"/>
                <w:lang w:val="en-US" w:eastAsia="zh-CN"/>
              </w:rPr>
              <w:t>图5网版制作工艺流程图</w:t>
            </w:r>
          </w:p>
          <w:p w14:paraId="5AA64290">
            <w:pPr>
              <w:pStyle w:val="44"/>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b/>
                <w:bCs/>
                <w:i w:val="0"/>
                <w:iCs w:val="0"/>
                <w:caps w:val="0"/>
                <w:color w:val="auto"/>
                <w:spacing w:val="0"/>
                <w:sz w:val="21"/>
                <w:szCs w:val="24"/>
                <w:shd w:val="clear" w:fill="FFFFFF"/>
              </w:rPr>
              <w:t>工艺流程说明：</w:t>
            </w:r>
          </w:p>
          <w:p w14:paraId="5BAC4D35">
            <w:pPr>
              <w:pStyle w:val="47"/>
              <w:keepNext w:val="0"/>
              <w:keepLines w:val="0"/>
              <w:suppressLineNumbers w:val="0"/>
              <w:spacing w:before="0" w:beforeAutospacing="0" w:after="0" w:afterAutospacing="0" w:line="360" w:lineRule="auto"/>
              <w:ind w:left="0" w:leftChars="0" w:right="0" w:firstLine="436" w:firstLineChars="200"/>
              <w:rPr>
                <w:rFonts w:hint="default"/>
                <w:color w:val="auto"/>
                <w:vertAlign w:val="baseline"/>
                <w:lang w:val="en-US" w:eastAsia="zh-CN"/>
              </w:rPr>
            </w:pPr>
            <w:r>
              <w:rPr>
                <w:rFonts w:hint="eastAsia" w:ascii="Times New Roman" w:hAnsi="Times New Roman" w:eastAsia="宋体" w:cs="Times New Roman"/>
                <w:b w:val="0"/>
                <w:bCs/>
                <w:color w:val="auto"/>
                <w:szCs w:val="21"/>
                <w:lang w:val="en-US" w:eastAsia="zh-CN"/>
              </w:rPr>
              <w:t>项目丝印网版自制，</w:t>
            </w:r>
            <w:r>
              <w:rPr>
                <w:rFonts w:hint="default" w:ascii="Times New Roman" w:hAnsi="Times New Roman" w:eastAsia="宋体" w:cs="Times New Roman"/>
                <w:bCs/>
                <w:color w:val="auto"/>
                <w:szCs w:val="21"/>
                <w:lang w:val="en-US" w:eastAsia="zh-CN"/>
              </w:rPr>
              <w:t>网版</w:t>
            </w:r>
            <w:r>
              <w:rPr>
                <w:rFonts w:hint="eastAsia" w:ascii="Times New Roman" w:hAnsi="Times New Roman" w:eastAsia="宋体" w:cs="Times New Roman"/>
                <w:bCs/>
                <w:color w:val="auto"/>
                <w:szCs w:val="21"/>
                <w:lang w:val="en-US" w:eastAsia="zh-CN"/>
              </w:rPr>
              <w:t>制作</w:t>
            </w:r>
            <w:r>
              <w:rPr>
                <w:rFonts w:hint="default" w:ascii="Times New Roman" w:hAnsi="Times New Roman" w:eastAsia="宋体" w:cs="Times New Roman"/>
                <w:bCs/>
                <w:color w:val="auto"/>
                <w:szCs w:val="21"/>
                <w:lang w:val="en-US" w:eastAsia="zh-CN"/>
              </w:rPr>
              <w:t>过程首先将菲林</w:t>
            </w:r>
            <w:r>
              <w:rPr>
                <w:rFonts w:hint="eastAsia" w:ascii="Times New Roman" w:hAnsi="Times New Roman" w:eastAsia="宋体" w:cs="Times New Roman"/>
                <w:bCs/>
                <w:color w:val="auto"/>
                <w:szCs w:val="21"/>
                <w:lang w:val="en-US" w:eastAsia="zh-CN"/>
              </w:rPr>
              <w:t>片</w:t>
            </w:r>
            <w:r>
              <w:rPr>
                <w:rFonts w:hint="default" w:ascii="Times New Roman" w:hAnsi="Times New Roman" w:eastAsia="宋体" w:cs="Times New Roman"/>
                <w:bCs/>
                <w:color w:val="auto"/>
                <w:szCs w:val="21"/>
                <w:lang w:val="en-US" w:eastAsia="zh-CN"/>
              </w:rPr>
              <w:t>固定在网版，然后涂上感光胶，涂上感光胶后再进行晒版曝光，晒版过程显影属于</w:t>
            </w:r>
            <w:r>
              <w:rPr>
                <w:rFonts w:hint="eastAsia" w:cs="Times New Roman"/>
                <w:bCs/>
                <w:color w:val="auto"/>
                <w:szCs w:val="21"/>
                <w:lang w:val="en-US" w:eastAsia="zh-CN"/>
              </w:rPr>
              <w:t>紫外线</w:t>
            </w:r>
            <w:r>
              <w:rPr>
                <w:rFonts w:hint="default" w:ascii="Times New Roman" w:hAnsi="Times New Roman" w:eastAsia="宋体" w:cs="Times New Roman"/>
                <w:bCs/>
                <w:color w:val="auto"/>
                <w:szCs w:val="21"/>
                <w:lang w:val="en-US" w:eastAsia="zh-CN"/>
              </w:rPr>
              <w:t>照射显影，显影后用清水冲洗多余的感光胶</w:t>
            </w:r>
            <w:r>
              <w:rPr>
                <w:rFonts w:hint="eastAsia" w:ascii="Times New Roman" w:hAnsi="Times New Roman" w:eastAsia="宋体" w:cs="Times New Roman"/>
                <w:bCs/>
                <w:color w:val="auto"/>
                <w:szCs w:val="21"/>
                <w:lang w:val="en-US" w:eastAsia="zh-CN"/>
              </w:rPr>
              <w:t>，最后用烤箱进行烘干后</w:t>
            </w:r>
            <w:r>
              <w:rPr>
                <w:rFonts w:hint="default" w:ascii="Times New Roman" w:hAnsi="Times New Roman" w:eastAsia="宋体" w:cs="Times New Roman"/>
                <w:bCs/>
                <w:color w:val="auto"/>
                <w:szCs w:val="21"/>
                <w:lang w:val="en-US" w:eastAsia="zh-CN"/>
              </w:rPr>
              <w:t>即可得到成品。项目</w:t>
            </w:r>
            <w:r>
              <w:rPr>
                <w:rFonts w:hint="eastAsia" w:ascii="Times New Roman" w:hAnsi="Times New Roman" w:eastAsia="宋体" w:cs="Times New Roman"/>
                <w:bCs/>
                <w:color w:val="auto"/>
                <w:szCs w:val="21"/>
                <w:lang w:val="en-US" w:eastAsia="zh-CN"/>
              </w:rPr>
              <w:t>网版每天丝印加工后都要用清水清洗干净，再重新进行丝印加工。洗版、冲版过程产生废水</w:t>
            </w:r>
            <w:r>
              <w:rPr>
                <w:rFonts w:hint="default" w:ascii="Times New Roman" w:hAnsi="Times New Roman" w:eastAsia="宋体" w:cs="Times New Roman"/>
                <w:bCs/>
                <w:color w:val="auto"/>
                <w:szCs w:val="21"/>
                <w:lang w:val="en-US" w:eastAsia="zh-CN"/>
              </w:rPr>
              <w:t>。</w:t>
            </w:r>
            <w:r>
              <w:rPr>
                <w:rFonts w:hint="eastAsia" w:ascii="Times New Roman" w:hAnsi="Times New Roman" w:eastAsia="宋体" w:cs="Times New Roman"/>
                <w:bCs/>
                <w:color w:val="auto"/>
                <w:szCs w:val="21"/>
                <w:lang w:val="en-US" w:eastAsia="zh-CN"/>
              </w:rPr>
              <w:t>此</w:t>
            </w:r>
            <w:r>
              <w:rPr>
                <w:rFonts w:hint="default" w:ascii="Times New Roman" w:hAnsi="Times New Roman" w:eastAsia="宋体" w:cs="Times New Roman"/>
                <w:color w:val="auto"/>
                <w:szCs w:val="21"/>
                <w:lang w:val="en-US" w:eastAsia="zh-CN"/>
              </w:rPr>
              <w:t>工序的工作时间为2400h/a。</w:t>
            </w:r>
          </w:p>
        </w:tc>
      </w:tr>
      <w:tr w14:paraId="4F759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4" w:type="dxa"/>
            <w:vAlign w:val="center"/>
          </w:tcPr>
          <w:p w14:paraId="54B2026C">
            <w:pPr>
              <w:keepNext w:val="0"/>
              <w:keepLines w:val="0"/>
              <w:suppressLineNumbers w:val="0"/>
              <w:spacing w:before="0" w:beforeAutospacing="0" w:after="0" w:afterAutospacing="0"/>
              <w:ind w:left="0" w:leftChars="0" w:right="0" w:rightChars="0"/>
              <w:jc w:val="center"/>
              <w:rPr>
                <w:rFonts w:hint="default"/>
                <w:color w:val="auto"/>
                <w:sz w:val="24"/>
                <w:highlight w:val="none"/>
              </w:rPr>
            </w:pPr>
            <w:r>
              <w:rPr>
                <w:rFonts w:hint="default"/>
                <w:color w:val="auto"/>
                <w:sz w:val="21"/>
                <w:szCs w:val="21"/>
                <w:highlight w:val="none"/>
              </w:rPr>
              <w:t>与项目有关的原有环境污染问题</w:t>
            </w:r>
          </w:p>
        </w:tc>
        <w:tc>
          <w:tcPr>
            <w:tcW w:w="10067" w:type="dxa"/>
            <w:vAlign w:val="center"/>
          </w:tcPr>
          <w:p w14:paraId="6E75B64F">
            <w:pPr>
              <w:keepNext w:val="0"/>
              <w:keepLines w:val="0"/>
              <w:suppressLineNumbers w:val="0"/>
              <w:snapToGrid w:val="0"/>
              <w:spacing w:before="0" w:beforeAutospacing="0" w:after="0" w:afterAutospacing="0" w:line="360" w:lineRule="auto"/>
              <w:ind w:left="0" w:leftChars="0" w:right="0" w:rightChars="0" w:firstLine="420" w:firstLineChars="200"/>
              <w:jc w:val="center"/>
              <w:rPr>
                <w:rFonts w:hint="eastAsia" w:ascii="宋体" w:hAnsi="宋体" w:eastAsia="宋体" w:cs="宋体"/>
                <w:color w:val="auto"/>
                <w:kern w:val="0"/>
                <w:sz w:val="24"/>
                <w:szCs w:val="24"/>
                <w:lang w:val="en-US" w:eastAsia="zh-CN" w:bidi="ar"/>
              </w:rPr>
            </w:pPr>
            <w:r>
              <w:rPr>
                <w:rFonts w:hint="default"/>
                <w:color w:val="auto"/>
                <w:sz w:val="21"/>
                <w:szCs w:val="21"/>
                <w:highlight w:val="none"/>
              </w:rPr>
              <w:t>本项目</w:t>
            </w:r>
            <w:r>
              <w:rPr>
                <w:rFonts w:hint="eastAsia"/>
                <w:color w:val="auto"/>
                <w:sz w:val="21"/>
                <w:szCs w:val="21"/>
                <w:highlight w:val="none"/>
                <w:lang w:eastAsia="zh-CN"/>
              </w:rPr>
              <w:t>属于</w:t>
            </w:r>
            <w:r>
              <w:rPr>
                <w:rFonts w:hint="default"/>
                <w:color w:val="auto"/>
                <w:sz w:val="21"/>
                <w:szCs w:val="21"/>
                <w:highlight w:val="none"/>
              </w:rPr>
              <w:t>新建项目，不存在与本项目有关的原有环境污染问题。</w:t>
            </w:r>
          </w:p>
        </w:tc>
      </w:tr>
    </w:tbl>
    <w:p w14:paraId="73A50F63">
      <w:pPr>
        <w:rPr>
          <w:color w:val="auto"/>
        </w:rPr>
        <w:sectPr>
          <w:pgSz w:w="11906" w:h="16838"/>
          <w:pgMar w:top="720" w:right="720" w:bottom="720" w:left="720" w:header="851" w:footer="567" w:gutter="0"/>
          <w:pgNumType w:fmt="decimal"/>
          <w:cols w:space="0" w:num="1"/>
          <w:rtlGutter w:val="0"/>
          <w:docGrid w:linePitch="312" w:charSpace="0"/>
        </w:sectPr>
      </w:pPr>
    </w:p>
    <w:p w14:paraId="138B3727">
      <w:pPr>
        <w:pStyle w:val="2"/>
        <w:ind w:firstLine="562"/>
        <w:rPr>
          <w:color w:val="auto"/>
          <w:highlight w:val="none"/>
        </w:rPr>
      </w:pPr>
      <w:bookmarkStart w:id="18" w:name="_Toc31612"/>
      <w:bookmarkStart w:id="19" w:name="_Toc18030"/>
      <w:r>
        <w:rPr>
          <w:color w:val="auto"/>
          <w:highlight w:val="none"/>
        </w:rPr>
        <w:t>三、区域环境质量现状、环境保护目标及评价标准</w:t>
      </w:r>
      <w:bookmarkEnd w:id="18"/>
      <w:bookmarkEnd w:id="19"/>
    </w:p>
    <w:tbl>
      <w:tblPr>
        <w:tblStyle w:val="48"/>
        <w:tblpPr w:leftFromText="180" w:rightFromText="180" w:vertAnchor="text" w:tblpX="16" w:tblpY="25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
        <w:gridCol w:w="10131"/>
      </w:tblGrid>
      <w:tr w14:paraId="77EF1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405" w:type="dxa"/>
          </w:tcPr>
          <w:p w14:paraId="5ECF9627">
            <w:pPr>
              <w:keepNext w:val="0"/>
              <w:keepLines w:val="0"/>
              <w:suppressLineNumbers w:val="0"/>
              <w:adjustRightInd w:val="0"/>
              <w:snapToGrid w:val="0"/>
              <w:spacing w:before="0" w:beforeAutospacing="0" w:after="0" w:afterAutospacing="0"/>
              <w:ind w:left="0" w:right="0" w:firstLine="480"/>
              <w:jc w:val="left"/>
              <w:rPr>
                <w:rFonts w:hint="default" w:ascii="Times New Roman" w:hAnsi="Times New Roman" w:eastAsia="宋体"/>
                <w:color w:val="auto"/>
                <w:sz w:val="21"/>
                <w:highlight w:val="none"/>
              </w:rPr>
            </w:pPr>
          </w:p>
          <w:p w14:paraId="5CC03ED7">
            <w:pPr>
              <w:pStyle w:val="4"/>
              <w:suppressLineNumbers w:val="0"/>
              <w:spacing w:before="0" w:beforeAutospacing="0" w:after="0" w:afterAutospacing="0"/>
              <w:ind w:left="0" w:right="0"/>
              <w:rPr>
                <w:rFonts w:hint="default" w:ascii="Times New Roman" w:hAnsi="Times New Roman" w:eastAsia="宋体"/>
                <w:color w:val="auto"/>
                <w:sz w:val="21"/>
                <w:highlight w:val="none"/>
              </w:rPr>
            </w:pPr>
          </w:p>
          <w:p w14:paraId="5637B4CA">
            <w:pPr>
              <w:keepNext w:val="0"/>
              <w:keepLines w:val="0"/>
              <w:suppressLineNumbers w:val="0"/>
              <w:spacing w:before="0" w:beforeAutospacing="0" w:after="0" w:afterAutospacing="0"/>
              <w:ind w:left="0" w:right="0" w:firstLine="480"/>
              <w:rPr>
                <w:rFonts w:hint="default" w:ascii="Times New Roman" w:hAnsi="Times New Roman" w:eastAsia="宋体"/>
                <w:color w:val="auto"/>
                <w:sz w:val="21"/>
                <w:highlight w:val="none"/>
              </w:rPr>
            </w:pPr>
          </w:p>
          <w:p w14:paraId="321F9ECC">
            <w:pPr>
              <w:pStyle w:val="4"/>
              <w:suppressLineNumbers w:val="0"/>
              <w:spacing w:before="0" w:beforeAutospacing="0" w:after="0" w:afterAutospacing="0"/>
              <w:ind w:left="0" w:right="0"/>
              <w:rPr>
                <w:rFonts w:hint="default" w:ascii="Times New Roman" w:hAnsi="Times New Roman" w:eastAsia="宋体"/>
                <w:color w:val="auto"/>
                <w:sz w:val="21"/>
                <w:highlight w:val="none"/>
              </w:rPr>
            </w:pPr>
          </w:p>
          <w:p w14:paraId="021BC3CB">
            <w:pPr>
              <w:keepNext w:val="0"/>
              <w:keepLines w:val="0"/>
              <w:suppressLineNumbers w:val="0"/>
              <w:spacing w:before="0" w:beforeAutospacing="0" w:after="0" w:afterAutospacing="0"/>
              <w:ind w:left="0" w:right="0" w:firstLine="480"/>
              <w:rPr>
                <w:rFonts w:hint="default" w:ascii="Times New Roman" w:hAnsi="Times New Roman" w:eastAsia="宋体"/>
                <w:color w:val="auto"/>
                <w:sz w:val="21"/>
                <w:highlight w:val="none"/>
              </w:rPr>
            </w:pPr>
          </w:p>
          <w:p w14:paraId="7E32E163">
            <w:pPr>
              <w:pStyle w:val="4"/>
              <w:suppressLineNumbers w:val="0"/>
              <w:spacing w:before="0" w:beforeAutospacing="0" w:after="0" w:afterAutospacing="0"/>
              <w:ind w:left="0" w:right="0"/>
              <w:rPr>
                <w:rFonts w:hint="default" w:ascii="Times New Roman" w:hAnsi="Times New Roman" w:eastAsia="宋体"/>
                <w:color w:val="auto"/>
                <w:sz w:val="21"/>
                <w:highlight w:val="none"/>
              </w:rPr>
            </w:pPr>
          </w:p>
          <w:p w14:paraId="00FD9E57">
            <w:pPr>
              <w:keepNext w:val="0"/>
              <w:keepLines w:val="0"/>
              <w:suppressLineNumbers w:val="0"/>
              <w:spacing w:before="0" w:beforeAutospacing="0" w:after="0" w:afterAutospacing="0"/>
              <w:ind w:left="0" w:right="0" w:firstLine="60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区域环境质量现状</w:t>
            </w:r>
          </w:p>
        </w:tc>
        <w:tc>
          <w:tcPr>
            <w:tcW w:w="10131" w:type="dxa"/>
          </w:tcPr>
          <w:p w14:paraId="1CB00E1B">
            <w:pPr>
              <w:pStyle w:val="26"/>
              <w:keepNext w:val="0"/>
              <w:keepLines w:val="0"/>
              <w:suppressLineNumbers w:val="0"/>
              <w:spacing w:before="120" w:beforeAutospacing="0" w:after="0" w:afterAutospacing="0"/>
              <w:ind w:left="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1、水环境质量现状</w:t>
            </w:r>
          </w:p>
          <w:p w14:paraId="2919D284">
            <w:pPr>
              <w:keepNext w:val="0"/>
              <w:keepLines w:val="0"/>
              <w:suppressLineNumbers w:val="0"/>
              <w:spacing w:before="0" w:beforeAutospacing="0" w:after="0" w:afterAutospacing="0" w:line="360" w:lineRule="auto"/>
              <w:ind w:left="0" w:right="0" w:firstLine="420" w:firstLineChars="20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本项目位于</w:t>
            </w:r>
            <w:r>
              <w:rPr>
                <w:rFonts w:hint="eastAsia" w:ascii="Times New Roman" w:hAnsi="Times New Roman" w:eastAsia="宋体"/>
                <w:color w:val="auto"/>
                <w:sz w:val="21"/>
                <w:highlight w:val="none"/>
              </w:rPr>
              <w:t>中山市污水处理有限公司</w:t>
            </w:r>
            <w:r>
              <w:rPr>
                <w:rFonts w:hint="default" w:ascii="Times New Roman" w:hAnsi="Times New Roman" w:eastAsia="宋体"/>
                <w:color w:val="auto"/>
                <w:sz w:val="21"/>
                <w:highlight w:val="none"/>
              </w:rPr>
              <w:t>纳污范围内，生活污水经三级化粪池预处理后纳入</w:t>
            </w:r>
            <w:r>
              <w:rPr>
                <w:rFonts w:hint="eastAsia" w:ascii="Times New Roman" w:hAnsi="Times New Roman" w:eastAsia="宋体"/>
                <w:color w:val="auto"/>
                <w:sz w:val="21"/>
                <w:highlight w:val="none"/>
              </w:rPr>
              <w:t>中山市污水处理有限公司</w:t>
            </w:r>
            <w:r>
              <w:rPr>
                <w:rFonts w:hint="default" w:ascii="Times New Roman" w:hAnsi="Times New Roman" w:eastAsia="宋体"/>
                <w:color w:val="auto"/>
                <w:sz w:val="21"/>
                <w:highlight w:val="none"/>
              </w:rPr>
              <w:t>内集中治理排放，纳污河道为石岐河。</w:t>
            </w:r>
            <w:bookmarkStart w:id="20" w:name="_Hlk81219822"/>
            <w:r>
              <w:rPr>
                <w:rFonts w:hint="default" w:ascii="Times New Roman" w:hAnsi="Times New Roman" w:eastAsia="宋体"/>
                <w:color w:val="auto"/>
                <w:sz w:val="21"/>
                <w:highlight w:val="none"/>
              </w:rPr>
              <w:t>根据《中山市水功能区管理办法》（中府〔2008〕96号印发），石岐河执行《地表水环境质量标准》（GB3838</w:t>
            </w:r>
            <w:r>
              <w:rPr>
                <w:rFonts w:hint="eastAsia"/>
                <w:color w:val="auto"/>
                <w:sz w:val="21"/>
                <w:highlight w:val="none"/>
                <w:lang w:val="en-US" w:eastAsia="zh-CN"/>
              </w:rPr>
              <w:t>-</w:t>
            </w:r>
            <w:r>
              <w:rPr>
                <w:rFonts w:hint="default" w:ascii="Times New Roman" w:hAnsi="Times New Roman" w:eastAsia="宋体"/>
                <w:color w:val="auto"/>
                <w:sz w:val="21"/>
                <w:highlight w:val="none"/>
              </w:rPr>
              <w:t>2002）中的Ⅳ类标准。</w:t>
            </w:r>
          </w:p>
          <w:bookmarkEnd w:id="20"/>
          <w:p w14:paraId="5EADD37A">
            <w:pPr>
              <w:keepNext w:val="0"/>
              <w:keepLines w:val="0"/>
              <w:suppressLineNumbers w:val="0"/>
              <w:spacing w:before="0" w:beforeAutospacing="0" w:after="0" w:afterAutospacing="0" w:line="360" w:lineRule="auto"/>
              <w:ind w:left="0" w:right="0" w:firstLine="420" w:firstLineChars="20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由于中山市生态环境主管部门发布的</w:t>
            </w:r>
            <w:r>
              <w:rPr>
                <w:rFonts w:hint="eastAsia"/>
                <w:color w:val="auto"/>
                <w:sz w:val="21"/>
                <w:highlight w:val="none"/>
                <w:lang w:eastAsia="zh-CN"/>
              </w:rPr>
              <w:t>《中山市</w:t>
            </w:r>
            <w:r>
              <w:rPr>
                <w:rFonts w:hint="default" w:ascii="Times New Roman" w:hAnsi="Times New Roman" w:eastAsia="宋体"/>
                <w:color w:val="auto"/>
                <w:sz w:val="21"/>
                <w:highlight w:val="none"/>
              </w:rPr>
              <w:t>202</w:t>
            </w:r>
            <w:r>
              <w:rPr>
                <w:rFonts w:hint="eastAsia"/>
                <w:color w:val="auto"/>
                <w:sz w:val="21"/>
                <w:highlight w:val="none"/>
                <w:lang w:val="en-US" w:eastAsia="zh-CN"/>
              </w:rPr>
              <w:t>5</w:t>
            </w:r>
            <w:r>
              <w:rPr>
                <w:rFonts w:hint="default" w:ascii="Times New Roman" w:hAnsi="Times New Roman" w:eastAsia="宋体"/>
                <w:color w:val="auto"/>
                <w:sz w:val="21"/>
                <w:highlight w:val="none"/>
              </w:rPr>
              <w:t>年水环境年报》</w:t>
            </w:r>
            <w:r>
              <w:rPr>
                <w:rFonts w:hint="eastAsia"/>
                <w:color w:val="auto"/>
                <w:sz w:val="21"/>
                <w:highlight w:val="none"/>
                <w:lang w:eastAsia="zh-CN"/>
              </w:rPr>
              <w:t>显示</w:t>
            </w:r>
            <w:r>
              <w:rPr>
                <w:rFonts w:hint="default" w:ascii="Times New Roman" w:hAnsi="Times New Roman" w:eastAsia="宋体"/>
                <w:color w:val="auto"/>
                <w:sz w:val="21"/>
                <w:highlight w:val="none"/>
              </w:rPr>
              <w:t>石岐河</w:t>
            </w:r>
            <w:r>
              <w:rPr>
                <w:rFonts w:hint="eastAsia" w:ascii="Times New Roman" w:hAnsi="Times New Roman" w:eastAsia="宋体"/>
                <w:color w:val="auto"/>
                <w:sz w:val="21"/>
                <w:highlight w:val="none"/>
              </w:rPr>
              <w:t>达到</w:t>
            </w:r>
            <w:r>
              <w:rPr>
                <w:rFonts w:hint="default" w:ascii="Times New Roman" w:hAnsi="Times New Roman" w:eastAsia="宋体"/>
                <w:color w:val="auto"/>
                <w:sz w:val="21"/>
                <w:highlight w:val="none"/>
              </w:rPr>
              <w:t>Ⅳ类水质，水质状况为</w:t>
            </w:r>
            <w:r>
              <w:rPr>
                <w:rFonts w:hint="eastAsia"/>
                <w:color w:val="auto"/>
                <w:sz w:val="21"/>
                <w:highlight w:val="none"/>
                <w:lang w:eastAsia="zh-CN"/>
              </w:rPr>
              <w:t>轻度</w:t>
            </w:r>
            <w:r>
              <w:rPr>
                <w:rFonts w:hint="default" w:ascii="Times New Roman" w:hAnsi="Times New Roman" w:eastAsia="宋体"/>
                <w:color w:val="auto"/>
                <w:sz w:val="21"/>
                <w:highlight w:val="none"/>
              </w:rPr>
              <w:t>污染</w:t>
            </w:r>
            <w:r>
              <w:rPr>
                <w:rFonts w:hint="eastAsia" w:ascii="Times New Roman" w:hAnsi="Times New Roman" w:eastAsia="宋体"/>
                <w:color w:val="auto"/>
                <w:sz w:val="21"/>
                <w:highlight w:val="none"/>
              </w:rPr>
              <w:t>，</w:t>
            </w:r>
            <w:r>
              <w:rPr>
                <w:rFonts w:hint="default" w:ascii="Times New Roman" w:hAnsi="Times New Roman" w:eastAsia="宋体"/>
                <w:color w:val="auto"/>
                <w:sz w:val="21"/>
                <w:highlight w:val="none"/>
              </w:rPr>
              <w:t>与202</w:t>
            </w:r>
            <w:r>
              <w:rPr>
                <w:rFonts w:hint="eastAsia"/>
                <w:color w:val="auto"/>
                <w:sz w:val="21"/>
                <w:highlight w:val="none"/>
                <w:lang w:val="en-US" w:eastAsia="zh-CN"/>
              </w:rPr>
              <w:t>4</w:t>
            </w:r>
            <w:r>
              <w:rPr>
                <w:rFonts w:hint="default" w:ascii="Times New Roman" w:hAnsi="Times New Roman" w:eastAsia="宋体"/>
                <w:color w:val="auto"/>
                <w:sz w:val="21"/>
                <w:highlight w:val="none"/>
              </w:rPr>
              <w:t>年相比，石岐河水质有所好转。</w:t>
            </w:r>
          </w:p>
          <w:p w14:paraId="4D96D662">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highlight w:val="none"/>
              </w:rPr>
            </w:pPr>
            <w:r>
              <w:rPr>
                <w:rFonts w:hint="eastAsia" w:ascii="Times New Roman" w:hAnsi="Times New Roman" w:eastAsia="宋体" w:cs="Times New Roman"/>
                <w:b/>
                <w:bCs/>
                <w:color w:val="000000"/>
                <w:sz w:val="24"/>
                <w:highlight w:val="none"/>
                <w:lang w:eastAsia="zh-CN"/>
              </w:rPr>
              <w:drawing>
                <wp:inline distT="0" distB="0" distL="114300" distR="114300">
                  <wp:extent cx="5295900" cy="2486025"/>
                  <wp:effectExtent l="0" t="0" r="0" b="9525"/>
                  <wp:docPr id="1" name="图片 1" descr="51139a4670e835cea74c9df2a8177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1139a4670e835cea74c9df2a8177457"/>
                          <pic:cNvPicPr>
                            <a:picLocks noChangeAspect="1"/>
                          </pic:cNvPicPr>
                        </pic:nvPicPr>
                        <pic:blipFill>
                          <a:blip r:embed="rId11"/>
                          <a:stretch>
                            <a:fillRect/>
                          </a:stretch>
                        </pic:blipFill>
                        <pic:spPr>
                          <a:xfrm>
                            <a:off x="0" y="0"/>
                            <a:ext cx="5295900" cy="2486025"/>
                          </a:xfrm>
                          <a:prstGeom prst="rect">
                            <a:avLst/>
                          </a:prstGeom>
                          <a:noFill/>
                          <a:ln>
                            <a:noFill/>
                          </a:ln>
                        </pic:spPr>
                      </pic:pic>
                    </a:graphicData>
                  </a:graphic>
                </wp:inline>
              </w:drawing>
            </w:r>
          </w:p>
          <w:p w14:paraId="4DA7FF95">
            <w:pPr>
              <w:keepNext w:val="0"/>
              <w:keepLines w:val="0"/>
              <w:widowControl/>
              <w:suppressLineNumbers w:val="0"/>
              <w:spacing w:before="0" w:beforeAutospacing="0" w:after="0" w:afterAutospacing="0"/>
              <w:ind w:left="0" w:right="0"/>
              <w:jc w:val="center"/>
              <w:rPr>
                <w:rFonts w:hint="default" w:ascii="Times New Roman" w:hAnsi="Times New Roman" w:eastAsia="宋体"/>
                <w:color w:val="auto"/>
                <w:sz w:val="21"/>
                <w:highlight w:val="none"/>
              </w:rPr>
            </w:pPr>
            <w:r>
              <w:rPr>
                <w:rFonts w:hint="eastAsia" w:ascii="Times New Roman" w:hAnsi="Times New Roman" w:eastAsia="宋体" w:cs="宋体"/>
                <w:b/>
                <w:bCs/>
                <w:color w:val="auto"/>
                <w:kern w:val="0"/>
                <w:sz w:val="21"/>
                <w:szCs w:val="20"/>
                <w:lang w:val="en-US" w:eastAsia="zh-CN" w:bidi="ar"/>
              </w:rPr>
              <w:t>图</w:t>
            </w:r>
            <w:r>
              <w:rPr>
                <w:rFonts w:hint="eastAsia" w:cs="Times New Roman"/>
                <w:b/>
                <w:bCs/>
                <w:color w:val="auto"/>
                <w:kern w:val="0"/>
                <w:sz w:val="21"/>
                <w:szCs w:val="20"/>
                <w:lang w:val="en-US" w:eastAsia="zh-CN" w:bidi="ar"/>
              </w:rPr>
              <w:t>6</w:t>
            </w:r>
            <w:r>
              <w:rPr>
                <w:rFonts w:hint="eastAsia" w:ascii="Times New Roman" w:hAnsi="Times New Roman" w:eastAsia="宋体" w:cs="Times New Roman"/>
                <w:b/>
                <w:bCs/>
                <w:color w:val="auto"/>
                <w:kern w:val="0"/>
                <w:sz w:val="21"/>
                <w:szCs w:val="20"/>
                <w:lang w:val="en-US" w:eastAsia="zh-CN" w:bidi="ar"/>
              </w:rPr>
              <w:t>、</w:t>
            </w:r>
            <w:r>
              <w:rPr>
                <w:rFonts w:hint="default" w:ascii="Times New Roman" w:hAnsi="Times New Roman" w:eastAsia="宋体" w:cs="Times New Roman"/>
                <w:b/>
                <w:bCs/>
                <w:color w:val="auto"/>
                <w:kern w:val="0"/>
                <w:sz w:val="21"/>
                <w:szCs w:val="20"/>
                <w:lang w:val="en-US" w:eastAsia="zh-CN" w:bidi="ar"/>
              </w:rPr>
              <w:t>202</w:t>
            </w:r>
            <w:r>
              <w:rPr>
                <w:rFonts w:hint="eastAsia" w:cs="Times New Roman"/>
                <w:b/>
                <w:bCs/>
                <w:color w:val="auto"/>
                <w:kern w:val="0"/>
                <w:sz w:val="21"/>
                <w:szCs w:val="20"/>
                <w:lang w:val="en-US" w:eastAsia="zh-CN" w:bidi="ar"/>
              </w:rPr>
              <w:t>5</w:t>
            </w:r>
            <w:r>
              <w:rPr>
                <w:rFonts w:hint="eastAsia" w:ascii="Times New Roman" w:hAnsi="Times New Roman" w:eastAsia="宋体" w:cs="宋体"/>
                <w:b/>
                <w:bCs/>
                <w:color w:val="auto"/>
                <w:kern w:val="0"/>
                <w:sz w:val="21"/>
                <w:szCs w:val="20"/>
                <w:lang w:val="en-US" w:eastAsia="zh-CN" w:bidi="ar"/>
              </w:rPr>
              <w:t>年水环境年报截图</w:t>
            </w:r>
          </w:p>
          <w:p w14:paraId="2EAB54B4">
            <w:pPr>
              <w:pStyle w:val="26"/>
              <w:keepNext w:val="0"/>
              <w:keepLines w:val="0"/>
              <w:suppressLineNumbers w:val="0"/>
              <w:spacing w:before="120" w:beforeAutospacing="0" w:after="0" w:afterAutospacing="0"/>
              <w:ind w:left="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2、环境空气质量现状</w:t>
            </w:r>
          </w:p>
          <w:p w14:paraId="3E04D17D">
            <w:pPr>
              <w:keepNext w:val="0"/>
              <w:keepLines w:val="0"/>
              <w:suppressLineNumbers w:val="0"/>
              <w:adjustRightInd/>
              <w:spacing w:before="0" w:beforeLines="0" w:beforeAutospacing="0" w:after="0" w:afterAutospacing="0" w:line="360" w:lineRule="auto"/>
              <w:ind w:left="0" w:right="0" w:firstLine="422" w:firstLineChars="200"/>
              <w:textAlignment w:val="auto"/>
              <w:rPr>
                <w:rFonts w:hint="default" w:ascii="Times New Roman" w:hAnsi="Times New Roman" w:eastAsia="宋体"/>
                <w:b/>
                <w:color w:val="auto"/>
                <w:sz w:val="21"/>
                <w:szCs w:val="24"/>
                <w:highlight w:val="none"/>
              </w:rPr>
            </w:pPr>
            <w:r>
              <w:rPr>
                <w:rFonts w:hint="eastAsia"/>
                <w:b/>
                <w:color w:val="auto"/>
                <w:sz w:val="21"/>
                <w:szCs w:val="24"/>
                <w:highlight w:val="none"/>
                <w:lang w:eastAsia="zh-CN"/>
              </w:rPr>
              <w:t>环境</w:t>
            </w:r>
            <w:r>
              <w:rPr>
                <w:rFonts w:hint="default" w:ascii="Times New Roman" w:hAnsi="Times New Roman" w:eastAsia="宋体"/>
                <w:b/>
                <w:color w:val="auto"/>
                <w:sz w:val="21"/>
                <w:szCs w:val="24"/>
                <w:highlight w:val="none"/>
              </w:rPr>
              <w:t>空气质量现状</w:t>
            </w:r>
          </w:p>
          <w:p w14:paraId="5A7C2F77">
            <w:pPr>
              <w:keepNext w:val="0"/>
              <w:keepLines w:val="0"/>
              <w:suppressLineNumbers w:val="0"/>
              <w:spacing w:before="0" w:beforeAutospacing="0" w:after="0" w:afterAutospacing="0" w:line="360" w:lineRule="auto"/>
              <w:ind w:left="0" w:right="0" w:firstLine="420" w:firstLineChars="200"/>
              <w:rPr>
                <w:rFonts w:hint="default" w:ascii="Times New Roman" w:hAnsi="Times New Roman" w:eastAsia="宋体"/>
                <w:color w:val="auto"/>
                <w:sz w:val="21"/>
                <w:szCs w:val="24"/>
                <w:highlight w:val="none"/>
              </w:rPr>
            </w:pPr>
            <w:r>
              <w:rPr>
                <w:rFonts w:hint="default" w:ascii="Times New Roman" w:hAnsi="Times New Roman" w:eastAsia="宋体"/>
                <w:color w:val="auto"/>
                <w:sz w:val="21"/>
                <w:szCs w:val="24"/>
                <w:highlight w:val="none"/>
              </w:rPr>
              <w:t>根据《中山市环境空气质量功能区划（2020修订版）》（中府函〔2020〕196号印发），该建设项目所在区域为二类环境空气质量功能区，执行</w:t>
            </w:r>
            <w:r>
              <w:rPr>
                <w:rFonts w:hint="eastAsia" w:ascii="Times New Roman" w:hAnsi="Times New Roman" w:eastAsia="宋体" w:cs="Times New Roman"/>
                <w:b w:val="0"/>
                <w:bCs w:val="0"/>
                <w:color w:val="auto"/>
                <w:sz w:val="21"/>
                <w:szCs w:val="24"/>
                <w:highlight w:val="none"/>
                <w:lang w:eastAsia="zh-CN"/>
              </w:rPr>
              <w:t>《环境空气质量标准》</w:t>
            </w:r>
            <w:r>
              <w:rPr>
                <w:rFonts w:hint="eastAsia" w:cs="Times New Roman"/>
                <w:b w:val="0"/>
                <w:bCs w:val="0"/>
                <w:color w:val="auto"/>
                <w:sz w:val="21"/>
                <w:szCs w:val="24"/>
                <w:highlight w:val="none"/>
                <w:lang w:eastAsia="zh-CN"/>
              </w:rPr>
              <w:t>（</w:t>
            </w:r>
            <w:r>
              <w:rPr>
                <w:rFonts w:hint="eastAsia" w:ascii="Times New Roman" w:hAnsi="Times New Roman" w:eastAsia="宋体" w:cs="Times New Roman"/>
                <w:b w:val="0"/>
                <w:bCs w:val="0"/>
                <w:color w:val="auto"/>
                <w:sz w:val="21"/>
                <w:szCs w:val="24"/>
                <w:highlight w:val="none"/>
                <w:lang w:eastAsia="zh-CN"/>
              </w:rPr>
              <w:t>GB3095</w:t>
            </w:r>
            <w:r>
              <w:rPr>
                <w:rFonts w:hint="eastAsia" w:cs="Times New Roman"/>
                <w:b w:val="0"/>
                <w:bCs w:val="0"/>
                <w:color w:val="auto"/>
                <w:sz w:val="21"/>
                <w:szCs w:val="24"/>
                <w:highlight w:val="none"/>
                <w:lang w:val="en-US" w:eastAsia="zh-CN"/>
              </w:rPr>
              <w:t>-</w:t>
            </w:r>
            <w:r>
              <w:rPr>
                <w:rFonts w:hint="eastAsia" w:ascii="Times New Roman" w:hAnsi="Times New Roman" w:eastAsia="宋体" w:cs="Times New Roman"/>
                <w:b w:val="0"/>
                <w:bCs w:val="0"/>
                <w:color w:val="auto"/>
                <w:sz w:val="21"/>
                <w:szCs w:val="24"/>
                <w:highlight w:val="none"/>
                <w:lang w:eastAsia="zh-CN"/>
              </w:rPr>
              <w:t>2026</w:t>
            </w:r>
            <w:r>
              <w:rPr>
                <w:rFonts w:hint="eastAsia" w:cs="Times New Roman"/>
                <w:b w:val="0"/>
                <w:bCs w:val="0"/>
                <w:color w:val="auto"/>
                <w:sz w:val="21"/>
                <w:szCs w:val="24"/>
                <w:highlight w:val="none"/>
                <w:lang w:eastAsia="zh-CN"/>
              </w:rPr>
              <w:t>）</w:t>
            </w:r>
            <w:r>
              <w:rPr>
                <w:rFonts w:hint="eastAsia" w:ascii="Times New Roman" w:hAnsi="Times New Roman" w:eastAsia="宋体" w:cs="Times New Roman"/>
                <w:b w:val="0"/>
                <w:bCs w:val="0"/>
                <w:color w:val="auto"/>
                <w:sz w:val="21"/>
                <w:szCs w:val="24"/>
                <w:highlight w:val="none"/>
                <w:lang w:eastAsia="zh-CN"/>
              </w:rPr>
              <w:t>中的过渡阶段浓度限值二级标准</w:t>
            </w:r>
            <w:r>
              <w:rPr>
                <w:rFonts w:hint="default" w:ascii="Times New Roman" w:hAnsi="Times New Roman" w:eastAsia="宋体"/>
                <w:color w:val="auto"/>
                <w:sz w:val="21"/>
                <w:szCs w:val="24"/>
                <w:highlight w:val="none"/>
              </w:rPr>
              <w:t>。</w:t>
            </w:r>
          </w:p>
          <w:p w14:paraId="593DA277">
            <w:pPr>
              <w:keepNext w:val="0"/>
              <w:keepLines w:val="0"/>
              <w:suppressLineNumbers w:val="0"/>
              <w:spacing w:before="0" w:beforeAutospacing="0" w:after="0" w:afterAutospacing="0" w:line="360" w:lineRule="auto"/>
              <w:ind w:left="0" w:right="0" w:firstLine="422" w:firstLineChars="200"/>
              <w:rPr>
                <w:rFonts w:hint="default" w:ascii="Times New Roman" w:hAnsi="Times New Roman" w:eastAsia="宋体"/>
                <w:b/>
                <w:bCs/>
                <w:color w:val="auto"/>
                <w:sz w:val="21"/>
                <w:szCs w:val="24"/>
                <w:highlight w:val="none"/>
              </w:rPr>
            </w:pPr>
            <w:r>
              <w:rPr>
                <w:rFonts w:hint="default" w:ascii="Times New Roman" w:hAnsi="Times New Roman" w:eastAsia="宋体"/>
                <w:b/>
                <w:bCs/>
                <w:color w:val="auto"/>
                <w:sz w:val="21"/>
                <w:szCs w:val="24"/>
                <w:highlight w:val="none"/>
              </w:rPr>
              <w:t>（1）空气质量达标区判定</w:t>
            </w:r>
          </w:p>
          <w:p w14:paraId="2A547D99">
            <w:pPr>
              <w:keepNext w:val="0"/>
              <w:keepLines w:val="0"/>
              <w:suppressLineNumbers w:val="0"/>
              <w:spacing w:before="0" w:beforeAutospacing="0" w:after="0" w:afterAutospacing="0" w:line="360" w:lineRule="auto"/>
              <w:ind w:left="0" w:right="0" w:firstLine="420" w:firstLineChars="200"/>
              <w:rPr>
                <w:rFonts w:hint="default" w:ascii="Times New Roman" w:hAnsi="Times New Roman" w:eastAsia="宋体"/>
                <w:color w:val="auto"/>
                <w:sz w:val="21"/>
                <w:highlight w:val="none"/>
                <w:lang w:eastAsia="zh-CN"/>
              </w:rPr>
            </w:pPr>
            <w:bookmarkStart w:id="21" w:name="_Ref528421758"/>
            <w:r>
              <w:rPr>
                <w:rFonts w:hint="default" w:ascii="Times New Roman" w:hAnsi="Times New Roman" w:eastAsia="宋体"/>
                <w:color w:val="auto"/>
                <w:sz w:val="21"/>
                <w:highlight w:val="none"/>
                <w:lang w:val="en-US" w:eastAsia="zh-CN"/>
              </w:rPr>
              <w:t>根据中山市生态环境局发布的</w:t>
            </w:r>
            <w:r>
              <w:rPr>
                <w:rFonts w:hint="default" w:ascii="Times New Roman" w:hAnsi="Times New Roman" w:eastAsia="宋体"/>
                <w:color w:val="auto"/>
                <w:sz w:val="21"/>
                <w:highlight w:val="none"/>
              </w:rPr>
              <w:t>《</w:t>
            </w:r>
            <w:r>
              <w:rPr>
                <w:rFonts w:hint="eastAsia" w:ascii="Times New Roman" w:hAnsi="Times New Roman" w:eastAsia="宋体"/>
                <w:color w:val="auto"/>
                <w:sz w:val="21"/>
                <w:highlight w:val="none"/>
              </w:rPr>
              <w:t>中山市202</w:t>
            </w:r>
            <w:r>
              <w:rPr>
                <w:rFonts w:hint="eastAsia"/>
                <w:color w:val="auto"/>
                <w:sz w:val="21"/>
                <w:highlight w:val="none"/>
                <w:lang w:val="en-US" w:eastAsia="zh-CN"/>
              </w:rPr>
              <w:t>5</w:t>
            </w:r>
            <w:r>
              <w:rPr>
                <w:rFonts w:hint="eastAsia" w:ascii="Times New Roman" w:hAnsi="Times New Roman" w:eastAsia="宋体"/>
                <w:color w:val="auto"/>
                <w:sz w:val="21"/>
                <w:highlight w:val="none"/>
              </w:rPr>
              <w:t>年大气环境质量状况公报</w:t>
            </w:r>
            <w:r>
              <w:rPr>
                <w:rFonts w:hint="default" w:ascii="Times New Roman" w:hAnsi="Times New Roman" w:eastAsia="宋体"/>
                <w:color w:val="auto"/>
                <w:sz w:val="21"/>
                <w:highlight w:val="none"/>
              </w:rPr>
              <w:t>》，</w:t>
            </w:r>
            <w:r>
              <w:rPr>
                <w:rFonts w:hint="default" w:ascii="Times New Roman" w:hAnsi="Times New Roman" w:eastAsia="宋体" w:cs="宋体"/>
                <w:color w:val="auto"/>
                <w:sz w:val="21"/>
                <w:szCs w:val="24"/>
                <w:highlight w:val="none"/>
              </w:rPr>
              <w:t>中山市环境空气质量主要指标详见下表</w:t>
            </w:r>
            <w:r>
              <w:rPr>
                <w:rFonts w:hint="default" w:ascii="Times New Roman" w:hAnsi="Times New Roman" w:eastAsia="宋体"/>
                <w:color w:val="auto"/>
                <w:sz w:val="21"/>
                <w:highlight w:val="none"/>
                <w:lang w:eastAsia="zh-CN"/>
              </w:rPr>
              <w:t>。</w:t>
            </w:r>
          </w:p>
          <w:p w14:paraId="44A36F45">
            <w:pPr>
              <w:pStyle w:val="9"/>
              <w:numPr>
                <w:ilvl w:val="0"/>
                <w:numId w:val="8"/>
              </w:numPr>
              <w:suppressLineNumbers w:val="0"/>
              <w:spacing w:before="0" w:beforeAutospacing="0" w:after="0" w:afterAutospacing="0" w:line="240" w:lineRule="auto"/>
              <w:ind w:right="0"/>
              <w:jc w:val="center"/>
              <w:rPr>
                <w:rFonts w:hint="eastAsia" w:ascii="Times New Roman" w:hAnsi="Times New Roman" w:eastAsia="宋体" w:cs="Times New Roman"/>
                <w:b/>
                <w:color w:val="auto"/>
                <w:sz w:val="21"/>
                <w:szCs w:val="24"/>
              </w:rPr>
            </w:pPr>
            <w:r>
              <w:rPr>
                <w:rFonts w:hint="eastAsia" w:ascii="Times New Roman" w:hAnsi="Times New Roman" w:eastAsia="宋体" w:cs="Times New Roman"/>
                <w:b/>
                <w:color w:val="auto"/>
                <w:sz w:val="21"/>
                <w:szCs w:val="24"/>
              </w:rPr>
              <w:t>区域空气质量现状评价表</w:t>
            </w:r>
          </w:p>
          <w:tbl>
            <w:tblPr>
              <w:tblStyle w:val="48"/>
              <w:tblW w:w="97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3"/>
              <w:gridCol w:w="3483"/>
              <w:gridCol w:w="1605"/>
              <w:gridCol w:w="1462"/>
              <w:gridCol w:w="1319"/>
              <w:gridCol w:w="865"/>
            </w:tblGrid>
            <w:tr w14:paraId="5B26D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blHeader/>
                <w:jc w:val="center"/>
              </w:trPr>
              <w:tc>
                <w:tcPr>
                  <w:tcW w:w="1043" w:type="dxa"/>
                  <w:noWrap w:val="0"/>
                  <w:vAlign w:val="center"/>
                </w:tcPr>
                <w:p w14:paraId="55F7B8D1">
                  <w:pPr>
                    <w:pStyle w:val="6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1"/>
                      <w:szCs w:val="21"/>
                      <w:highlight w:val="none"/>
                    </w:rPr>
                  </w:pPr>
                  <w:r>
                    <w:rPr>
                      <w:rFonts w:hint="default" w:ascii="Times New Roman" w:hAnsi="Times New Roman" w:cs="Times New Roman"/>
                      <w:b/>
                      <w:color w:val="auto"/>
                      <w:highlight w:val="none"/>
                      <w:lang w:bidi="ar"/>
                    </w:rPr>
                    <w:t>污染物</w:t>
                  </w:r>
                </w:p>
              </w:tc>
              <w:tc>
                <w:tcPr>
                  <w:tcW w:w="3483" w:type="dxa"/>
                  <w:noWrap w:val="0"/>
                  <w:vAlign w:val="center"/>
                </w:tcPr>
                <w:p w14:paraId="490DD7A5">
                  <w:pPr>
                    <w:pStyle w:val="6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1"/>
                      <w:szCs w:val="21"/>
                      <w:highlight w:val="none"/>
                    </w:rPr>
                  </w:pPr>
                  <w:r>
                    <w:rPr>
                      <w:rFonts w:hint="default" w:ascii="Times New Roman" w:hAnsi="Times New Roman" w:cs="Times New Roman"/>
                      <w:b/>
                      <w:color w:val="auto"/>
                      <w:highlight w:val="none"/>
                      <w:lang w:bidi="ar"/>
                    </w:rPr>
                    <w:t>年评价指标</w:t>
                  </w:r>
                </w:p>
              </w:tc>
              <w:tc>
                <w:tcPr>
                  <w:tcW w:w="1605" w:type="dxa"/>
                  <w:noWrap w:val="0"/>
                  <w:vAlign w:val="center"/>
                </w:tcPr>
                <w:p w14:paraId="0D582AB2">
                  <w:pPr>
                    <w:pStyle w:val="6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1"/>
                      <w:szCs w:val="21"/>
                      <w:highlight w:val="none"/>
                    </w:rPr>
                  </w:pPr>
                  <w:r>
                    <w:rPr>
                      <w:rFonts w:hint="default" w:ascii="Times New Roman" w:hAnsi="Times New Roman" w:cs="Times New Roman"/>
                      <w:b/>
                      <w:color w:val="auto"/>
                      <w:highlight w:val="none"/>
                      <w:lang w:bidi="ar"/>
                    </w:rPr>
                    <w:t>现状浓度</w:t>
                  </w:r>
                  <w:r>
                    <w:rPr>
                      <w:rFonts w:hint="default" w:ascii="Times New Roman" w:hAnsi="Times New Roman" w:cs="Times New Roman"/>
                      <w:b/>
                      <w:color w:val="auto"/>
                      <w:highlight w:val="none"/>
                      <w:lang w:eastAsia="zh-CN" w:bidi="ar"/>
                    </w:rPr>
                    <w:t>（</w:t>
                  </w:r>
                  <w:r>
                    <w:rPr>
                      <w:rFonts w:hint="default" w:ascii="Times New Roman" w:hAnsi="Times New Roman" w:cs="Times New Roman"/>
                      <w:b/>
                      <w:color w:val="auto"/>
                      <w:highlight w:val="none"/>
                    </w:rPr>
                    <w:t>µg/m</w:t>
                  </w:r>
                  <w:r>
                    <w:rPr>
                      <w:rFonts w:hint="default" w:ascii="Times New Roman" w:hAnsi="Times New Roman" w:cs="Times New Roman"/>
                      <w:b/>
                      <w:color w:val="auto"/>
                      <w:highlight w:val="none"/>
                      <w:vertAlign w:val="superscript"/>
                    </w:rPr>
                    <w:t>3</w:t>
                  </w:r>
                  <w:r>
                    <w:rPr>
                      <w:rFonts w:hint="default" w:ascii="Times New Roman" w:hAnsi="Times New Roman" w:cs="Times New Roman"/>
                      <w:b/>
                      <w:color w:val="auto"/>
                      <w:highlight w:val="none"/>
                      <w:lang w:bidi="ar"/>
                    </w:rPr>
                    <w:t>）</w:t>
                  </w:r>
                </w:p>
              </w:tc>
              <w:tc>
                <w:tcPr>
                  <w:tcW w:w="1462" w:type="dxa"/>
                  <w:noWrap w:val="0"/>
                  <w:vAlign w:val="center"/>
                </w:tcPr>
                <w:p w14:paraId="7D815449">
                  <w:pPr>
                    <w:pStyle w:val="6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1"/>
                      <w:szCs w:val="21"/>
                      <w:highlight w:val="none"/>
                    </w:rPr>
                  </w:pPr>
                  <w:r>
                    <w:rPr>
                      <w:rFonts w:hint="default" w:ascii="Times New Roman" w:hAnsi="Times New Roman" w:cs="Times New Roman"/>
                      <w:b/>
                      <w:color w:val="auto"/>
                      <w:highlight w:val="none"/>
                      <w:lang w:bidi="ar"/>
                    </w:rPr>
                    <w:t>标准值</w:t>
                  </w:r>
                  <w:r>
                    <w:rPr>
                      <w:rFonts w:hint="default" w:ascii="Times New Roman" w:hAnsi="Times New Roman" w:cs="Times New Roman"/>
                      <w:b/>
                      <w:color w:val="auto"/>
                      <w:highlight w:val="none"/>
                      <w:lang w:eastAsia="zh-CN" w:bidi="ar"/>
                    </w:rPr>
                    <w:t>（</w:t>
                  </w:r>
                  <w:r>
                    <w:rPr>
                      <w:rFonts w:hint="default" w:ascii="Times New Roman" w:hAnsi="Times New Roman" w:cs="Times New Roman"/>
                      <w:b/>
                      <w:color w:val="auto"/>
                      <w:highlight w:val="none"/>
                    </w:rPr>
                    <w:t>µg/m</w:t>
                  </w:r>
                  <w:r>
                    <w:rPr>
                      <w:rFonts w:hint="default" w:ascii="Times New Roman" w:hAnsi="Times New Roman" w:cs="Times New Roman"/>
                      <w:b/>
                      <w:color w:val="auto"/>
                      <w:highlight w:val="none"/>
                      <w:vertAlign w:val="superscript"/>
                    </w:rPr>
                    <w:t>3</w:t>
                  </w:r>
                  <w:r>
                    <w:rPr>
                      <w:rFonts w:hint="default" w:ascii="Times New Roman" w:hAnsi="Times New Roman" w:cs="Times New Roman"/>
                      <w:b/>
                      <w:color w:val="auto"/>
                      <w:highlight w:val="none"/>
                      <w:lang w:bidi="ar"/>
                    </w:rPr>
                    <w:t>）</w:t>
                  </w:r>
                </w:p>
              </w:tc>
              <w:tc>
                <w:tcPr>
                  <w:tcW w:w="1319" w:type="dxa"/>
                  <w:noWrap w:val="0"/>
                  <w:vAlign w:val="center"/>
                </w:tcPr>
                <w:p w14:paraId="208F2BDC">
                  <w:pPr>
                    <w:pStyle w:val="6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1"/>
                      <w:szCs w:val="21"/>
                      <w:highlight w:val="none"/>
                    </w:rPr>
                  </w:pPr>
                  <w:r>
                    <w:rPr>
                      <w:rFonts w:hint="default" w:ascii="Times New Roman" w:hAnsi="Times New Roman" w:cs="Times New Roman"/>
                      <w:b/>
                      <w:color w:val="auto"/>
                      <w:highlight w:val="none"/>
                      <w:lang w:bidi="ar"/>
                    </w:rPr>
                    <w:t>占标率</w:t>
                  </w:r>
                  <w:r>
                    <w:rPr>
                      <w:rFonts w:hint="default" w:ascii="Times New Roman" w:hAnsi="Times New Roman" w:cs="Times New Roman"/>
                      <w:b/>
                      <w:color w:val="auto"/>
                      <w:highlight w:val="none"/>
                      <w:lang w:eastAsia="zh-CN" w:bidi="ar"/>
                    </w:rPr>
                    <w:t>（</w:t>
                  </w:r>
                  <w:r>
                    <w:rPr>
                      <w:rFonts w:hint="default" w:ascii="Times New Roman" w:hAnsi="Times New Roman" w:cs="Times New Roman"/>
                      <w:b/>
                      <w:color w:val="auto"/>
                      <w:highlight w:val="none"/>
                      <w:lang w:bidi="ar"/>
                    </w:rPr>
                    <w:t>%）</w:t>
                  </w:r>
                </w:p>
              </w:tc>
              <w:tc>
                <w:tcPr>
                  <w:tcW w:w="865" w:type="dxa"/>
                  <w:noWrap w:val="0"/>
                  <w:vAlign w:val="center"/>
                </w:tcPr>
                <w:p w14:paraId="54FC8C52">
                  <w:pPr>
                    <w:pStyle w:val="6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1"/>
                      <w:szCs w:val="21"/>
                      <w:highlight w:val="none"/>
                    </w:rPr>
                  </w:pPr>
                  <w:r>
                    <w:rPr>
                      <w:rFonts w:hint="default" w:ascii="Times New Roman" w:hAnsi="Times New Roman" w:cs="Times New Roman"/>
                      <w:b/>
                      <w:color w:val="auto"/>
                      <w:highlight w:val="none"/>
                      <w:lang w:bidi="ar"/>
                    </w:rPr>
                    <w:t>达标情况</w:t>
                  </w:r>
                </w:p>
              </w:tc>
            </w:tr>
            <w:tr w14:paraId="3FA92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043" w:type="dxa"/>
                  <w:vMerge w:val="restart"/>
                  <w:noWrap w:val="0"/>
                  <w:vAlign w:val="center"/>
                </w:tcPr>
                <w:p w14:paraId="36B2643B">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SO</w:t>
                  </w:r>
                  <w:r>
                    <w:rPr>
                      <w:rFonts w:hint="default" w:ascii="Times New Roman" w:hAnsi="Times New Roman" w:cs="Times New Roman"/>
                      <w:color w:val="auto"/>
                      <w:highlight w:val="none"/>
                      <w:vertAlign w:val="subscript"/>
                      <w:lang w:bidi="ar"/>
                    </w:rPr>
                    <w:t>2</w:t>
                  </w:r>
                </w:p>
              </w:tc>
              <w:tc>
                <w:tcPr>
                  <w:tcW w:w="3483" w:type="dxa"/>
                  <w:noWrap w:val="0"/>
                  <w:vAlign w:val="center"/>
                </w:tcPr>
                <w:p w14:paraId="09DC3C72">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日均值第98百分位数浓度值</w:t>
                  </w:r>
                </w:p>
              </w:tc>
              <w:tc>
                <w:tcPr>
                  <w:tcW w:w="1605" w:type="dxa"/>
                  <w:noWrap w:val="0"/>
                  <w:vAlign w:val="center"/>
                </w:tcPr>
                <w:p w14:paraId="157A8E6C">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color w:val="auto"/>
                      <w:highlight w:val="none"/>
                      <w:lang w:val="en-US" w:eastAsia="zh-CN"/>
                    </w:rPr>
                    <w:t>8</w:t>
                  </w:r>
                </w:p>
              </w:tc>
              <w:tc>
                <w:tcPr>
                  <w:tcW w:w="1462" w:type="dxa"/>
                  <w:noWrap w:val="0"/>
                  <w:vAlign w:val="center"/>
                </w:tcPr>
                <w:p w14:paraId="51593C44">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val="en-US" w:eastAsia="zh-CN"/>
                    </w:rPr>
                    <w:t>150</w:t>
                  </w:r>
                </w:p>
              </w:tc>
              <w:tc>
                <w:tcPr>
                  <w:tcW w:w="1319" w:type="dxa"/>
                  <w:noWrap w:val="0"/>
                  <w:vAlign w:val="center"/>
                </w:tcPr>
                <w:p w14:paraId="27813522">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highlight w:val="none"/>
                      <w:lang w:val="en-US" w:eastAsia="zh-CN" w:bidi="ar"/>
                    </w:rPr>
                    <w:t>5.33</w:t>
                  </w:r>
                </w:p>
              </w:tc>
              <w:tc>
                <w:tcPr>
                  <w:tcW w:w="865" w:type="dxa"/>
                  <w:noWrap w:val="0"/>
                  <w:vAlign w:val="center"/>
                </w:tcPr>
                <w:p w14:paraId="16767D08">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达标</w:t>
                  </w:r>
                </w:p>
              </w:tc>
            </w:tr>
            <w:tr w14:paraId="632B2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043" w:type="dxa"/>
                  <w:vMerge w:val="continue"/>
                  <w:noWrap w:val="0"/>
                  <w:vAlign w:val="center"/>
                </w:tcPr>
                <w:p w14:paraId="434D263D">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p>
              </w:tc>
              <w:tc>
                <w:tcPr>
                  <w:tcW w:w="3483" w:type="dxa"/>
                  <w:noWrap w:val="0"/>
                  <w:vAlign w:val="center"/>
                </w:tcPr>
                <w:p w14:paraId="3176EB40">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年平均值</w:t>
                  </w:r>
                </w:p>
              </w:tc>
              <w:tc>
                <w:tcPr>
                  <w:tcW w:w="1605" w:type="dxa"/>
                  <w:noWrap w:val="0"/>
                  <w:vAlign w:val="center"/>
                </w:tcPr>
                <w:p w14:paraId="2FEE3E74">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eastAsia" w:ascii="Times New Roman" w:hAnsi="Times New Roman" w:cs="Times New Roman"/>
                      <w:color w:val="auto"/>
                      <w:highlight w:val="none"/>
                      <w:lang w:val="en-US" w:eastAsia="zh-CN"/>
                    </w:rPr>
                    <w:t>6</w:t>
                  </w:r>
                </w:p>
              </w:tc>
              <w:tc>
                <w:tcPr>
                  <w:tcW w:w="1462" w:type="dxa"/>
                  <w:noWrap w:val="0"/>
                  <w:vAlign w:val="center"/>
                </w:tcPr>
                <w:p w14:paraId="1A2C17D1">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val="en-US" w:eastAsia="zh-CN"/>
                    </w:rPr>
                    <w:t>60</w:t>
                  </w:r>
                </w:p>
              </w:tc>
              <w:tc>
                <w:tcPr>
                  <w:tcW w:w="1319" w:type="dxa"/>
                  <w:noWrap w:val="0"/>
                  <w:vAlign w:val="center"/>
                </w:tcPr>
                <w:p w14:paraId="04E1F8C8">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color w:val="auto"/>
                      <w:highlight w:val="none"/>
                      <w:lang w:val="en-US" w:eastAsia="zh-CN" w:bidi="ar"/>
                    </w:rPr>
                    <w:t>10.00</w:t>
                  </w:r>
                </w:p>
              </w:tc>
              <w:tc>
                <w:tcPr>
                  <w:tcW w:w="865" w:type="dxa"/>
                  <w:noWrap w:val="0"/>
                  <w:vAlign w:val="center"/>
                </w:tcPr>
                <w:p w14:paraId="6D78E62C">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达标</w:t>
                  </w:r>
                </w:p>
              </w:tc>
            </w:tr>
            <w:tr w14:paraId="4F20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043" w:type="dxa"/>
                  <w:vMerge w:val="restart"/>
                  <w:noWrap w:val="0"/>
                  <w:vAlign w:val="center"/>
                </w:tcPr>
                <w:p w14:paraId="151D1EA8">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NO</w:t>
                  </w:r>
                  <w:r>
                    <w:rPr>
                      <w:rFonts w:hint="default" w:ascii="Times New Roman" w:hAnsi="Times New Roman" w:cs="Times New Roman"/>
                      <w:color w:val="auto"/>
                      <w:highlight w:val="none"/>
                      <w:vertAlign w:val="subscript"/>
                      <w:lang w:bidi="ar"/>
                    </w:rPr>
                    <w:t>2</w:t>
                  </w:r>
                </w:p>
              </w:tc>
              <w:tc>
                <w:tcPr>
                  <w:tcW w:w="3483" w:type="dxa"/>
                  <w:noWrap w:val="0"/>
                  <w:vAlign w:val="center"/>
                </w:tcPr>
                <w:p w14:paraId="03696398">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日均值第98百分位数浓度值</w:t>
                  </w:r>
                </w:p>
              </w:tc>
              <w:tc>
                <w:tcPr>
                  <w:tcW w:w="1605" w:type="dxa"/>
                  <w:noWrap w:val="0"/>
                  <w:vAlign w:val="center"/>
                </w:tcPr>
                <w:p w14:paraId="477BFEFC">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color w:val="auto"/>
                      <w:highlight w:val="none"/>
                      <w:lang w:val="en-US" w:eastAsia="zh-CN" w:bidi="ar"/>
                    </w:rPr>
                    <w:t>5</w:t>
                  </w:r>
                  <w:r>
                    <w:rPr>
                      <w:rFonts w:hint="eastAsia" w:ascii="Times New Roman" w:hAnsi="Times New Roman" w:cs="Times New Roman"/>
                      <w:color w:val="auto"/>
                      <w:highlight w:val="none"/>
                      <w:lang w:val="en-US" w:eastAsia="zh-CN" w:bidi="ar"/>
                    </w:rPr>
                    <w:t>7</w:t>
                  </w:r>
                </w:p>
              </w:tc>
              <w:tc>
                <w:tcPr>
                  <w:tcW w:w="1462" w:type="dxa"/>
                  <w:noWrap w:val="0"/>
                  <w:vAlign w:val="center"/>
                </w:tcPr>
                <w:p w14:paraId="0F453E6A">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val="en-US" w:eastAsia="zh-CN" w:bidi="ar"/>
                    </w:rPr>
                    <w:t>80</w:t>
                  </w:r>
                </w:p>
              </w:tc>
              <w:tc>
                <w:tcPr>
                  <w:tcW w:w="1319" w:type="dxa"/>
                  <w:noWrap w:val="0"/>
                  <w:vAlign w:val="center"/>
                </w:tcPr>
                <w:p w14:paraId="090E5E68">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color w:val="auto"/>
                      <w:highlight w:val="none"/>
                      <w:lang w:val="en-US" w:eastAsia="zh-CN" w:bidi="ar"/>
                    </w:rPr>
                    <w:t>71.25</w:t>
                  </w:r>
                </w:p>
              </w:tc>
              <w:tc>
                <w:tcPr>
                  <w:tcW w:w="865" w:type="dxa"/>
                  <w:noWrap w:val="0"/>
                  <w:vAlign w:val="center"/>
                </w:tcPr>
                <w:p w14:paraId="2AD5C4BA">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达标</w:t>
                  </w:r>
                </w:p>
              </w:tc>
            </w:tr>
            <w:tr w14:paraId="72F82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043" w:type="dxa"/>
                  <w:vMerge w:val="continue"/>
                  <w:noWrap w:val="0"/>
                  <w:vAlign w:val="center"/>
                </w:tcPr>
                <w:p w14:paraId="018E3939">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p>
              </w:tc>
              <w:tc>
                <w:tcPr>
                  <w:tcW w:w="3483" w:type="dxa"/>
                  <w:noWrap w:val="0"/>
                  <w:vAlign w:val="center"/>
                </w:tcPr>
                <w:p w14:paraId="4B1BD14B">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年平均值</w:t>
                  </w:r>
                </w:p>
              </w:tc>
              <w:tc>
                <w:tcPr>
                  <w:tcW w:w="1605" w:type="dxa"/>
                  <w:noWrap w:val="0"/>
                  <w:vAlign w:val="center"/>
                </w:tcPr>
                <w:p w14:paraId="5924360A">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highlight w:val="none"/>
                      <w:lang w:val="en-US" w:eastAsia="zh-CN" w:bidi="ar"/>
                    </w:rPr>
                    <w:t>22</w:t>
                  </w:r>
                </w:p>
              </w:tc>
              <w:tc>
                <w:tcPr>
                  <w:tcW w:w="1462" w:type="dxa"/>
                  <w:noWrap w:val="0"/>
                  <w:vAlign w:val="center"/>
                </w:tcPr>
                <w:p w14:paraId="1551D494">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val="en-US" w:eastAsia="zh-CN" w:bidi="ar"/>
                    </w:rPr>
                    <w:t>40</w:t>
                  </w:r>
                </w:p>
              </w:tc>
              <w:tc>
                <w:tcPr>
                  <w:tcW w:w="1319" w:type="dxa"/>
                  <w:noWrap w:val="0"/>
                  <w:vAlign w:val="center"/>
                </w:tcPr>
                <w:p w14:paraId="219A7169">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lang w:val="en-US"/>
                    </w:rPr>
                  </w:pPr>
                  <w:r>
                    <w:rPr>
                      <w:rFonts w:hint="default" w:ascii="Times New Roman" w:hAnsi="Times New Roman" w:eastAsia="宋体" w:cs="Times New Roman"/>
                      <w:color w:val="auto"/>
                      <w:highlight w:val="none"/>
                      <w:lang w:val="en-US" w:eastAsia="zh-CN" w:bidi="ar"/>
                    </w:rPr>
                    <w:t>55.00</w:t>
                  </w:r>
                </w:p>
              </w:tc>
              <w:tc>
                <w:tcPr>
                  <w:tcW w:w="865" w:type="dxa"/>
                  <w:noWrap w:val="0"/>
                  <w:vAlign w:val="center"/>
                </w:tcPr>
                <w:p w14:paraId="09B044DC">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达标</w:t>
                  </w:r>
                </w:p>
              </w:tc>
            </w:tr>
            <w:tr w14:paraId="67CE8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043" w:type="dxa"/>
                  <w:vMerge w:val="restart"/>
                  <w:noWrap w:val="0"/>
                  <w:vAlign w:val="center"/>
                </w:tcPr>
                <w:p w14:paraId="7F66224A">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PM</w:t>
                  </w:r>
                  <w:r>
                    <w:rPr>
                      <w:rFonts w:hint="default" w:ascii="Times New Roman" w:hAnsi="Times New Roman" w:cs="Times New Roman"/>
                      <w:color w:val="auto"/>
                      <w:highlight w:val="none"/>
                      <w:vertAlign w:val="subscript"/>
                      <w:lang w:bidi="ar"/>
                    </w:rPr>
                    <w:t>10</w:t>
                  </w:r>
                </w:p>
              </w:tc>
              <w:tc>
                <w:tcPr>
                  <w:tcW w:w="3483" w:type="dxa"/>
                  <w:noWrap w:val="0"/>
                  <w:vAlign w:val="center"/>
                </w:tcPr>
                <w:p w14:paraId="695D2ADD">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日均值第95百分位数浓度值</w:t>
                  </w:r>
                </w:p>
              </w:tc>
              <w:tc>
                <w:tcPr>
                  <w:tcW w:w="1605" w:type="dxa"/>
                  <w:noWrap w:val="0"/>
                  <w:vAlign w:val="center"/>
                </w:tcPr>
                <w:p w14:paraId="256EF539">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color w:val="auto"/>
                      <w:highlight w:val="none"/>
                      <w:lang w:val="en-US" w:eastAsia="zh-CN"/>
                    </w:rPr>
                    <w:t>76</w:t>
                  </w:r>
                </w:p>
              </w:tc>
              <w:tc>
                <w:tcPr>
                  <w:tcW w:w="1462" w:type="dxa"/>
                  <w:noWrap w:val="0"/>
                  <w:vAlign w:val="center"/>
                </w:tcPr>
                <w:p w14:paraId="57D1E333">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eastAsia" w:ascii="Times New Roman" w:hAnsi="Times New Roman" w:cs="Times New Roman"/>
                      <w:color w:val="auto"/>
                      <w:highlight w:val="none"/>
                      <w:lang w:val="en-US" w:eastAsia="zh-CN"/>
                    </w:rPr>
                    <w:t>120</w:t>
                  </w:r>
                </w:p>
              </w:tc>
              <w:tc>
                <w:tcPr>
                  <w:tcW w:w="1319" w:type="dxa"/>
                  <w:noWrap w:val="0"/>
                  <w:vAlign w:val="center"/>
                </w:tcPr>
                <w:p w14:paraId="745E34E2">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lang w:val="en-US"/>
                    </w:rPr>
                  </w:pPr>
                  <w:r>
                    <w:rPr>
                      <w:rFonts w:hint="eastAsia" w:ascii="Times New Roman" w:hAnsi="Times New Roman" w:eastAsia="宋体" w:cs="Times New Roman"/>
                      <w:color w:val="auto"/>
                      <w:highlight w:val="none"/>
                      <w:lang w:val="en-US" w:eastAsia="zh-CN" w:bidi="ar"/>
                    </w:rPr>
                    <w:t>63.33</w:t>
                  </w:r>
                </w:p>
              </w:tc>
              <w:tc>
                <w:tcPr>
                  <w:tcW w:w="865" w:type="dxa"/>
                  <w:noWrap w:val="0"/>
                  <w:vAlign w:val="center"/>
                </w:tcPr>
                <w:p w14:paraId="3DFFAB30">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达标</w:t>
                  </w:r>
                </w:p>
              </w:tc>
            </w:tr>
            <w:tr w14:paraId="48849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043" w:type="dxa"/>
                  <w:vMerge w:val="continue"/>
                  <w:noWrap w:val="0"/>
                  <w:vAlign w:val="center"/>
                </w:tcPr>
                <w:p w14:paraId="1411CD57">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p>
              </w:tc>
              <w:tc>
                <w:tcPr>
                  <w:tcW w:w="3483" w:type="dxa"/>
                  <w:noWrap w:val="0"/>
                  <w:vAlign w:val="center"/>
                </w:tcPr>
                <w:p w14:paraId="041BC677">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年平均值</w:t>
                  </w:r>
                </w:p>
              </w:tc>
              <w:tc>
                <w:tcPr>
                  <w:tcW w:w="1605" w:type="dxa"/>
                  <w:noWrap w:val="0"/>
                  <w:vAlign w:val="center"/>
                </w:tcPr>
                <w:p w14:paraId="43F0377A">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highlight w:val="none"/>
                      <w:lang w:val="en-US" w:eastAsia="zh-CN"/>
                    </w:rPr>
                    <w:t>3</w:t>
                  </w:r>
                  <w:r>
                    <w:rPr>
                      <w:rFonts w:hint="eastAsia" w:ascii="Times New Roman" w:hAnsi="Times New Roman" w:eastAsia="宋体" w:cs="Times New Roman"/>
                      <w:color w:val="auto"/>
                      <w:highlight w:val="none"/>
                      <w:lang w:val="en-US" w:eastAsia="zh-CN"/>
                    </w:rPr>
                    <w:t>3</w:t>
                  </w:r>
                </w:p>
              </w:tc>
              <w:tc>
                <w:tcPr>
                  <w:tcW w:w="1462" w:type="dxa"/>
                  <w:noWrap w:val="0"/>
                  <w:vAlign w:val="center"/>
                </w:tcPr>
                <w:p w14:paraId="21F0F0C3">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color w:val="auto"/>
                      <w:highlight w:val="none"/>
                      <w:lang w:val="en-US" w:eastAsia="zh-CN"/>
                    </w:rPr>
                    <w:t>60</w:t>
                  </w:r>
                </w:p>
              </w:tc>
              <w:tc>
                <w:tcPr>
                  <w:tcW w:w="1319" w:type="dxa"/>
                  <w:noWrap w:val="0"/>
                  <w:vAlign w:val="center"/>
                </w:tcPr>
                <w:p w14:paraId="4135849D">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lang w:val="en-US"/>
                    </w:rPr>
                  </w:pPr>
                  <w:r>
                    <w:rPr>
                      <w:rFonts w:hint="eastAsia" w:ascii="Times New Roman" w:hAnsi="Times New Roman" w:eastAsia="宋体" w:cs="Times New Roman"/>
                      <w:color w:val="auto"/>
                      <w:highlight w:val="none"/>
                      <w:lang w:val="en-US" w:eastAsia="zh-CN" w:bidi="ar"/>
                    </w:rPr>
                    <w:t>55.00</w:t>
                  </w:r>
                </w:p>
              </w:tc>
              <w:tc>
                <w:tcPr>
                  <w:tcW w:w="865" w:type="dxa"/>
                  <w:noWrap w:val="0"/>
                  <w:vAlign w:val="center"/>
                </w:tcPr>
                <w:p w14:paraId="177FB24D">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达标</w:t>
                  </w:r>
                </w:p>
              </w:tc>
            </w:tr>
            <w:tr w14:paraId="4D502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043" w:type="dxa"/>
                  <w:vMerge w:val="restart"/>
                  <w:noWrap w:val="0"/>
                  <w:vAlign w:val="center"/>
                </w:tcPr>
                <w:p w14:paraId="5A4875B3">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PM</w:t>
                  </w:r>
                  <w:r>
                    <w:rPr>
                      <w:rFonts w:hint="default" w:ascii="Times New Roman" w:hAnsi="Times New Roman" w:cs="Times New Roman"/>
                      <w:color w:val="auto"/>
                      <w:highlight w:val="none"/>
                      <w:vertAlign w:val="subscript"/>
                      <w:lang w:bidi="ar"/>
                    </w:rPr>
                    <w:t>2.5</w:t>
                  </w:r>
                </w:p>
              </w:tc>
              <w:tc>
                <w:tcPr>
                  <w:tcW w:w="3483" w:type="dxa"/>
                  <w:noWrap w:val="0"/>
                  <w:vAlign w:val="center"/>
                </w:tcPr>
                <w:p w14:paraId="1AC10227">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日均值第95百分位数浓度值</w:t>
                  </w:r>
                </w:p>
              </w:tc>
              <w:tc>
                <w:tcPr>
                  <w:tcW w:w="1605" w:type="dxa"/>
                  <w:noWrap w:val="0"/>
                  <w:vAlign w:val="center"/>
                </w:tcPr>
                <w:p w14:paraId="7B8955AF">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color w:val="auto"/>
                      <w:highlight w:val="none"/>
                      <w:lang w:val="en-US" w:eastAsia="zh-CN"/>
                    </w:rPr>
                    <w:t>50</w:t>
                  </w:r>
                </w:p>
              </w:tc>
              <w:tc>
                <w:tcPr>
                  <w:tcW w:w="1462" w:type="dxa"/>
                  <w:noWrap w:val="0"/>
                  <w:vAlign w:val="center"/>
                </w:tcPr>
                <w:p w14:paraId="385BF30A">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color w:val="auto"/>
                      <w:highlight w:val="none"/>
                      <w:lang w:val="en-US" w:eastAsia="zh-CN"/>
                    </w:rPr>
                    <w:t>60</w:t>
                  </w:r>
                </w:p>
              </w:tc>
              <w:tc>
                <w:tcPr>
                  <w:tcW w:w="1319" w:type="dxa"/>
                  <w:noWrap w:val="0"/>
                  <w:vAlign w:val="center"/>
                </w:tcPr>
                <w:p w14:paraId="129B2122">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lang w:val="en-US"/>
                    </w:rPr>
                  </w:pPr>
                  <w:r>
                    <w:rPr>
                      <w:rFonts w:hint="eastAsia" w:ascii="Times New Roman" w:hAnsi="Times New Roman" w:eastAsia="宋体" w:cs="Times New Roman"/>
                      <w:color w:val="auto"/>
                      <w:highlight w:val="none"/>
                      <w:lang w:val="en-US" w:eastAsia="zh-CN" w:bidi="ar"/>
                    </w:rPr>
                    <w:t>83.33</w:t>
                  </w:r>
                </w:p>
              </w:tc>
              <w:tc>
                <w:tcPr>
                  <w:tcW w:w="865" w:type="dxa"/>
                  <w:noWrap w:val="0"/>
                  <w:vAlign w:val="center"/>
                </w:tcPr>
                <w:p w14:paraId="437A65B2">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达标</w:t>
                  </w:r>
                </w:p>
              </w:tc>
            </w:tr>
            <w:tr w14:paraId="6E554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043" w:type="dxa"/>
                  <w:vMerge w:val="continue"/>
                  <w:noWrap w:val="0"/>
                  <w:vAlign w:val="center"/>
                </w:tcPr>
                <w:p w14:paraId="46CC1E5D">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p>
              </w:tc>
              <w:tc>
                <w:tcPr>
                  <w:tcW w:w="3483" w:type="dxa"/>
                  <w:noWrap w:val="0"/>
                  <w:vAlign w:val="center"/>
                </w:tcPr>
                <w:p w14:paraId="02580922">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年平均值</w:t>
                  </w:r>
                </w:p>
              </w:tc>
              <w:tc>
                <w:tcPr>
                  <w:tcW w:w="1605" w:type="dxa"/>
                  <w:noWrap w:val="0"/>
                  <w:vAlign w:val="center"/>
                </w:tcPr>
                <w:p w14:paraId="08E584C1">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highlight w:val="none"/>
                      <w:lang w:val="en-US" w:eastAsia="zh-CN"/>
                    </w:rPr>
                    <w:t>20</w:t>
                  </w:r>
                </w:p>
              </w:tc>
              <w:tc>
                <w:tcPr>
                  <w:tcW w:w="1462" w:type="dxa"/>
                  <w:noWrap w:val="0"/>
                  <w:vAlign w:val="center"/>
                </w:tcPr>
                <w:p w14:paraId="09218C84">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color w:val="auto"/>
                      <w:highlight w:val="none"/>
                      <w:lang w:val="en-US" w:eastAsia="zh-CN"/>
                    </w:rPr>
                    <w:t>30</w:t>
                  </w:r>
                </w:p>
              </w:tc>
              <w:tc>
                <w:tcPr>
                  <w:tcW w:w="1319" w:type="dxa"/>
                  <w:noWrap w:val="0"/>
                  <w:vAlign w:val="center"/>
                </w:tcPr>
                <w:p w14:paraId="7D1125BE">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lang w:val="en-US"/>
                    </w:rPr>
                  </w:pPr>
                  <w:r>
                    <w:rPr>
                      <w:rFonts w:hint="eastAsia" w:ascii="Times New Roman" w:hAnsi="Times New Roman" w:eastAsia="宋体" w:cs="Times New Roman"/>
                      <w:color w:val="auto"/>
                      <w:highlight w:val="none"/>
                      <w:lang w:val="en-US" w:eastAsia="zh-CN" w:bidi="ar"/>
                    </w:rPr>
                    <w:t>66.67</w:t>
                  </w:r>
                </w:p>
              </w:tc>
              <w:tc>
                <w:tcPr>
                  <w:tcW w:w="865" w:type="dxa"/>
                  <w:noWrap w:val="0"/>
                  <w:vAlign w:val="center"/>
                </w:tcPr>
                <w:p w14:paraId="24F7AE85">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达标</w:t>
                  </w:r>
                </w:p>
              </w:tc>
            </w:tr>
            <w:tr w14:paraId="2AE1B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043" w:type="dxa"/>
                  <w:noWrap w:val="0"/>
                  <w:vAlign w:val="center"/>
                </w:tcPr>
                <w:p w14:paraId="6E09CCC2">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O</w:t>
                  </w:r>
                  <w:r>
                    <w:rPr>
                      <w:rFonts w:hint="default" w:ascii="Times New Roman" w:hAnsi="Times New Roman" w:cs="Times New Roman"/>
                      <w:color w:val="auto"/>
                      <w:highlight w:val="none"/>
                      <w:vertAlign w:val="subscript"/>
                      <w:lang w:bidi="ar"/>
                    </w:rPr>
                    <w:t>3</w:t>
                  </w:r>
                </w:p>
              </w:tc>
              <w:tc>
                <w:tcPr>
                  <w:tcW w:w="3483" w:type="dxa"/>
                  <w:noWrap w:val="0"/>
                  <w:vAlign w:val="center"/>
                </w:tcPr>
                <w:p w14:paraId="32E8244A">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rPr>
                    <w:t>日最大8小时滑动平均值的90百分位数浓度值</w:t>
                  </w:r>
                </w:p>
              </w:tc>
              <w:tc>
                <w:tcPr>
                  <w:tcW w:w="1605" w:type="dxa"/>
                  <w:noWrap w:val="0"/>
                  <w:vAlign w:val="center"/>
                </w:tcPr>
                <w:p w14:paraId="547833FC">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highlight w:val="none"/>
                      <w:lang w:val="en-US" w:eastAsia="zh-CN"/>
                    </w:rPr>
                    <w:t>15</w:t>
                  </w:r>
                  <w:r>
                    <w:rPr>
                      <w:rFonts w:hint="eastAsia" w:ascii="Times New Roman" w:hAnsi="Times New Roman" w:eastAsia="宋体" w:cs="Times New Roman"/>
                      <w:color w:val="auto"/>
                      <w:highlight w:val="none"/>
                      <w:lang w:val="en-US" w:eastAsia="zh-CN"/>
                    </w:rPr>
                    <w:t>7</w:t>
                  </w:r>
                </w:p>
              </w:tc>
              <w:tc>
                <w:tcPr>
                  <w:tcW w:w="1462" w:type="dxa"/>
                  <w:noWrap w:val="0"/>
                  <w:vAlign w:val="center"/>
                </w:tcPr>
                <w:p w14:paraId="3D75A778">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val="en-US" w:eastAsia="zh-CN"/>
                    </w:rPr>
                    <w:t>160</w:t>
                  </w:r>
                </w:p>
              </w:tc>
              <w:tc>
                <w:tcPr>
                  <w:tcW w:w="1319" w:type="dxa"/>
                  <w:noWrap w:val="0"/>
                  <w:vAlign w:val="center"/>
                </w:tcPr>
                <w:p w14:paraId="6C6484FC">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eastAsia" w:ascii="Times New Roman" w:hAnsi="Times New Roman" w:eastAsia="宋体" w:cs="Times New Roman"/>
                      <w:color w:val="auto"/>
                      <w:highlight w:val="none"/>
                      <w:lang w:val="en-US" w:eastAsia="zh-CN" w:bidi="ar"/>
                    </w:rPr>
                    <w:t>98.12</w:t>
                  </w:r>
                </w:p>
              </w:tc>
              <w:tc>
                <w:tcPr>
                  <w:tcW w:w="865" w:type="dxa"/>
                  <w:noWrap w:val="0"/>
                  <w:vAlign w:val="center"/>
                </w:tcPr>
                <w:p w14:paraId="35A19FA5">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cs="Times New Roman"/>
                      <w:color w:val="auto"/>
                      <w:highlight w:val="none"/>
                      <w:lang w:val="en-US" w:eastAsia="zh-CN"/>
                    </w:rPr>
                    <w:t>达标</w:t>
                  </w:r>
                </w:p>
              </w:tc>
            </w:tr>
            <w:tr w14:paraId="238DA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043" w:type="dxa"/>
                  <w:noWrap w:val="0"/>
                  <w:vAlign w:val="center"/>
                </w:tcPr>
                <w:p w14:paraId="1F68F9D9">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CO</w:t>
                  </w:r>
                </w:p>
              </w:tc>
              <w:tc>
                <w:tcPr>
                  <w:tcW w:w="3483" w:type="dxa"/>
                  <w:noWrap w:val="0"/>
                  <w:vAlign w:val="center"/>
                </w:tcPr>
                <w:p w14:paraId="687BC353">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日均值第95百分位数浓度值</w:t>
                  </w:r>
                </w:p>
              </w:tc>
              <w:tc>
                <w:tcPr>
                  <w:tcW w:w="1605" w:type="dxa"/>
                  <w:noWrap w:val="0"/>
                  <w:vAlign w:val="center"/>
                </w:tcPr>
                <w:p w14:paraId="36AFCD55">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lang w:val="en-US" w:eastAsia="zh-CN"/>
                    </w:rPr>
                    <w:t>00</w:t>
                  </w:r>
                </w:p>
              </w:tc>
              <w:tc>
                <w:tcPr>
                  <w:tcW w:w="1462" w:type="dxa"/>
                  <w:noWrap w:val="0"/>
                  <w:vAlign w:val="center"/>
                </w:tcPr>
                <w:p w14:paraId="571137A8">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val="en-US" w:eastAsia="zh-CN"/>
                    </w:rPr>
                    <w:t>4000</w:t>
                  </w:r>
                </w:p>
              </w:tc>
              <w:tc>
                <w:tcPr>
                  <w:tcW w:w="1319" w:type="dxa"/>
                  <w:noWrap w:val="0"/>
                  <w:vAlign w:val="center"/>
                </w:tcPr>
                <w:p w14:paraId="00D6295C">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eastAsia" w:ascii="Times New Roman" w:hAnsi="Times New Roman" w:eastAsia="宋体" w:cs="Times New Roman"/>
                      <w:color w:val="auto"/>
                      <w:highlight w:val="none"/>
                      <w:lang w:val="en-US" w:eastAsia="zh-CN" w:bidi="ar"/>
                    </w:rPr>
                    <w:t>17.50</w:t>
                  </w:r>
                </w:p>
              </w:tc>
              <w:tc>
                <w:tcPr>
                  <w:tcW w:w="865" w:type="dxa"/>
                  <w:noWrap w:val="0"/>
                  <w:vAlign w:val="center"/>
                </w:tcPr>
                <w:p w14:paraId="2B22A364">
                  <w:pPr>
                    <w:pStyle w:val="62"/>
                    <w:keepNext w:val="0"/>
                    <w:keepLines w:val="0"/>
                    <w:suppressLineNumbers w:val="0"/>
                    <w:spacing w:before="0" w:beforeAutospacing="0" w:after="0" w:afterAutospacing="0"/>
                    <w:ind w:left="0" w:right="0" w:firstLine="2"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bidi="ar"/>
                    </w:rPr>
                    <w:t>达标</w:t>
                  </w:r>
                </w:p>
              </w:tc>
            </w:tr>
          </w:tbl>
          <w:p w14:paraId="4E21654A">
            <w:pPr>
              <w:keepNext w:val="0"/>
              <w:keepLines w:val="0"/>
              <w:suppressLineNumbers w:val="0"/>
              <w:spacing w:before="0" w:beforeAutospacing="0" w:after="0" w:afterAutospacing="0" w:line="360" w:lineRule="auto"/>
              <w:ind w:left="0" w:right="0" w:firstLine="420" w:firstLineChars="200"/>
              <w:rPr>
                <w:rFonts w:hint="default" w:ascii="Times New Roman" w:hAnsi="Times New Roman" w:eastAsia="宋体" w:cs="Times New Roman"/>
                <w:b w:val="0"/>
                <w:bCs w:val="0"/>
                <w:color w:val="auto"/>
                <w:sz w:val="21"/>
                <w:szCs w:val="24"/>
                <w:highlight w:val="none"/>
              </w:rPr>
            </w:pPr>
            <w:r>
              <w:rPr>
                <w:rFonts w:hint="default" w:ascii="Times New Roman" w:hAnsi="Times New Roman" w:eastAsia="宋体" w:cs="Times New Roman"/>
                <w:b w:val="0"/>
                <w:bCs w:val="0"/>
                <w:color w:val="auto"/>
                <w:sz w:val="21"/>
                <w:szCs w:val="24"/>
                <w:highlight w:val="none"/>
              </w:rPr>
              <w:t>根据《环境影响评价技术导则</w:t>
            </w:r>
            <w:r>
              <w:rPr>
                <w:rFonts w:hint="eastAsia" w:cs="Times New Roman"/>
                <w:b w:val="0"/>
                <w:bCs w:val="0"/>
                <w:color w:val="auto"/>
                <w:sz w:val="21"/>
                <w:szCs w:val="24"/>
                <w:highlight w:val="none"/>
                <w:lang w:eastAsia="zh-CN"/>
              </w:rPr>
              <w:t xml:space="preserve"> </w:t>
            </w:r>
            <w:r>
              <w:rPr>
                <w:rFonts w:hint="default" w:ascii="Times New Roman" w:hAnsi="Times New Roman" w:eastAsia="宋体" w:cs="Times New Roman"/>
                <w:b w:val="0"/>
                <w:bCs w:val="0"/>
                <w:color w:val="auto"/>
                <w:sz w:val="21"/>
                <w:szCs w:val="24"/>
                <w:highlight w:val="none"/>
              </w:rPr>
              <w:t>大气环境》（HJ2.2</w:t>
            </w:r>
            <w:r>
              <w:rPr>
                <w:rFonts w:hint="eastAsia" w:cs="Times New Roman"/>
                <w:b w:val="0"/>
                <w:bCs w:val="0"/>
                <w:color w:val="auto"/>
                <w:sz w:val="21"/>
                <w:szCs w:val="24"/>
                <w:highlight w:val="none"/>
                <w:lang w:val="en-US" w:eastAsia="zh-CN"/>
              </w:rPr>
              <w:t>-</w:t>
            </w:r>
            <w:r>
              <w:rPr>
                <w:rFonts w:hint="default" w:ascii="Times New Roman" w:hAnsi="Times New Roman" w:eastAsia="宋体" w:cs="Times New Roman"/>
                <w:b w:val="0"/>
                <w:bCs w:val="0"/>
                <w:color w:val="auto"/>
                <w:sz w:val="21"/>
                <w:szCs w:val="24"/>
                <w:highlight w:val="none"/>
              </w:rPr>
              <w:t>2018），城市环境空气质量达标情况评价指标为SO</w:t>
            </w:r>
            <w:r>
              <w:rPr>
                <w:rFonts w:hint="default" w:ascii="Times New Roman" w:hAnsi="Times New Roman" w:eastAsia="宋体" w:cs="Times New Roman"/>
                <w:b w:val="0"/>
                <w:bCs w:val="0"/>
                <w:color w:val="auto"/>
                <w:sz w:val="21"/>
                <w:szCs w:val="24"/>
                <w:highlight w:val="none"/>
                <w:vertAlign w:val="subscript"/>
              </w:rPr>
              <w:t>2</w:t>
            </w:r>
            <w:r>
              <w:rPr>
                <w:rFonts w:hint="default" w:ascii="Times New Roman" w:hAnsi="Times New Roman" w:eastAsia="宋体" w:cs="Times New Roman"/>
                <w:b w:val="0"/>
                <w:bCs w:val="0"/>
                <w:color w:val="auto"/>
                <w:sz w:val="21"/>
                <w:szCs w:val="24"/>
                <w:highlight w:val="none"/>
              </w:rPr>
              <w:t>、NO</w:t>
            </w:r>
            <w:r>
              <w:rPr>
                <w:rFonts w:hint="default" w:ascii="Times New Roman" w:hAnsi="Times New Roman" w:eastAsia="宋体" w:cs="Times New Roman"/>
                <w:b w:val="0"/>
                <w:bCs w:val="0"/>
                <w:color w:val="auto"/>
                <w:sz w:val="21"/>
                <w:szCs w:val="24"/>
                <w:highlight w:val="none"/>
                <w:vertAlign w:val="subscript"/>
              </w:rPr>
              <w:t>2</w:t>
            </w:r>
            <w:r>
              <w:rPr>
                <w:rFonts w:hint="default" w:ascii="Times New Roman" w:hAnsi="Times New Roman" w:eastAsia="宋体" w:cs="Times New Roman"/>
                <w:b w:val="0"/>
                <w:bCs w:val="0"/>
                <w:color w:val="auto"/>
                <w:sz w:val="21"/>
                <w:szCs w:val="24"/>
                <w:highlight w:val="none"/>
              </w:rPr>
              <w:t>、PM</w:t>
            </w:r>
            <w:r>
              <w:rPr>
                <w:rFonts w:hint="default" w:ascii="Times New Roman" w:hAnsi="Times New Roman" w:eastAsia="宋体" w:cs="Times New Roman"/>
                <w:b w:val="0"/>
                <w:bCs w:val="0"/>
                <w:color w:val="auto"/>
                <w:sz w:val="21"/>
                <w:szCs w:val="24"/>
                <w:highlight w:val="none"/>
                <w:vertAlign w:val="subscript"/>
              </w:rPr>
              <w:t>10</w:t>
            </w:r>
            <w:r>
              <w:rPr>
                <w:rFonts w:hint="default" w:ascii="Times New Roman" w:hAnsi="Times New Roman" w:eastAsia="宋体" w:cs="Times New Roman"/>
                <w:b w:val="0"/>
                <w:bCs w:val="0"/>
                <w:color w:val="auto"/>
                <w:sz w:val="21"/>
                <w:szCs w:val="24"/>
                <w:highlight w:val="none"/>
              </w:rPr>
              <w:t>、PM</w:t>
            </w:r>
            <w:r>
              <w:rPr>
                <w:rFonts w:hint="default" w:ascii="Times New Roman" w:hAnsi="Times New Roman" w:eastAsia="宋体" w:cs="Times New Roman"/>
                <w:b w:val="0"/>
                <w:bCs w:val="0"/>
                <w:color w:val="auto"/>
                <w:sz w:val="21"/>
                <w:szCs w:val="24"/>
                <w:highlight w:val="none"/>
                <w:vertAlign w:val="subscript"/>
              </w:rPr>
              <w:t>2.5</w:t>
            </w:r>
            <w:r>
              <w:rPr>
                <w:rFonts w:hint="default" w:ascii="Times New Roman" w:hAnsi="Times New Roman" w:eastAsia="宋体" w:cs="Times New Roman"/>
                <w:b w:val="0"/>
                <w:bCs w:val="0"/>
                <w:color w:val="auto"/>
                <w:sz w:val="21"/>
                <w:szCs w:val="24"/>
                <w:highlight w:val="none"/>
              </w:rPr>
              <w:t>、CO、O</w:t>
            </w:r>
            <w:r>
              <w:rPr>
                <w:rFonts w:hint="default" w:ascii="Times New Roman" w:hAnsi="Times New Roman" w:eastAsia="宋体" w:cs="Times New Roman"/>
                <w:b w:val="0"/>
                <w:bCs w:val="0"/>
                <w:color w:val="auto"/>
                <w:sz w:val="21"/>
                <w:szCs w:val="24"/>
                <w:highlight w:val="none"/>
                <w:vertAlign w:val="subscript"/>
              </w:rPr>
              <w:t>3</w:t>
            </w:r>
            <w:r>
              <w:rPr>
                <w:rFonts w:hint="default" w:ascii="Times New Roman" w:hAnsi="Times New Roman" w:eastAsia="宋体" w:cs="Times New Roman"/>
                <w:b w:val="0"/>
                <w:bCs w:val="0"/>
                <w:color w:val="auto"/>
                <w:sz w:val="21"/>
                <w:szCs w:val="24"/>
                <w:highlight w:val="none"/>
              </w:rPr>
              <w:t>，六项污染物全部达标即为城市环境空气质量达标。</w:t>
            </w:r>
            <w:r>
              <w:rPr>
                <w:rFonts w:hint="eastAsia" w:ascii="Times New Roman" w:hAnsi="Times New Roman" w:eastAsia="宋体" w:cs="Times New Roman"/>
                <w:b w:val="0"/>
                <w:bCs w:val="0"/>
                <w:color w:val="auto"/>
                <w:sz w:val="21"/>
                <w:szCs w:val="24"/>
                <w:highlight w:val="none"/>
                <w:lang w:eastAsia="zh-CN"/>
              </w:rPr>
              <w:t>根据监测结果</w:t>
            </w:r>
            <w:r>
              <w:rPr>
                <w:rFonts w:hint="eastAsia" w:ascii="Times New Roman" w:hAnsi="Times New Roman" w:eastAsia="宋体" w:cs="Times New Roman"/>
                <w:b w:val="0"/>
                <w:bCs w:val="0"/>
                <w:color w:val="auto"/>
                <w:sz w:val="21"/>
                <w:szCs w:val="24"/>
                <w:highlight w:val="none"/>
                <w:lang w:val="en-US" w:eastAsia="zh-CN"/>
              </w:rPr>
              <w:t>，</w:t>
            </w:r>
            <w:r>
              <w:rPr>
                <w:rFonts w:hint="default" w:ascii="Times New Roman" w:hAnsi="Times New Roman" w:eastAsia="宋体" w:cs="Times New Roman"/>
                <w:b w:val="0"/>
                <w:bCs w:val="0"/>
                <w:color w:val="auto"/>
                <w:sz w:val="21"/>
                <w:szCs w:val="24"/>
                <w:highlight w:val="none"/>
              </w:rPr>
              <w:t>202</w:t>
            </w:r>
            <w:r>
              <w:rPr>
                <w:rFonts w:hint="eastAsia" w:cs="Times New Roman"/>
                <w:b w:val="0"/>
                <w:bCs w:val="0"/>
                <w:color w:val="auto"/>
                <w:sz w:val="21"/>
                <w:szCs w:val="24"/>
                <w:highlight w:val="none"/>
                <w:lang w:val="en-US" w:eastAsia="zh-CN"/>
              </w:rPr>
              <w:t>5</w:t>
            </w:r>
            <w:r>
              <w:rPr>
                <w:rFonts w:hint="default" w:ascii="Times New Roman" w:hAnsi="Times New Roman" w:eastAsia="宋体" w:cs="Times New Roman"/>
                <w:b w:val="0"/>
                <w:bCs w:val="0"/>
                <w:color w:val="auto"/>
                <w:sz w:val="21"/>
                <w:szCs w:val="24"/>
                <w:highlight w:val="none"/>
              </w:rPr>
              <w:t>年中山市内环境空气六项污染指标均达到</w:t>
            </w:r>
            <w:r>
              <w:rPr>
                <w:rFonts w:hint="eastAsia" w:ascii="Times New Roman" w:hAnsi="Times New Roman" w:eastAsia="宋体" w:cs="Times New Roman"/>
                <w:b w:val="0"/>
                <w:bCs w:val="0"/>
                <w:color w:val="auto"/>
                <w:sz w:val="21"/>
                <w:szCs w:val="24"/>
                <w:highlight w:val="none"/>
                <w:lang w:eastAsia="zh-CN"/>
              </w:rPr>
              <w:t>《环境空气质量标准》</w:t>
            </w:r>
            <w:r>
              <w:rPr>
                <w:rFonts w:hint="eastAsia" w:cs="Times New Roman"/>
                <w:b w:val="0"/>
                <w:bCs w:val="0"/>
                <w:color w:val="auto"/>
                <w:sz w:val="21"/>
                <w:szCs w:val="24"/>
                <w:highlight w:val="none"/>
                <w:lang w:eastAsia="zh-CN"/>
              </w:rPr>
              <w:t>（</w:t>
            </w:r>
            <w:r>
              <w:rPr>
                <w:rFonts w:hint="eastAsia" w:ascii="Times New Roman" w:hAnsi="Times New Roman" w:eastAsia="宋体" w:cs="Times New Roman"/>
                <w:b w:val="0"/>
                <w:bCs w:val="0"/>
                <w:color w:val="auto"/>
                <w:sz w:val="21"/>
                <w:szCs w:val="24"/>
                <w:highlight w:val="none"/>
                <w:lang w:eastAsia="zh-CN"/>
              </w:rPr>
              <w:t>GB3095</w:t>
            </w:r>
            <w:r>
              <w:rPr>
                <w:rFonts w:hint="eastAsia" w:cs="Times New Roman"/>
                <w:b w:val="0"/>
                <w:bCs w:val="0"/>
                <w:color w:val="auto"/>
                <w:sz w:val="21"/>
                <w:szCs w:val="24"/>
                <w:highlight w:val="none"/>
                <w:lang w:val="en-US" w:eastAsia="zh-CN"/>
              </w:rPr>
              <w:t>-</w:t>
            </w:r>
            <w:r>
              <w:rPr>
                <w:rFonts w:hint="eastAsia" w:ascii="Times New Roman" w:hAnsi="Times New Roman" w:eastAsia="宋体" w:cs="Times New Roman"/>
                <w:b w:val="0"/>
                <w:bCs w:val="0"/>
                <w:color w:val="auto"/>
                <w:sz w:val="21"/>
                <w:szCs w:val="24"/>
                <w:highlight w:val="none"/>
                <w:lang w:eastAsia="zh-CN"/>
              </w:rPr>
              <w:t>2026</w:t>
            </w:r>
            <w:r>
              <w:rPr>
                <w:rFonts w:hint="eastAsia" w:cs="Times New Roman"/>
                <w:b w:val="0"/>
                <w:bCs w:val="0"/>
                <w:color w:val="auto"/>
                <w:sz w:val="21"/>
                <w:szCs w:val="24"/>
                <w:highlight w:val="none"/>
                <w:lang w:eastAsia="zh-CN"/>
              </w:rPr>
              <w:t>）</w:t>
            </w:r>
            <w:r>
              <w:rPr>
                <w:rFonts w:hint="eastAsia" w:ascii="Times New Roman" w:hAnsi="Times New Roman" w:eastAsia="宋体" w:cs="Times New Roman"/>
                <w:b w:val="0"/>
                <w:bCs w:val="0"/>
                <w:color w:val="auto"/>
                <w:sz w:val="21"/>
                <w:szCs w:val="24"/>
                <w:highlight w:val="none"/>
                <w:lang w:eastAsia="zh-CN"/>
              </w:rPr>
              <w:t>中的过渡阶段浓度限值二级标准</w:t>
            </w:r>
            <w:r>
              <w:rPr>
                <w:rFonts w:hint="default" w:ascii="Times New Roman" w:hAnsi="Times New Roman" w:eastAsia="宋体" w:cs="Times New Roman"/>
                <w:b w:val="0"/>
                <w:bCs w:val="0"/>
                <w:color w:val="auto"/>
                <w:sz w:val="21"/>
                <w:szCs w:val="24"/>
                <w:highlight w:val="none"/>
              </w:rPr>
              <w:t>，项目所在区域为达标区。</w:t>
            </w:r>
          </w:p>
          <w:p w14:paraId="6313AF79">
            <w:pPr>
              <w:keepNext w:val="0"/>
              <w:keepLines w:val="0"/>
              <w:suppressLineNumbers w:val="0"/>
              <w:spacing w:before="0" w:beforeAutospacing="0" w:after="0" w:afterAutospacing="0" w:line="360" w:lineRule="auto"/>
              <w:ind w:left="0" w:right="0" w:firstLine="422" w:firstLineChars="200"/>
              <w:rPr>
                <w:rFonts w:hint="default" w:ascii="Times New Roman" w:hAnsi="Times New Roman" w:eastAsia="宋体"/>
                <w:b/>
                <w:bCs/>
                <w:color w:val="auto"/>
                <w:sz w:val="21"/>
                <w:szCs w:val="24"/>
                <w:highlight w:val="none"/>
              </w:rPr>
            </w:pPr>
            <w:r>
              <w:rPr>
                <w:rFonts w:hint="default" w:ascii="Times New Roman" w:hAnsi="Times New Roman" w:eastAsia="宋体"/>
                <w:b/>
                <w:bCs/>
                <w:color w:val="auto"/>
                <w:sz w:val="21"/>
                <w:szCs w:val="24"/>
                <w:highlight w:val="none"/>
              </w:rPr>
              <w:t>（2）基本污染物环境质量现状</w:t>
            </w:r>
          </w:p>
          <w:bookmarkEnd w:id="21"/>
          <w:p w14:paraId="3A11E67D">
            <w:pPr>
              <w:keepNext w:val="0"/>
              <w:keepLines w:val="0"/>
              <w:suppressLineNumbers w:val="0"/>
              <w:spacing w:before="0" w:beforeAutospacing="0" w:after="0" w:afterAutospacing="0" w:line="360" w:lineRule="auto"/>
              <w:ind w:left="0" w:right="0" w:firstLine="420" w:firstLineChars="200"/>
              <w:rPr>
                <w:rFonts w:hint="eastAsia" w:ascii="Times New Roman" w:hAnsi="Times New Roman" w:eastAsia="宋体"/>
                <w:color w:val="auto"/>
                <w:sz w:val="21"/>
                <w:highlight w:val="none"/>
              </w:rPr>
            </w:pPr>
            <w:r>
              <w:rPr>
                <w:rFonts w:hint="eastAsia" w:ascii="Times New Roman" w:hAnsi="Times New Roman" w:eastAsia="宋体"/>
                <w:color w:val="auto"/>
                <w:sz w:val="21"/>
                <w:szCs w:val="24"/>
                <w:highlight w:val="none"/>
              </w:rPr>
              <w:t>本项目</w:t>
            </w:r>
            <w:r>
              <w:rPr>
                <w:rFonts w:hint="default" w:ascii="Times New Roman" w:hAnsi="Times New Roman" w:eastAsia="宋体"/>
                <w:color w:val="auto"/>
                <w:sz w:val="21"/>
                <w:szCs w:val="24"/>
                <w:highlight w:val="none"/>
              </w:rPr>
              <w:t>位于环境空气二类功能区</w:t>
            </w:r>
            <w:r>
              <w:rPr>
                <w:rFonts w:hint="eastAsia" w:ascii="Times New Roman" w:hAnsi="Times New Roman" w:eastAsia="宋体"/>
                <w:color w:val="auto"/>
                <w:sz w:val="21"/>
                <w:szCs w:val="24"/>
                <w:highlight w:val="none"/>
              </w:rPr>
              <w:t>，</w:t>
            </w:r>
            <w:r>
              <w:rPr>
                <w:rFonts w:hint="default" w:ascii="Times New Roman" w:hAnsi="Times New Roman" w:eastAsia="宋体"/>
                <w:color w:val="auto"/>
                <w:sz w:val="21"/>
                <w:szCs w:val="24"/>
                <w:highlight w:val="none"/>
              </w:rPr>
              <w:t>SO</w:t>
            </w:r>
            <w:r>
              <w:rPr>
                <w:rFonts w:hint="default" w:ascii="Times New Roman" w:hAnsi="Times New Roman" w:eastAsia="宋体"/>
                <w:color w:val="auto"/>
                <w:sz w:val="21"/>
                <w:szCs w:val="24"/>
                <w:highlight w:val="none"/>
                <w:vertAlign w:val="subscript"/>
              </w:rPr>
              <w:t>2</w:t>
            </w:r>
            <w:r>
              <w:rPr>
                <w:rFonts w:hint="default" w:ascii="Times New Roman" w:hAnsi="Times New Roman" w:eastAsia="宋体"/>
                <w:color w:val="auto"/>
                <w:sz w:val="21"/>
                <w:szCs w:val="24"/>
                <w:highlight w:val="none"/>
              </w:rPr>
              <w:t>、NO</w:t>
            </w:r>
            <w:r>
              <w:rPr>
                <w:rFonts w:hint="default" w:ascii="Times New Roman" w:hAnsi="Times New Roman" w:eastAsia="宋体"/>
                <w:color w:val="auto"/>
                <w:sz w:val="21"/>
                <w:szCs w:val="24"/>
                <w:highlight w:val="none"/>
                <w:vertAlign w:val="subscript"/>
              </w:rPr>
              <w:t>2</w:t>
            </w:r>
            <w:r>
              <w:rPr>
                <w:rFonts w:hint="eastAsia" w:ascii="Times New Roman" w:hAnsi="Times New Roman" w:eastAsia="宋体"/>
                <w:color w:val="auto"/>
                <w:sz w:val="21"/>
                <w:szCs w:val="24"/>
                <w:highlight w:val="none"/>
              </w:rPr>
              <w:t>、</w:t>
            </w:r>
            <w:r>
              <w:rPr>
                <w:rFonts w:hint="default" w:ascii="Times New Roman" w:hAnsi="Times New Roman" w:eastAsia="宋体"/>
                <w:color w:val="auto"/>
                <w:sz w:val="21"/>
                <w:szCs w:val="24"/>
                <w:highlight w:val="none"/>
              </w:rPr>
              <w:t>PM</w:t>
            </w:r>
            <w:r>
              <w:rPr>
                <w:rFonts w:hint="default" w:ascii="Times New Roman" w:hAnsi="Times New Roman" w:eastAsia="宋体"/>
                <w:color w:val="auto"/>
                <w:sz w:val="21"/>
                <w:szCs w:val="24"/>
                <w:highlight w:val="none"/>
                <w:vertAlign w:val="subscript"/>
              </w:rPr>
              <w:t>10</w:t>
            </w:r>
            <w:r>
              <w:rPr>
                <w:rFonts w:hint="default" w:ascii="Times New Roman" w:hAnsi="Times New Roman" w:eastAsia="宋体"/>
                <w:color w:val="auto"/>
                <w:sz w:val="21"/>
                <w:szCs w:val="24"/>
                <w:highlight w:val="none"/>
              </w:rPr>
              <w:t>、</w:t>
            </w:r>
            <w:r>
              <w:rPr>
                <w:rFonts w:hint="eastAsia" w:ascii="Times New Roman" w:hAnsi="Times New Roman" w:eastAsia="宋体"/>
                <w:color w:val="auto"/>
                <w:sz w:val="21"/>
                <w:szCs w:val="24"/>
                <w:highlight w:val="none"/>
              </w:rPr>
              <w:t>PM</w:t>
            </w:r>
            <w:r>
              <w:rPr>
                <w:rFonts w:hint="eastAsia" w:ascii="Times New Roman" w:hAnsi="Times New Roman" w:eastAsia="宋体"/>
                <w:color w:val="auto"/>
                <w:sz w:val="21"/>
                <w:szCs w:val="24"/>
                <w:highlight w:val="none"/>
                <w:vertAlign w:val="subscript"/>
              </w:rPr>
              <w:t>2.5</w:t>
            </w:r>
            <w:r>
              <w:rPr>
                <w:rFonts w:hint="eastAsia" w:ascii="Times New Roman" w:hAnsi="Times New Roman" w:eastAsia="宋体"/>
                <w:color w:val="auto"/>
                <w:sz w:val="21"/>
                <w:szCs w:val="24"/>
                <w:highlight w:val="none"/>
              </w:rPr>
              <w:t>、CO、O</w:t>
            </w:r>
            <w:r>
              <w:rPr>
                <w:rFonts w:hint="eastAsia" w:ascii="Times New Roman" w:hAnsi="Times New Roman" w:eastAsia="宋体"/>
                <w:color w:val="auto"/>
                <w:sz w:val="21"/>
                <w:szCs w:val="24"/>
                <w:highlight w:val="none"/>
                <w:vertAlign w:val="subscript"/>
              </w:rPr>
              <w:t>3</w:t>
            </w:r>
            <w:r>
              <w:rPr>
                <w:rFonts w:hint="default" w:ascii="Times New Roman" w:hAnsi="Times New Roman" w:eastAsia="宋体"/>
                <w:color w:val="auto"/>
                <w:sz w:val="21"/>
                <w:szCs w:val="24"/>
                <w:highlight w:val="none"/>
              </w:rPr>
              <w:t>执行</w:t>
            </w:r>
            <w:r>
              <w:rPr>
                <w:rFonts w:hint="eastAsia" w:ascii="Times New Roman" w:hAnsi="Times New Roman" w:eastAsia="宋体"/>
                <w:color w:val="auto"/>
                <w:sz w:val="21"/>
                <w:szCs w:val="24"/>
                <w:highlight w:val="none"/>
                <w:lang w:eastAsia="zh-CN"/>
              </w:rPr>
              <w:t>《环境空气质量标准》</w:t>
            </w:r>
            <w:r>
              <w:rPr>
                <w:rFonts w:hint="eastAsia"/>
                <w:color w:val="auto"/>
                <w:sz w:val="21"/>
                <w:szCs w:val="24"/>
                <w:highlight w:val="none"/>
                <w:lang w:eastAsia="zh-CN"/>
              </w:rPr>
              <w:t>（</w:t>
            </w:r>
            <w:r>
              <w:rPr>
                <w:rFonts w:hint="eastAsia" w:ascii="Times New Roman" w:hAnsi="Times New Roman" w:eastAsia="宋体"/>
                <w:color w:val="auto"/>
                <w:sz w:val="21"/>
                <w:szCs w:val="24"/>
                <w:highlight w:val="none"/>
                <w:lang w:eastAsia="zh-CN"/>
              </w:rPr>
              <w:t>GB3095</w:t>
            </w:r>
            <w:r>
              <w:rPr>
                <w:rFonts w:hint="eastAsia"/>
                <w:color w:val="auto"/>
                <w:sz w:val="21"/>
                <w:szCs w:val="24"/>
                <w:highlight w:val="none"/>
                <w:lang w:val="en-US" w:eastAsia="zh-CN"/>
              </w:rPr>
              <w:t>-</w:t>
            </w:r>
            <w:r>
              <w:rPr>
                <w:rFonts w:hint="eastAsia" w:ascii="Times New Roman" w:hAnsi="Times New Roman" w:eastAsia="宋体"/>
                <w:color w:val="auto"/>
                <w:sz w:val="21"/>
                <w:szCs w:val="24"/>
                <w:highlight w:val="none"/>
                <w:lang w:eastAsia="zh-CN"/>
              </w:rPr>
              <w:t>2026</w:t>
            </w:r>
            <w:r>
              <w:rPr>
                <w:rFonts w:hint="eastAsia"/>
                <w:color w:val="auto"/>
                <w:sz w:val="21"/>
                <w:szCs w:val="24"/>
                <w:highlight w:val="none"/>
                <w:lang w:eastAsia="zh-CN"/>
              </w:rPr>
              <w:t>）</w:t>
            </w:r>
            <w:r>
              <w:rPr>
                <w:rFonts w:hint="eastAsia" w:ascii="Times New Roman" w:hAnsi="Times New Roman" w:eastAsia="宋体"/>
                <w:color w:val="auto"/>
                <w:sz w:val="21"/>
                <w:szCs w:val="24"/>
                <w:highlight w:val="none"/>
                <w:lang w:eastAsia="zh-CN"/>
              </w:rPr>
              <w:t>中的过渡阶段浓度限值二级标准</w:t>
            </w:r>
            <w:r>
              <w:rPr>
                <w:rFonts w:hint="eastAsia" w:ascii="Times New Roman" w:hAnsi="Times New Roman" w:eastAsia="宋体" w:cs="Times New Roman"/>
                <w:color w:val="auto"/>
                <w:sz w:val="21"/>
                <w:szCs w:val="24"/>
                <w:highlight w:val="none"/>
              </w:rPr>
              <w:t>。根据《中山市202</w:t>
            </w:r>
            <w:r>
              <w:rPr>
                <w:rFonts w:hint="eastAsia" w:cs="Times New Roman"/>
                <w:color w:val="auto"/>
                <w:sz w:val="21"/>
                <w:szCs w:val="24"/>
                <w:highlight w:val="none"/>
                <w:lang w:val="en-US" w:eastAsia="zh-CN"/>
              </w:rPr>
              <w:t>5</w:t>
            </w:r>
            <w:r>
              <w:rPr>
                <w:rFonts w:hint="eastAsia" w:ascii="Times New Roman" w:hAnsi="Times New Roman" w:eastAsia="宋体" w:cs="Times New Roman"/>
                <w:color w:val="auto"/>
                <w:sz w:val="21"/>
                <w:szCs w:val="24"/>
                <w:highlight w:val="none"/>
              </w:rPr>
              <w:t>年空气质量监测站日</w:t>
            </w:r>
            <w:r>
              <w:rPr>
                <w:rFonts w:hint="eastAsia" w:cs="Times New Roman"/>
                <w:color w:val="auto"/>
                <w:sz w:val="21"/>
                <w:szCs w:val="24"/>
                <w:highlight w:val="none"/>
                <w:lang w:eastAsia="zh-CN"/>
              </w:rPr>
              <w:t>均值</w:t>
            </w:r>
            <w:r>
              <w:rPr>
                <w:rFonts w:hint="eastAsia" w:ascii="Times New Roman" w:hAnsi="Times New Roman" w:eastAsia="宋体" w:cs="Times New Roman"/>
                <w:color w:val="auto"/>
                <w:sz w:val="21"/>
                <w:szCs w:val="24"/>
                <w:highlight w:val="none"/>
                <w:lang w:val="en-US" w:eastAsia="zh-CN"/>
              </w:rPr>
              <w:t>状况</w:t>
            </w:r>
            <w:r>
              <w:rPr>
                <w:rFonts w:hint="eastAsia" w:ascii="Times New Roman" w:hAnsi="Times New Roman" w:eastAsia="宋体" w:cs="Times New Roman"/>
                <w:color w:val="auto"/>
                <w:sz w:val="21"/>
                <w:szCs w:val="24"/>
                <w:highlight w:val="none"/>
              </w:rPr>
              <w:t>公报</w:t>
            </w:r>
            <w:r>
              <w:rPr>
                <w:rFonts w:hint="eastAsia" w:ascii="Times New Roman" w:hAnsi="Times New Roman" w:eastAsia="宋体"/>
                <w:color w:val="auto"/>
                <w:sz w:val="21"/>
                <w:szCs w:val="24"/>
                <w:highlight w:val="none"/>
              </w:rPr>
              <w:t>》中距离本项目较近的</w:t>
            </w:r>
            <w:r>
              <w:rPr>
                <w:rFonts w:hint="eastAsia" w:ascii="Times New Roman" w:hAnsi="Times New Roman" w:eastAsia="宋体"/>
                <w:color w:val="auto"/>
                <w:sz w:val="21"/>
                <w:szCs w:val="24"/>
                <w:highlight w:val="none"/>
                <w:lang w:val="en-US" w:eastAsia="zh-CN"/>
              </w:rPr>
              <w:t>南区</w:t>
            </w:r>
            <w:r>
              <w:rPr>
                <w:rFonts w:hint="default" w:ascii="Times New Roman" w:hAnsi="Times New Roman" w:eastAsia="宋体"/>
                <w:color w:val="auto"/>
                <w:sz w:val="21"/>
                <w:szCs w:val="24"/>
                <w:highlight w:val="none"/>
              </w:rPr>
              <w:t>站</w:t>
            </w:r>
            <w:r>
              <w:rPr>
                <w:rFonts w:hint="eastAsia" w:ascii="Times New Roman" w:hAnsi="Times New Roman" w:eastAsia="宋体"/>
                <w:color w:val="auto"/>
                <w:sz w:val="21"/>
                <w:szCs w:val="24"/>
                <w:highlight w:val="none"/>
              </w:rPr>
              <w:t>的</w:t>
            </w:r>
            <w:r>
              <w:rPr>
                <w:rFonts w:hint="eastAsia"/>
                <w:color w:val="auto"/>
                <w:sz w:val="21"/>
                <w:szCs w:val="24"/>
                <w:highlight w:val="none"/>
                <w:lang w:eastAsia="zh-CN"/>
              </w:rPr>
              <w:t>监测数据</w:t>
            </w:r>
            <w:r>
              <w:rPr>
                <w:rFonts w:hint="eastAsia" w:ascii="Times New Roman" w:hAnsi="Times New Roman" w:eastAsia="宋体"/>
                <w:color w:val="auto"/>
                <w:sz w:val="21"/>
                <w:szCs w:val="24"/>
                <w:highlight w:val="none"/>
              </w:rPr>
              <w:t>，</w:t>
            </w:r>
            <w:r>
              <w:rPr>
                <w:rFonts w:hint="default" w:ascii="Times New Roman" w:hAnsi="Times New Roman" w:eastAsia="宋体"/>
                <w:color w:val="auto"/>
                <w:sz w:val="21"/>
                <w:szCs w:val="24"/>
                <w:highlight w:val="none"/>
              </w:rPr>
              <w:t>SO</w:t>
            </w:r>
            <w:r>
              <w:rPr>
                <w:rFonts w:hint="default" w:ascii="Times New Roman" w:hAnsi="Times New Roman" w:eastAsia="宋体"/>
                <w:color w:val="auto"/>
                <w:sz w:val="21"/>
                <w:szCs w:val="24"/>
                <w:highlight w:val="none"/>
                <w:vertAlign w:val="subscript"/>
              </w:rPr>
              <w:t>2</w:t>
            </w:r>
            <w:r>
              <w:rPr>
                <w:rFonts w:hint="default" w:ascii="Times New Roman" w:hAnsi="Times New Roman" w:eastAsia="宋体"/>
                <w:color w:val="auto"/>
                <w:sz w:val="21"/>
                <w:szCs w:val="24"/>
                <w:highlight w:val="none"/>
              </w:rPr>
              <w:t>、NO</w:t>
            </w:r>
            <w:r>
              <w:rPr>
                <w:rFonts w:hint="default" w:ascii="Times New Roman" w:hAnsi="Times New Roman" w:eastAsia="宋体"/>
                <w:color w:val="auto"/>
                <w:sz w:val="21"/>
                <w:szCs w:val="24"/>
                <w:highlight w:val="none"/>
                <w:vertAlign w:val="subscript"/>
              </w:rPr>
              <w:t>2</w:t>
            </w:r>
            <w:r>
              <w:rPr>
                <w:rFonts w:hint="eastAsia" w:ascii="Times New Roman" w:hAnsi="Times New Roman" w:eastAsia="宋体"/>
                <w:color w:val="auto"/>
                <w:sz w:val="21"/>
                <w:szCs w:val="24"/>
                <w:highlight w:val="none"/>
              </w:rPr>
              <w:t>、</w:t>
            </w:r>
            <w:r>
              <w:rPr>
                <w:rFonts w:hint="default" w:ascii="Times New Roman" w:hAnsi="Times New Roman" w:eastAsia="宋体"/>
                <w:color w:val="auto"/>
                <w:sz w:val="21"/>
                <w:szCs w:val="24"/>
                <w:highlight w:val="none"/>
              </w:rPr>
              <w:t>PM</w:t>
            </w:r>
            <w:r>
              <w:rPr>
                <w:rFonts w:hint="default" w:ascii="Times New Roman" w:hAnsi="Times New Roman" w:eastAsia="宋体"/>
                <w:color w:val="auto"/>
                <w:sz w:val="21"/>
                <w:szCs w:val="24"/>
                <w:highlight w:val="none"/>
                <w:vertAlign w:val="subscript"/>
              </w:rPr>
              <w:t>10</w:t>
            </w:r>
            <w:r>
              <w:rPr>
                <w:rFonts w:hint="default" w:ascii="Times New Roman" w:hAnsi="Times New Roman" w:eastAsia="宋体"/>
                <w:color w:val="auto"/>
                <w:sz w:val="21"/>
                <w:szCs w:val="24"/>
                <w:highlight w:val="none"/>
              </w:rPr>
              <w:t>、</w:t>
            </w:r>
            <w:r>
              <w:rPr>
                <w:rFonts w:hint="eastAsia" w:ascii="Times New Roman" w:hAnsi="Times New Roman" w:eastAsia="宋体"/>
                <w:color w:val="auto"/>
                <w:sz w:val="21"/>
                <w:szCs w:val="24"/>
                <w:highlight w:val="none"/>
              </w:rPr>
              <w:t>PM</w:t>
            </w:r>
            <w:r>
              <w:rPr>
                <w:rFonts w:hint="eastAsia" w:ascii="Times New Roman" w:hAnsi="Times New Roman" w:eastAsia="宋体"/>
                <w:color w:val="auto"/>
                <w:sz w:val="21"/>
                <w:szCs w:val="24"/>
                <w:highlight w:val="none"/>
                <w:vertAlign w:val="subscript"/>
              </w:rPr>
              <w:t>2.5</w:t>
            </w:r>
            <w:r>
              <w:rPr>
                <w:rFonts w:hint="eastAsia" w:ascii="Times New Roman" w:hAnsi="Times New Roman" w:eastAsia="宋体"/>
                <w:color w:val="auto"/>
                <w:sz w:val="21"/>
                <w:szCs w:val="24"/>
                <w:highlight w:val="none"/>
              </w:rPr>
              <w:t>、CO、O</w:t>
            </w:r>
            <w:r>
              <w:rPr>
                <w:rFonts w:hint="eastAsia" w:ascii="Times New Roman" w:hAnsi="Times New Roman" w:eastAsia="宋体"/>
                <w:color w:val="auto"/>
                <w:sz w:val="21"/>
                <w:szCs w:val="24"/>
                <w:highlight w:val="none"/>
                <w:vertAlign w:val="subscript"/>
              </w:rPr>
              <w:t>3</w:t>
            </w:r>
            <w:r>
              <w:rPr>
                <w:rFonts w:hint="eastAsia" w:ascii="Times New Roman" w:hAnsi="Times New Roman" w:eastAsia="宋体"/>
                <w:color w:val="auto"/>
                <w:sz w:val="21"/>
                <w:szCs w:val="24"/>
                <w:highlight w:val="none"/>
              </w:rPr>
              <w:t>的</w:t>
            </w:r>
            <w:r>
              <w:rPr>
                <w:rFonts w:hint="default" w:ascii="Times New Roman" w:hAnsi="Times New Roman" w:eastAsia="宋体"/>
                <w:color w:val="auto"/>
                <w:sz w:val="21"/>
                <w:szCs w:val="24"/>
                <w:highlight w:val="none"/>
              </w:rPr>
              <w:t>监测结果见下表</w:t>
            </w:r>
            <w:r>
              <w:rPr>
                <w:rFonts w:hint="eastAsia" w:ascii="Times New Roman" w:hAnsi="Times New Roman" w:eastAsia="宋体"/>
                <w:color w:val="auto"/>
                <w:sz w:val="21"/>
                <w:szCs w:val="24"/>
                <w:highlight w:val="none"/>
              </w:rPr>
              <w:t>。</w:t>
            </w:r>
          </w:p>
          <w:p w14:paraId="7FF16145">
            <w:pPr>
              <w:pStyle w:val="9"/>
              <w:numPr>
                <w:ilvl w:val="0"/>
                <w:numId w:val="8"/>
              </w:numPr>
              <w:suppressLineNumbers w:val="0"/>
              <w:spacing w:before="0" w:beforeAutospacing="0" w:after="0" w:afterAutospacing="0" w:line="240" w:lineRule="auto"/>
              <w:ind w:right="0"/>
              <w:jc w:val="center"/>
              <w:rPr>
                <w:rFonts w:hint="eastAsia" w:ascii="Times New Roman" w:hAnsi="Times New Roman" w:eastAsia="宋体" w:cs="Times New Roman"/>
                <w:b/>
                <w:color w:val="auto"/>
                <w:sz w:val="21"/>
                <w:szCs w:val="24"/>
                <w:lang w:val="en-US" w:eastAsia="zh-CN"/>
              </w:rPr>
            </w:pPr>
            <w:r>
              <w:rPr>
                <w:rFonts w:hint="eastAsia" w:ascii="Times New Roman" w:hAnsi="Times New Roman" w:eastAsia="宋体" w:cs="Times New Roman"/>
                <w:b/>
                <w:color w:val="auto"/>
                <w:sz w:val="21"/>
                <w:szCs w:val="24"/>
                <w:lang w:val="en-US" w:eastAsia="zh-CN"/>
              </w:rPr>
              <w:t>污染物环境质量现状评价表</w:t>
            </w:r>
          </w:p>
          <w:tbl>
            <w:tblPr>
              <w:tblStyle w:val="48"/>
              <w:tblW w:w="9697" w:type="dxa"/>
              <w:tblInd w:w="0" w:type="dxa"/>
              <w:tblLayout w:type="fixed"/>
              <w:tblCellMar>
                <w:top w:w="0" w:type="dxa"/>
                <w:left w:w="108" w:type="dxa"/>
                <w:bottom w:w="0" w:type="dxa"/>
                <w:right w:w="108" w:type="dxa"/>
              </w:tblCellMar>
            </w:tblPr>
            <w:tblGrid>
              <w:gridCol w:w="559"/>
              <w:gridCol w:w="946"/>
              <w:gridCol w:w="959"/>
              <w:gridCol w:w="888"/>
              <w:gridCol w:w="1827"/>
              <w:gridCol w:w="994"/>
              <w:gridCol w:w="922"/>
              <w:gridCol w:w="763"/>
              <w:gridCol w:w="870"/>
              <w:gridCol w:w="969"/>
            </w:tblGrid>
            <w:tr w14:paraId="5154C9E5">
              <w:tblPrEx>
                <w:tblCellMar>
                  <w:top w:w="0" w:type="dxa"/>
                  <w:left w:w="108" w:type="dxa"/>
                  <w:bottom w:w="0" w:type="dxa"/>
                  <w:right w:w="108" w:type="dxa"/>
                </w:tblCellMar>
              </w:tblPrEx>
              <w:trPr>
                <w:trHeight w:val="293" w:hRule="atLeast"/>
              </w:trPr>
              <w:tc>
                <w:tcPr>
                  <w:tcW w:w="288" w:type="pct"/>
                  <w:vMerge w:val="restart"/>
                  <w:tcBorders>
                    <w:top w:val="single" w:color="auto" w:sz="4" w:space="0"/>
                    <w:left w:val="single" w:color="auto" w:sz="4" w:space="0"/>
                    <w:bottom w:val="single" w:color="auto" w:sz="4" w:space="0"/>
                    <w:right w:val="single" w:color="auto" w:sz="4" w:space="0"/>
                  </w:tcBorders>
                  <w:noWrap w:val="0"/>
                  <w:vAlign w:val="center"/>
                </w:tcPr>
                <w:p w14:paraId="13EE3B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点位名称</w:t>
                  </w:r>
                </w:p>
              </w:tc>
              <w:tc>
                <w:tcPr>
                  <w:tcW w:w="982" w:type="pct"/>
                  <w:gridSpan w:val="2"/>
                  <w:tcBorders>
                    <w:top w:val="single" w:color="auto" w:sz="4" w:space="0"/>
                    <w:left w:val="nil"/>
                    <w:bottom w:val="single" w:color="auto" w:sz="4" w:space="0"/>
                    <w:right w:val="single" w:color="auto" w:sz="4" w:space="0"/>
                  </w:tcBorders>
                  <w:noWrap w:val="0"/>
                  <w:vAlign w:val="center"/>
                </w:tcPr>
                <w:p w14:paraId="1A48DE0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监测点坐标</w:t>
                  </w:r>
                </w:p>
              </w:tc>
              <w:tc>
                <w:tcPr>
                  <w:tcW w:w="457" w:type="pct"/>
                  <w:vMerge w:val="restart"/>
                  <w:tcBorders>
                    <w:top w:val="single" w:color="auto" w:sz="4" w:space="0"/>
                    <w:left w:val="single" w:color="auto" w:sz="4" w:space="0"/>
                    <w:bottom w:val="single" w:color="auto" w:sz="4" w:space="0"/>
                    <w:right w:val="single" w:color="auto" w:sz="4" w:space="0"/>
                  </w:tcBorders>
                  <w:noWrap w:val="0"/>
                  <w:vAlign w:val="center"/>
                </w:tcPr>
                <w:p w14:paraId="03809E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污染物</w:t>
                  </w:r>
                </w:p>
              </w:tc>
              <w:tc>
                <w:tcPr>
                  <w:tcW w:w="942" w:type="pct"/>
                  <w:vMerge w:val="restart"/>
                  <w:tcBorders>
                    <w:top w:val="single" w:color="auto" w:sz="4" w:space="0"/>
                    <w:left w:val="single" w:color="auto" w:sz="4" w:space="0"/>
                    <w:bottom w:val="single" w:color="auto" w:sz="4" w:space="0"/>
                    <w:right w:val="single" w:color="auto" w:sz="4" w:space="0"/>
                  </w:tcBorders>
                  <w:noWrap w:val="0"/>
                  <w:vAlign w:val="center"/>
                </w:tcPr>
                <w:p w14:paraId="54CEE8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年评价指标</w:t>
                  </w:r>
                </w:p>
              </w:tc>
              <w:tc>
                <w:tcPr>
                  <w:tcW w:w="512" w:type="pct"/>
                  <w:vMerge w:val="restart"/>
                  <w:tcBorders>
                    <w:top w:val="single" w:color="auto" w:sz="4" w:space="0"/>
                    <w:left w:val="single" w:color="auto" w:sz="4" w:space="0"/>
                    <w:bottom w:val="single" w:color="auto" w:sz="4" w:space="0"/>
                    <w:right w:val="single" w:color="auto" w:sz="4" w:space="0"/>
                  </w:tcBorders>
                  <w:noWrap w:val="0"/>
                  <w:vAlign w:val="center"/>
                </w:tcPr>
                <w:p w14:paraId="3F13FB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现状浓度µg/m3</w:t>
                  </w:r>
                </w:p>
              </w:tc>
              <w:tc>
                <w:tcPr>
                  <w:tcW w:w="475" w:type="pct"/>
                  <w:vMerge w:val="restart"/>
                  <w:tcBorders>
                    <w:top w:val="single" w:color="auto" w:sz="4" w:space="0"/>
                    <w:left w:val="single" w:color="auto" w:sz="4" w:space="0"/>
                    <w:bottom w:val="single" w:color="auto" w:sz="4" w:space="0"/>
                    <w:right w:val="single" w:color="auto" w:sz="4" w:space="0"/>
                  </w:tcBorders>
                  <w:noWrap w:val="0"/>
                  <w:vAlign w:val="center"/>
                </w:tcPr>
                <w:p w14:paraId="49CE91C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评价标准µg/m3</w:t>
                  </w:r>
                </w:p>
              </w:tc>
              <w:tc>
                <w:tcPr>
                  <w:tcW w:w="393" w:type="pct"/>
                  <w:vMerge w:val="restart"/>
                  <w:tcBorders>
                    <w:top w:val="single" w:color="auto" w:sz="4" w:space="0"/>
                    <w:left w:val="single" w:color="auto" w:sz="4" w:space="0"/>
                    <w:bottom w:val="single" w:color="auto" w:sz="4" w:space="0"/>
                    <w:right w:val="single" w:color="auto" w:sz="4" w:space="0"/>
                  </w:tcBorders>
                  <w:noWrap w:val="0"/>
                  <w:vAlign w:val="center"/>
                </w:tcPr>
                <w:p w14:paraId="28E16D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最大浓度占标率%</w:t>
                  </w:r>
                </w:p>
              </w:tc>
              <w:tc>
                <w:tcPr>
                  <w:tcW w:w="448" w:type="pct"/>
                  <w:vMerge w:val="restart"/>
                  <w:tcBorders>
                    <w:top w:val="single" w:color="auto" w:sz="4" w:space="0"/>
                    <w:left w:val="single" w:color="auto" w:sz="4" w:space="0"/>
                    <w:bottom w:val="single" w:color="auto" w:sz="4" w:space="0"/>
                    <w:right w:val="single" w:color="auto" w:sz="4" w:space="0"/>
                  </w:tcBorders>
                  <w:noWrap w:val="0"/>
                  <w:vAlign w:val="center"/>
                </w:tcPr>
                <w:p w14:paraId="0AD865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超标频率%</w:t>
                  </w:r>
                </w:p>
              </w:tc>
              <w:tc>
                <w:tcPr>
                  <w:tcW w:w="499" w:type="pct"/>
                  <w:vMerge w:val="restart"/>
                  <w:tcBorders>
                    <w:top w:val="single" w:color="auto" w:sz="4" w:space="0"/>
                    <w:left w:val="single" w:color="auto" w:sz="4" w:space="0"/>
                    <w:bottom w:val="single" w:color="auto" w:sz="4" w:space="0"/>
                    <w:right w:val="single" w:color="auto" w:sz="4" w:space="0"/>
                  </w:tcBorders>
                  <w:noWrap w:val="0"/>
                  <w:vAlign w:val="center"/>
                </w:tcPr>
                <w:p w14:paraId="464BB3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达标情况</w:t>
                  </w:r>
                </w:p>
              </w:tc>
            </w:tr>
            <w:tr w14:paraId="0FFCBEB0">
              <w:tblPrEx>
                <w:tblCellMar>
                  <w:top w:w="0" w:type="dxa"/>
                  <w:left w:w="108" w:type="dxa"/>
                  <w:bottom w:w="0" w:type="dxa"/>
                  <w:right w:w="108" w:type="dxa"/>
                </w:tblCellMar>
              </w:tblPrEx>
              <w:trPr>
                <w:trHeight w:val="833" w:hRule="atLeast"/>
              </w:trPr>
              <w:tc>
                <w:tcPr>
                  <w:tcW w:w="288" w:type="pct"/>
                  <w:vMerge w:val="continue"/>
                  <w:tcBorders>
                    <w:top w:val="single" w:color="auto" w:sz="4" w:space="0"/>
                    <w:left w:val="single" w:color="auto" w:sz="4" w:space="0"/>
                    <w:bottom w:val="single" w:color="auto" w:sz="4" w:space="0"/>
                    <w:right w:val="single" w:color="auto" w:sz="4" w:space="0"/>
                  </w:tcBorders>
                  <w:noWrap w:val="0"/>
                  <w:vAlign w:val="center"/>
                </w:tcPr>
                <w:p w14:paraId="5E3B9C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87" w:type="pct"/>
                  <w:tcBorders>
                    <w:top w:val="nil"/>
                    <w:left w:val="nil"/>
                    <w:bottom w:val="single" w:color="auto" w:sz="4" w:space="0"/>
                    <w:right w:val="single" w:color="auto" w:sz="4" w:space="0"/>
                  </w:tcBorders>
                  <w:noWrap w:val="0"/>
                  <w:vAlign w:val="center"/>
                </w:tcPr>
                <w:p w14:paraId="2C521B3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X</w:t>
                  </w:r>
                </w:p>
              </w:tc>
              <w:tc>
                <w:tcPr>
                  <w:tcW w:w="494" w:type="pct"/>
                  <w:tcBorders>
                    <w:top w:val="nil"/>
                    <w:left w:val="nil"/>
                    <w:bottom w:val="single" w:color="auto" w:sz="4" w:space="0"/>
                    <w:right w:val="single" w:color="auto" w:sz="4" w:space="0"/>
                  </w:tcBorders>
                  <w:noWrap w:val="0"/>
                  <w:vAlign w:val="center"/>
                </w:tcPr>
                <w:p w14:paraId="2249D15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Y</w:t>
                  </w:r>
                </w:p>
              </w:tc>
              <w:tc>
                <w:tcPr>
                  <w:tcW w:w="457" w:type="pct"/>
                  <w:vMerge w:val="continue"/>
                  <w:tcBorders>
                    <w:top w:val="single" w:color="auto" w:sz="4" w:space="0"/>
                    <w:left w:val="single" w:color="auto" w:sz="4" w:space="0"/>
                    <w:bottom w:val="single" w:color="auto" w:sz="4" w:space="0"/>
                    <w:right w:val="single" w:color="auto" w:sz="4" w:space="0"/>
                  </w:tcBorders>
                  <w:noWrap w:val="0"/>
                  <w:vAlign w:val="center"/>
                </w:tcPr>
                <w:p w14:paraId="01D7EAC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942" w:type="pct"/>
                  <w:vMerge w:val="continue"/>
                  <w:tcBorders>
                    <w:top w:val="single" w:color="auto" w:sz="4" w:space="0"/>
                    <w:left w:val="single" w:color="auto" w:sz="4" w:space="0"/>
                    <w:bottom w:val="single" w:color="auto" w:sz="4" w:space="0"/>
                    <w:right w:val="single" w:color="auto" w:sz="4" w:space="0"/>
                  </w:tcBorders>
                  <w:noWrap w:val="0"/>
                  <w:vAlign w:val="center"/>
                </w:tcPr>
                <w:p w14:paraId="3037B7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512" w:type="pct"/>
                  <w:vMerge w:val="continue"/>
                  <w:tcBorders>
                    <w:top w:val="single" w:color="auto" w:sz="4" w:space="0"/>
                    <w:left w:val="single" w:color="auto" w:sz="4" w:space="0"/>
                    <w:bottom w:val="single" w:color="auto" w:sz="4" w:space="0"/>
                    <w:right w:val="single" w:color="auto" w:sz="4" w:space="0"/>
                  </w:tcBorders>
                  <w:noWrap w:val="0"/>
                  <w:vAlign w:val="center"/>
                </w:tcPr>
                <w:p w14:paraId="453861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75" w:type="pct"/>
                  <w:vMerge w:val="continue"/>
                  <w:tcBorders>
                    <w:top w:val="single" w:color="auto" w:sz="4" w:space="0"/>
                    <w:left w:val="single" w:color="auto" w:sz="4" w:space="0"/>
                    <w:bottom w:val="single" w:color="auto" w:sz="4" w:space="0"/>
                    <w:right w:val="single" w:color="auto" w:sz="4" w:space="0"/>
                  </w:tcBorders>
                  <w:noWrap w:val="0"/>
                  <w:vAlign w:val="center"/>
                </w:tcPr>
                <w:p w14:paraId="3C4694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393" w:type="pct"/>
                  <w:vMerge w:val="continue"/>
                  <w:tcBorders>
                    <w:top w:val="single" w:color="auto" w:sz="4" w:space="0"/>
                    <w:left w:val="single" w:color="auto" w:sz="4" w:space="0"/>
                    <w:bottom w:val="single" w:color="auto" w:sz="4" w:space="0"/>
                    <w:right w:val="single" w:color="auto" w:sz="4" w:space="0"/>
                  </w:tcBorders>
                  <w:noWrap w:val="0"/>
                  <w:vAlign w:val="center"/>
                </w:tcPr>
                <w:p w14:paraId="72DBC98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48" w:type="pct"/>
                  <w:vMerge w:val="continue"/>
                  <w:tcBorders>
                    <w:top w:val="single" w:color="auto" w:sz="4" w:space="0"/>
                    <w:left w:val="single" w:color="auto" w:sz="4" w:space="0"/>
                    <w:bottom w:val="single" w:color="auto" w:sz="4" w:space="0"/>
                    <w:right w:val="single" w:color="auto" w:sz="4" w:space="0"/>
                  </w:tcBorders>
                  <w:noWrap w:val="0"/>
                  <w:vAlign w:val="center"/>
                </w:tcPr>
                <w:p w14:paraId="4A3BAB3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99" w:type="pct"/>
                  <w:vMerge w:val="continue"/>
                  <w:tcBorders>
                    <w:top w:val="single" w:color="auto" w:sz="4" w:space="0"/>
                    <w:left w:val="single" w:color="auto" w:sz="4" w:space="0"/>
                    <w:bottom w:val="single" w:color="auto" w:sz="4" w:space="0"/>
                    <w:right w:val="single" w:color="auto" w:sz="4" w:space="0"/>
                  </w:tcBorders>
                  <w:noWrap w:val="0"/>
                  <w:vAlign w:val="center"/>
                </w:tcPr>
                <w:p w14:paraId="4784E98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209E20BF">
              <w:tblPrEx>
                <w:tblCellMar>
                  <w:top w:w="0" w:type="dxa"/>
                  <w:left w:w="108" w:type="dxa"/>
                  <w:bottom w:w="0" w:type="dxa"/>
                  <w:right w:w="108" w:type="dxa"/>
                </w:tblCellMar>
              </w:tblPrEx>
              <w:trPr>
                <w:trHeight w:val="568" w:hRule="atLeast"/>
              </w:trPr>
              <w:tc>
                <w:tcPr>
                  <w:tcW w:w="288" w:type="pct"/>
                  <w:vMerge w:val="restart"/>
                  <w:tcBorders>
                    <w:top w:val="nil"/>
                    <w:left w:val="single" w:color="auto" w:sz="4" w:space="0"/>
                    <w:bottom w:val="single" w:color="auto" w:sz="4" w:space="0"/>
                    <w:right w:val="single" w:color="auto" w:sz="4" w:space="0"/>
                  </w:tcBorders>
                  <w:noWrap w:val="0"/>
                  <w:vAlign w:val="center"/>
                </w:tcPr>
                <w:p w14:paraId="3AAA2B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南区</w:t>
                  </w:r>
                </w:p>
              </w:tc>
              <w:tc>
                <w:tcPr>
                  <w:tcW w:w="487" w:type="pct"/>
                  <w:vMerge w:val="restart"/>
                  <w:tcBorders>
                    <w:top w:val="nil"/>
                    <w:left w:val="single" w:color="auto" w:sz="4" w:space="0"/>
                    <w:bottom w:val="single" w:color="auto" w:sz="4" w:space="0"/>
                    <w:right w:val="single" w:color="auto" w:sz="4" w:space="0"/>
                  </w:tcBorders>
                  <w:noWrap w:val="0"/>
                  <w:vAlign w:val="center"/>
                </w:tcPr>
                <w:p w14:paraId="0AFFEF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113°21'35"E</w:t>
                  </w:r>
                </w:p>
              </w:tc>
              <w:tc>
                <w:tcPr>
                  <w:tcW w:w="494" w:type="pct"/>
                  <w:vMerge w:val="restart"/>
                  <w:tcBorders>
                    <w:top w:val="nil"/>
                    <w:left w:val="single" w:color="auto" w:sz="4" w:space="0"/>
                    <w:bottom w:val="single" w:color="auto" w:sz="4" w:space="0"/>
                    <w:right w:val="single" w:color="auto" w:sz="4" w:space="0"/>
                  </w:tcBorders>
                  <w:noWrap w:val="0"/>
                  <w:vAlign w:val="center"/>
                </w:tcPr>
                <w:p w14:paraId="61291C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22°28'31"N</w:t>
                  </w:r>
                </w:p>
              </w:tc>
              <w:tc>
                <w:tcPr>
                  <w:tcW w:w="457" w:type="pct"/>
                  <w:vMerge w:val="restart"/>
                  <w:tcBorders>
                    <w:top w:val="nil"/>
                    <w:left w:val="single" w:color="auto" w:sz="4" w:space="0"/>
                    <w:bottom w:val="single" w:color="auto" w:sz="4" w:space="0"/>
                    <w:right w:val="single" w:color="auto" w:sz="4" w:space="0"/>
                  </w:tcBorders>
                  <w:noWrap w:val="0"/>
                  <w:vAlign w:val="center"/>
                </w:tcPr>
                <w:p w14:paraId="14A8C21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942" w:type="pct"/>
                  <w:tcBorders>
                    <w:top w:val="nil"/>
                    <w:left w:val="nil"/>
                    <w:bottom w:val="single" w:color="auto" w:sz="4" w:space="0"/>
                    <w:right w:val="single" w:color="auto" w:sz="4" w:space="0"/>
                  </w:tcBorders>
                  <w:noWrap w:val="0"/>
                  <w:vAlign w:val="center"/>
                </w:tcPr>
                <w:p w14:paraId="0A8CC6C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日均值第98百分位数浓度值</w:t>
                  </w:r>
                </w:p>
              </w:tc>
              <w:tc>
                <w:tcPr>
                  <w:tcW w:w="512" w:type="pct"/>
                  <w:tcBorders>
                    <w:top w:val="nil"/>
                    <w:left w:val="nil"/>
                    <w:bottom w:val="single" w:color="auto" w:sz="4" w:space="0"/>
                    <w:right w:val="single" w:color="auto" w:sz="4" w:space="0"/>
                  </w:tcBorders>
                  <w:noWrap w:val="0"/>
                  <w:vAlign w:val="center"/>
                </w:tcPr>
                <w:p w14:paraId="6C9314C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10</w:t>
                  </w:r>
                </w:p>
              </w:tc>
              <w:tc>
                <w:tcPr>
                  <w:tcW w:w="475" w:type="pct"/>
                  <w:tcBorders>
                    <w:top w:val="nil"/>
                    <w:left w:val="nil"/>
                    <w:bottom w:val="single" w:color="auto" w:sz="4" w:space="0"/>
                    <w:right w:val="single" w:color="auto" w:sz="4" w:space="0"/>
                  </w:tcBorders>
                  <w:noWrap w:val="0"/>
                  <w:vAlign w:val="center"/>
                </w:tcPr>
                <w:p w14:paraId="45AA7C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150</w:t>
                  </w:r>
                </w:p>
              </w:tc>
              <w:tc>
                <w:tcPr>
                  <w:tcW w:w="393" w:type="pct"/>
                  <w:tcBorders>
                    <w:top w:val="nil"/>
                    <w:left w:val="nil"/>
                    <w:bottom w:val="single" w:color="auto" w:sz="4" w:space="0"/>
                    <w:right w:val="single" w:color="auto" w:sz="4" w:space="0"/>
                  </w:tcBorders>
                  <w:noWrap w:val="0"/>
                  <w:vAlign w:val="center"/>
                </w:tcPr>
                <w:p w14:paraId="134F8AD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0.08</w:t>
                  </w:r>
                </w:p>
              </w:tc>
              <w:tc>
                <w:tcPr>
                  <w:tcW w:w="448" w:type="pct"/>
                  <w:tcBorders>
                    <w:top w:val="nil"/>
                    <w:left w:val="nil"/>
                    <w:bottom w:val="single" w:color="auto" w:sz="4" w:space="0"/>
                    <w:right w:val="single" w:color="auto" w:sz="4" w:space="0"/>
                  </w:tcBorders>
                  <w:noWrap w:val="0"/>
                  <w:vAlign w:val="center"/>
                </w:tcPr>
                <w:p w14:paraId="206752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499" w:type="pct"/>
                  <w:tcBorders>
                    <w:top w:val="nil"/>
                    <w:left w:val="nil"/>
                    <w:bottom w:val="single" w:color="auto" w:sz="4" w:space="0"/>
                    <w:right w:val="single" w:color="auto" w:sz="4" w:space="0"/>
                  </w:tcBorders>
                  <w:noWrap w:val="0"/>
                  <w:vAlign w:val="center"/>
                </w:tcPr>
                <w:p w14:paraId="084BA6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达标</w:t>
                  </w:r>
                </w:p>
              </w:tc>
            </w:tr>
            <w:tr w14:paraId="6E4A1E3F">
              <w:tblPrEx>
                <w:tblCellMar>
                  <w:top w:w="0" w:type="dxa"/>
                  <w:left w:w="108" w:type="dxa"/>
                  <w:bottom w:w="0" w:type="dxa"/>
                  <w:right w:w="108" w:type="dxa"/>
                </w:tblCellMar>
              </w:tblPrEx>
              <w:trPr>
                <w:trHeight w:val="293" w:hRule="atLeast"/>
              </w:trPr>
              <w:tc>
                <w:tcPr>
                  <w:tcW w:w="288" w:type="pct"/>
                  <w:vMerge w:val="continue"/>
                  <w:tcBorders>
                    <w:top w:val="nil"/>
                    <w:left w:val="single" w:color="auto" w:sz="4" w:space="0"/>
                    <w:bottom w:val="single" w:color="auto" w:sz="4" w:space="0"/>
                    <w:right w:val="single" w:color="auto" w:sz="4" w:space="0"/>
                  </w:tcBorders>
                  <w:noWrap w:val="0"/>
                  <w:vAlign w:val="center"/>
                </w:tcPr>
                <w:p w14:paraId="172FA7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87" w:type="pct"/>
                  <w:vMerge w:val="continue"/>
                  <w:tcBorders>
                    <w:top w:val="nil"/>
                    <w:left w:val="single" w:color="auto" w:sz="4" w:space="0"/>
                    <w:bottom w:val="single" w:color="auto" w:sz="4" w:space="0"/>
                    <w:right w:val="single" w:color="auto" w:sz="4" w:space="0"/>
                  </w:tcBorders>
                  <w:noWrap w:val="0"/>
                  <w:vAlign w:val="center"/>
                </w:tcPr>
                <w:p w14:paraId="2CC0D3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94" w:type="pct"/>
                  <w:vMerge w:val="continue"/>
                  <w:tcBorders>
                    <w:top w:val="nil"/>
                    <w:left w:val="single" w:color="auto" w:sz="4" w:space="0"/>
                    <w:bottom w:val="single" w:color="auto" w:sz="4" w:space="0"/>
                    <w:right w:val="single" w:color="auto" w:sz="4" w:space="0"/>
                  </w:tcBorders>
                  <w:noWrap w:val="0"/>
                  <w:vAlign w:val="center"/>
                </w:tcPr>
                <w:p w14:paraId="5AC037B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57" w:type="pct"/>
                  <w:vMerge w:val="continue"/>
                  <w:tcBorders>
                    <w:top w:val="nil"/>
                    <w:left w:val="single" w:color="auto" w:sz="4" w:space="0"/>
                    <w:bottom w:val="single" w:color="auto" w:sz="4" w:space="0"/>
                    <w:right w:val="single" w:color="auto" w:sz="4" w:space="0"/>
                  </w:tcBorders>
                  <w:noWrap w:val="0"/>
                  <w:vAlign w:val="center"/>
                </w:tcPr>
                <w:p w14:paraId="36B754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942" w:type="pct"/>
                  <w:tcBorders>
                    <w:top w:val="nil"/>
                    <w:left w:val="nil"/>
                    <w:bottom w:val="single" w:color="auto" w:sz="4" w:space="0"/>
                    <w:right w:val="single" w:color="auto" w:sz="4" w:space="0"/>
                  </w:tcBorders>
                  <w:noWrap w:val="0"/>
                  <w:vAlign w:val="center"/>
                </w:tcPr>
                <w:p w14:paraId="143BA30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年平均值</w:t>
                  </w:r>
                </w:p>
              </w:tc>
              <w:tc>
                <w:tcPr>
                  <w:tcW w:w="512" w:type="pct"/>
                  <w:tcBorders>
                    <w:top w:val="nil"/>
                    <w:left w:val="nil"/>
                    <w:bottom w:val="single" w:color="auto" w:sz="4" w:space="0"/>
                    <w:right w:val="single" w:color="auto" w:sz="4" w:space="0"/>
                  </w:tcBorders>
                  <w:noWrap w:val="0"/>
                  <w:vAlign w:val="center"/>
                </w:tcPr>
                <w:p w14:paraId="48C355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5.6</w:t>
                  </w:r>
                </w:p>
              </w:tc>
              <w:tc>
                <w:tcPr>
                  <w:tcW w:w="475" w:type="pct"/>
                  <w:tcBorders>
                    <w:top w:val="nil"/>
                    <w:left w:val="nil"/>
                    <w:bottom w:val="single" w:color="auto" w:sz="4" w:space="0"/>
                    <w:right w:val="single" w:color="auto" w:sz="4" w:space="0"/>
                  </w:tcBorders>
                  <w:noWrap w:val="0"/>
                  <w:vAlign w:val="center"/>
                </w:tcPr>
                <w:p w14:paraId="74A21B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60</w:t>
                  </w:r>
                </w:p>
              </w:tc>
              <w:tc>
                <w:tcPr>
                  <w:tcW w:w="393" w:type="pct"/>
                  <w:tcBorders>
                    <w:top w:val="nil"/>
                    <w:left w:val="nil"/>
                    <w:bottom w:val="single" w:color="auto" w:sz="4" w:space="0"/>
                    <w:right w:val="single" w:color="auto" w:sz="4" w:space="0"/>
                  </w:tcBorders>
                  <w:noWrap w:val="0"/>
                  <w:vAlign w:val="center"/>
                </w:tcPr>
                <w:p w14:paraId="6B1EFC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448" w:type="pct"/>
                  <w:tcBorders>
                    <w:top w:val="nil"/>
                    <w:left w:val="nil"/>
                    <w:bottom w:val="single" w:color="auto" w:sz="4" w:space="0"/>
                    <w:right w:val="single" w:color="auto" w:sz="4" w:space="0"/>
                  </w:tcBorders>
                  <w:noWrap w:val="0"/>
                  <w:vAlign w:val="center"/>
                </w:tcPr>
                <w:p w14:paraId="3C12879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nil"/>
                    <w:left w:val="nil"/>
                    <w:bottom w:val="single" w:color="auto" w:sz="4" w:space="0"/>
                    <w:right w:val="single" w:color="auto" w:sz="4" w:space="0"/>
                  </w:tcBorders>
                  <w:noWrap w:val="0"/>
                  <w:vAlign w:val="center"/>
                </w:tcPr>
                <w:p w14:paraId="3427C0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达标</w:t>
                  </w:r>
                </w:p>
              </w:tc>
            </w:tr>
            <w:tr w14:paraId="31DE6B87">
              <w:tblPrEx>
                <w:tblCellMar>
                  <w:top w:w="0" w:type="dxa"/>
                  <w:left w:w="108" w:type="dxa"/>
                  <w:bottom w:w="0" w:type="dxa"/>
                  <w:right w:w="108" w:type="dxa"/>
                </w:tblCellMar>
              </w:tblPrEx>
              <w:trPr>
                <w:trHeight w:val="568" w:hRule="atLeast"/>
              </w:trPr>
              <w:tc>
                <w:tcPr>
                  <w:tcW w:w="288" w:type="pct"/>
                  <w:vMerge w:val="continue"/>
                  <w:tcBorders>
                    <w:top w:val="nil"/>
                    <w:left w:val="single" w:color="auto" w:sz="4" w:space="0"/>
                    <w:bottom w:val="single" w:color="auto" w:sz="4" w:space="0"/>
                    <w:right w:val="single" w:color="auto" w:sz="4" w:space="0"/>
                  </w:tcBorders>
                  <w:noWrap w:val="0"/>
                  <w:vAlign w:val="center"/>
                </w:tcPr>
                <w:p w14:paraId="5011E0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87" w:type="pct"/>
                  <w:vMerge w:val="continue"/>
                  <w:tcBorders>
                    <w:top w:val="nil"/>
                    <w:left w:val="single" w:color="auto" w:sz="4" w:space="0"/>
                    <w:bottom w:val="single" w:color="auto" w:sz="4" w:space="0"/>
                    <w:right w:val="single" w:color="auto" w:sz="4" w:space="0"/>
                  </w:tcBorders>
                  <w:noWrap w:val="0"/>
                  <w:vAlign w:val="center"/>
                </w:tcPr>
                <w:p w14:paraId="3AE915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94" w:type="pct"/>
                  <w:vMerge w:val="continue"/>
                  <w:tcBorders>
                    <w:top w:val="nil"/>
                    <w:left w:val="single" w:color="auto" w:sz="4" w:space="0"/>
                    <w:bottom w:val="single" w:color="auto" w:sz="4" w:space="0"/>
                    <w:right w:val="single" w:color="auto" w:sz="4" w:space="0"/>
                  </w:tcBorders>
                  <w:noWrap w:val="0"/>
                  <w:vAlign w:val="center"/>
                </w:tcPr>
                <w:p w14:paraId="7DF3EF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57" w:type="pct"/>
                  <w:vMerge w:val="restart"/>
                  <w:tcBorders>
                    <w:top w:val="nil"/>
                    <w:left w:val="single" w:color="auto" w:sz="4" w:space="0"/>
                    <w:bottom w:val="single" w:color="auto" w:sz="4" w:space="0"/>
                    <w:right w:val="single" w:color="auto" w:sz="4" w:space="0"/>
                  </w:tcBorders>
                  <w:noWrap w:val="0"/>
                  <w:vAlign w:val="center"/>
                </w:tcPr>
                <w:p w14:paraId="1E6A85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942" w:type="pct"/>
                  <w:tcBorders>
                    <w:top w:val="nil"/>
                    <w:left w:val="nil"/>
                    <w:bottom w:val="single" w:color="auto" w:sz="4" w:space="0"/>
                    <w:right w:val="single" w:color="auto" w:sz="4" w:space="0"/>
                  </w:tcBorders>
                  <w:noWrap w:val="0"/>
                  <w:vAlign w:val="center"/>
                </w:tcPr>
                <w:p w14:paraId="1D062C4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日均值第98百分位数浓度值</w:t>
                  </w:r>
                </w:p>
              </w:tc>
              <w:tc>
                <w:tcPr>
                  <w:tcW w:w="512" w:type="pct"/>
                  <w:tcBorders>
                    <w:top w:val="nil"/>
                    <w:left w:val="nil"/>
                    <w:bottom w:val="single" w:color="auto" w:sz="4" w:space="0"/>
                    <w:right w:val="single" w:color="auto" w:sz="4" w:space="0"/>
                  </w:tcBorders>
                  <w:noWrap w:val="0"/>
                  <w:vAlign w:val="center"/>
                </w:tcPr>
                <w:p w14:paraId="71AB5EB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47</w:t>
                  </w:r>
                </w:p>
              </w:tc>
              <w:tc>
                <w:tcPr>
                  <w:tcW w:w="475" w:type="pct"/>
                  <w:tcBorders>
                    <w:top w:val="nil"/>
                    <w:left w:val="nil"/>
                    <w:bottom w:val="single" w:color="auto" w:sz="4" w:space="0"/>
                    <w:right w:val="single" w:color="auto" w:sz="4" w:space="0"/>
                  </w:tcBorders>
                  <w:noWrap w:val="0"/>
                  <w:vAlign w:val="center"/>
                </w:tcPr>
                <w:p w14:paraId="72B7A7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80</w:t>
                  </w:r>
                </w:p>
              </w:tc>
              <w:tc>
                <w:tcPr>
                  <w:tcW w:w="393" w:type="pct"/>
                  <w:tcBorders>
                    <w:top w:val="nil"/>
                    <w:left w:val="nil"/>
                    <w:bottom w:val="single" w:color="auto" w:sz="4" w:space="0"/>
                    <w:right w:val="single" w:color="auto" w:sz="4" w:space="0"/>
                  </w:tcBorders>
                  <w:noWrap w:val="0"/>
                  <w:vAlign w:val="center"/>
                </w:tcPr>
                <w:p w14:paraId="324D0B3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73.4</w:t>
                  </w:r>
                </w:p>
              </w:tc>
              <w:tc>
                <w:tcPr>
                  <w:tcW w:w="448" w:type="pct"/>
                  <w:tcBorders>
                    <w:top w:val="nil"/>
                    <w:left w:val="nil"/>
                    <w:bottom w:val="single" w:color="auto" w:sz="4" w:space="0"/>
                    <w:right w:val="single" w:color="auto" w:sz="4" w:space="0"/>
                  </w:tcBorders>
                  <w:noWrap w:val="0"/>
                  <w:vAlign w:val="center"/>
                </w:tcPr>
                <w:p w14:paraId="51E3DF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499" w:type="pct"/>
                  <w:tcBorders>
                    <w:top w:val="nil"/>
                    <w:left w:val="nil"/>
                    <w:bottom w:val="single" w:color="auto" w:sz="4" w:space="0"/>
                    <w:right w:val="single" w:color="auto" w:sz="4" w:space="0"/>
                  </w:tcBorders>
                  <w:noWrap w:val="0"/>
                  <w:vAlign w:val="center"/>
                </w:tcPr>
                <w:p w14:paraId="2B7C4D5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达标</w:t>
                  </w:r>
                </w:p>
              </w:tc>
            </w:tr>
            <w:tr w14:paraId="37550195">
              <w:tblPrEx>
                <w:tblCellMar>
                  <w:top w:w="0" w:type="dxa"/>
                  <w:left w:w="108" w:type="dxa"/>
                  <w:bottom w:w="0" w:type="dxa"/>
                  <w:right w:w="108" w:type="dxa"/>
                </w:tblCellMar>
              </w:tblPrEx>
              <w:trPr>
                <w:trHeight w:val="293" w:hRule="atLeast"/>
              </w:trPr>
              <w:tc>
                <w:tcPr>
                  <w:tcW w:w="288" w:type="pct"/>
                  <w:vMerge w:val="continue"/>
                  <w:tcBorders>
                    <w:top w:val="nil"/>
                    <w:left w:val="single" w:color="auto" w:sz="4" w:space="0"/>
                    <w:bottom w:val="single" w:color="auto" w:sz="4" w:space="0"/>
                    <w:right w:val="single" w:color="auto" w:sz="4" w:space="0"/>
                  </w:tcBorders>
                  <w:noWrap w:val="0"/>
                  <w:vAlign w:val="center"/>
                </w:tcPr>
                <w:p w14:paraId="4D29BF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87" w:type="pct"/>
                  <w:vMerge w:val="continue"/>
                  <w:tcBorders>
                    <w:top w:val="nil"/>
                    <w:left w:val="single" w:color="auto" w:sz="4" w:space="0"/>
                    <w:bottom w:val="single" w:color="auto" w:sz="4" w:space="0"/>
                    <w:right w:val="single" w:color="auto" w:sz="4" w:space="0"/>
                  </w:tcBorders>
                  <w:noWrap w:val="0"/>
                  <w:vAlign w:val="center"/>
                </w:tcPr>
                <w:p w14:paraId="6BB05D6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94" w:type="pct"/>
                  <w:vMerge w:val="continue"/>
                  <w:tcBorders>
                    <w:top w:val="nil"/>
                    <w:left w:val="single" w:color="auto" w:sz="4" w:space="0"/>
                    <w:bottom w:val="single" w:color="auto" w:sz="4" w:space="0"/>
                    <w:right w:val="single" w:color="auto" w:sz="4" w:space="0"/>
                  </w:tcBorders>
                  <w:noWrap w:val="0"/>
                  <w:vAlign w:val="center"/>
                </w:tcPr>
                <w:p w14:paraId="0DFB35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57" w:type="pct"/>
                  <w:vMerge w:val="continue"/>
                  <w:tcBorders>
                    <w:top w:val="nil"/>
                    <w:left w:val="single" w:color="auto" w:sz="4" w:space="0"/>
                    <w:bottom w:val="single" w:color="auto" w:sz="4" w:space="0"/>
                    <w:right w:val="single" w:color="auto" w:sz="4" w:space="0"/>
                  </w:tcBorders>
                  <w:noWrap w:val="0"/>
                  <w:vAlign w:val="center"/>
                </w:tcPr>
                <w:p w14:paraId="2C3B3E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942" w:type="pct"/>
                  <w:tcBorders>
                    <w:top w:val="nil"/>
                    <w:left w:val="nil"/>
                    <w:bottom w:val="single" w:color="auto" w:sz="4" w:space="0"/>
                    <w:right w:val="single" w:color="auto" w:sz="4" w:space="0"/>
                  </w:tcBorders>
                  <w:noWrap w:val="0"/>
                  <w:vAlign w:val="center"/>
                </w:tcPr>
                <w:p w14:paraId="12B8BC9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年平均值</w:t>
                  </w:r>
                </w:p>
              </w:tc>
              <w:tc>
                <w:tcPr>
                  <w:tcW w:w="512" w:type="pct"/>
                  <w:tcBorders>
                    <w:top w:val="nil"/>
                    <w:left w:val="nil"/>
                    <w:bottom w:val="single" w:color="auto" w:sz="4" w:space="0"/>
                    <w:right w:val="single" w:color="auto" w:sz="4" w:space="0"/>
                  </w:tcBorders>
                  <w:noWrap w:val="0"/>
                  <w:vAlign w:val="center"/>
                </w:tcPr>
                <w:p w14:paraId="1951B5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18.9</w:t>
                  </w:r>
                </w:p>
              </w:tc>
              <w:tc>
                <w:tcPr>
                  <w:tcW w:w="475" w:type="pct"/>
                  <w:tcBorders>
                    <w:top w:val="nil"/>
                    <w:left w:val="nil"/>
                    <w:bottom w:val="single" w:color="auto" w:sz="4" w:space="0"/>
                    <w:right w:val="single" w:color="auto" w:sz="4" w:space="0"/>
                  </w:tcBorders>
                  <w:noWrap w:val="0"/>
                  <w:vAlign w:val="center"/>
                </w:tcPr>
                <w:p w14:paraId="3D5FFDD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40</w:t>
                  </w:r>
                </w:p>
              </w:tc>
              <w:tc>
                <w:tcPr>
                  <w:tcW w:w="393" w:type="pct"/>
                  <w:tcBorders>
                    <w:top w:val="nil"/>
                    <w:left w:val="nil"/>
                    <w:bottom w:val="single" w:color="auto" w:sz="4" w:space="0"/>
                    <w:right w:val="single" w:color="auto" w:sz="4" w:space="0"/>
                  </w:tcBorders>
                  <w:noWrap w:val="0"/>
                  <w:vAlign w:val="center"/>
                </w:tcPr>
                <w:p w14:paraId="1EB5FA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448" w:type="pct"/>
                  <w:tcBorders>
                    <w:top w:val="nil"/>
                    <w:left w:val="nil"/>
                    <w:bottom w:val="single" w:color="auto" w:sz="4" w:space="0"/>
                    <w:right w:val="single" w:color="auto" w:sz="4" w:space="0"/>
                  </w:tcBorders>
                  <w:noWrap w:val="0"/>
                  <w:vAlign w:val="center"/>
                </w:tcPr>
                <w:p w14:paraId="66500B8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nil"/>
                    <w:left w:val="nil"/>
                    <w:bottom w:val="single" w:color="auto" w:sz="4" w:space="0"/>
                    <w:right w:val="single" w:color="auto" w:sz="4" w:space="0"/>
                  </w:tcBorders>
                  <w:noWrap w:val="0"/>
                  <w:vAlign w:val="center"/>
                </w:tcPr>
                <w:p w14:paraId="3E531E0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达标</w:t>
                  </w:r>
                </w:p>
              </w:tc>
            </w:tr>
            <w:tr w14:paraId="515DCC6E">
              <w:tblPrEx>
                <w:tblCellMar>
                  <w:top w:w="0" w:type="dxa"/>
                  <w:left w:w="108" w:type="dxa"/>
                  <w:bottom w:w="0" w:type="dxa"/>
                  <w:right w:w="108" w:type="dxa"/>
                </w:tblCellMar>
              </w:tblPrEx>
              <w:trPr>
                <w:trHeight w:val="568" w:hRule="atLeast"/>
              </w:trPr>
              <w:tc>
                <w:tcPr>
                  <w:tcW w:w="288" w:type="pct"/>
                  <w:vMerge w:val="continue"/>
                  <w:tcBorders>
                    <w:top w:val="nil"/>
                    <w:left w:val="single" w:color="auto" w:sz="4" w:space="0"/>
                    <w:bottom w:val="single" w:color="auto" w:sz="4" w:space="0"/>
                    <w:right w:val="single" w:color="auto" w:sz="4" w:space="0"/>
                  </w:tcBorders>
                  <w:noWrap w:val="0"/>
                  <w:vAlign w:val="center"/>
                </w:tcPr>
                <w:p w14:paraId="75D7472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87" w:type="pct"/>
                  <w:vMerge w:val="continue"/>
                  <w:tcBorders>
                    <w:top w:val="nil"/>
                    <w:left w:val="single" w:color="auto" w:sz="4" w:space="0"/>
                    <w:bottom w:val="single" w:color="auto" w:sz="4" w:space="0"/>
                    <w:right w:val="single" w:color="auto" w:sz="4" w:space="0"/>
                  </w:tcBorders>
                  <w:noWrap w:val="0"/>
                  <w:vAlign w:val="center"/>
                </w:tcPr>
                <w:p w14:paraId="415AC0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94" w:type="pct"/>
                  <w:vMerge w:val="continue"/>
                  <w:tcBorders>
                    <w:top w:val="nil"/>
                    <w:left w:val="single" w:color="auto" w:sz="4" w:space="0"/>
                    <w:bottom w:val="single" w:color="auto" w:sz="4" w:space="0"/>
                    <w:right w:val="single" w:color="auto" w:sz="4" w:space="0"/>
                  </w:tcBorders>
                  <w:noWrap w:val="0"/>
                  <w:vAlign w:val="center"/>
                </w:tcPr>
                <w:p w14:paraId="46BF386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57" w:type="pct"/>
                  <w:vMerge w:val="restart"/>
                  <w:tcBorders>
                    <w:top w:val="nil"/>
                    <w:left w:val="single" w:color="auto" w:sz="4" w:space="0"/>
                    <w:bottom w:val="single" w:color="auto" w:sz="4" w:space="0"/>
                    <w:right w:val="single" w:color="auto" w:sz="4" w:space="0"/>
                  </w:tcBorders>
                  <w:noWrap w:val="0"/>
                  <w:vAlign w:val="center"/>
                </w:tcPr>
                <w:p w14:paraId="4EAC11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PM</w:t>
                  </w:r>
                  <w:r>
                    <w:rPr>
                      <w:rFonts w:hint="default" w:ascii="Times New Roman" w:hAnsi="Times New Roman" w:eastAsia="宋体" w:cs="Times New Roman"/>
                      <w:i w:val="0"/>
                      <w:iCs w:val="0"/>
                      <w:color w:val="auto"/>
                      <w:kern w:val="0"/>
                      <w:sz w:val="21"/>
                      <w:szCs w:val="21"/>
                      <w:u w:val="none"/>
                      <w:vertAlign w:val="subscript"/>
                      <w:lang w:val="en-US" w:eastAsia="zh-CN" w:bidi="ar"/>
                    </w:rPr>
                    <w:t>10</w:t>
                  </w:r>
                </w:p>
              </w:tc>
              <w:tc>
                <w:tcPr>
                  <w:tcW w:w="942" w:type="pct"/>
                  <w:tcBorders>
                    <w:top w:val="nil"/>
                    <w:left w:val="nil"/>
                    <w:bottom w:val="single" w:color="auto" w:sz="4" w:space="0"/>
                    <w:right w:val="single" w:color="auto" w:sz="4" w:space="0"/>
                  </w:tcBorders>
                  <w:noWrap w:val="0"/>
                  <w:vAlign w:val="center"/>
                </w:tcPr>
                <w:p w14:paraId="0D7947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日均值第95百分位数浓度值</w:t>
                  </w:r>
                </w:p>
              </w:tc>
              <w:tc>
                <w:tcPr>
                  <w:tcW w:w="512" w:type="pct"/>
                  <w:tcBorders>
                    <w:top w:val="nil"/>
                    <w:left w:val="nil"/>
                    <w:bottom w:val="single" w:color="auto" w:sz="4" w:space="0"/>
                    <w:right w:val="single" w:color="auto" w:sz="4" w:space="0"/>
                  </w:tcBorders>
                  <w:noWrap w:val="0"/>
                  <w:vAlign w:val="center"/>
                </w:tcPr>
                <w:p w14:paraId="3B9F30F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71</w:t>
                  </w:r>
                </w:p>
              </w:tc>
              <w:tc>
                <w:tcPr>
                  <w:tcW w:w="475" w:type="pct"/>
                  <w:tcBorders>
                    <w:top w:val="nil"/>
                    <w:left w:val="nil"/>
                    <w:bottom w:val="single" w:color="auto" w:sz="4" w:space="0"/>
                    <w:right w:val="single" w:color="auto" w:sz="4" w:space="0"/>
                  </w:tcBorders>
                  <w:noWrap w:val="0"/>
                  <w:vAlign w:val="center"/>
                </w:tcPr>
                <w:p w14:paraId="6D6C783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120</w:t>
                  </w:r>
                </w:p>
              </w:tc>
              <w:tc>
                <w:tcPr>
                  <w:tcW w:w="393" w:type="pct"/>
                  <w:tcBorders>
                    <w:top w:val="nil"/>
                    <w:left w:val="nil"/>
                    <w:bottom w:val="single" w:color="auto" w:sz="4" w:space="0"/>
                    <w:right w:val="single" w:color="auto" w:sz="4" w:space="0"/>
                  </w:tcBorders>
                  <w:noWrap w:val="0"/>
                  <w:vAlign w:val="center"/>
                </w:tcPr>
                <w:p w14:paraId="656F27F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266.7</w:t>
                  </w:r>
                </w:p>
              </w:tc>
              <w:tc>
                <w:tcPr>
                  <w:tcW w:w="448" w:type="pct"/>
                  <w:tcBorders>
                    <w:top w:val="nil"/>
                    <w:left w:val="nil"/>
                    <w:bottom w:val="single" w:color="auto" w:sz="4" w:space="0"/>
                    <w:right w:val="single" w:color="auto" w:sz="4" w:space="0"/>
                  </w:tcBorders>
                  <w:noWrap w:val="0"/>
                  <w:vAlign w:val="center"/>
                </w:tcPr>
                <w:p w14:paraId="55EFF0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0.82</w:t>
                  </w:r>
                </w:p>
              </w:tc>
              <w:tc>
                <w:tcPr>
                  <w:tcW w:w="499" w:type="pct"/>
                  <w:tcBorders>
                    <w:top w:val="nil"/>
                    <w:left w:val="nil"/>
                    <w:bottom w:val="single" w:color="auto" w:sz="4" w:space="0"/>
                    <w:right w:val="single" w:color="auto" w:sz="4" w:space="0"/>
                  </w:tcBorders>
                  <w:noWrap w:val="0"/>
                  <w:vAlign w:val="center"/>
                </w:tcPr>
                <w:p w14:paraId="705882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达标</w:t>
                  </w:r>
                </w:p>
              </w:tc>
            </w:tr>
            <w:tr w14:paraId="26CF7EF0">
              <w:tblPrEx>
                <w:tblCellMar>
                  <w:top w:w="0" w:type="dxa"/>
                  <w:left w:w="108" w:type="dxa"/>
                  <w:bottom w:w="0" w:type="dxa"/>
                  <w:right w:w="108" w:type="dxa"/>
                </w:tblCellMar>
              </w:tblPrEx>
              <w:trPr>
                <w:trHeight w:val="293" w:hRule="atLeast"/>
              </w:trPr>
              <w:tc>
                <w:tcPr>
                  <w:tcW w:w="288" w:type="pct"/>
                  <w:vMerge w:val="continue"/>
                  <w:tcBorders>
                    <w:top w:val="nil"/>
                    <w:left w:val="single" w:color="auto" w:sz="4" w:space="0"/>
                    <w:bottom w:val="single" w:color="auto" w:sz="4" w:space="0"/>
                    <w:right w:val="single" w:color="auto" w:sz="4" w:space="0"/>
                  </w:tcBorders>
                  <w:noWrap w:val="0"/>
                  <w:vAlign w:val="center"/>
                </w:tcPr>
                <w:p w14:paraId="24D6B6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87" w:type="pct"/>
                  <w:vMerge w:val="continue"/>
                  <w:tcBorders>
                    <w:top w:val="nil"/>
                    <w:left w:val="single" w:color="auto" w:sz="4" w:space="0"/>
                    <w:bottom w:val="single" w:color="auto" w:sz="4" w:space="0"/>
                    <w:right w:val="single" w:color="auto" w:sz="4" w:space="0"/>
                  </w:tcBorders>
                  <w:noWrap w:val="0"/>
                  <w:vAlign w:val="center"/>
                </w:tcPr>
                <w:p w14:paraId="5CBF33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94" w:type="pct"/>
                  <w:vMerge w:val="continue"/>
                  <w:tcBorders>
                    <w:top w:val="nil"/>
                    <w:left w:val="single" w:color="auto" w:sz="4" w:space="0"/>
                    <w:bottom w:val="single" w:color="auto" w:sz="4" w:space="0"/>
                    <w:right w:val="single" w:color="auto" w:sz="4" w:space="0"/>
                  </w:tcBorders>
                  <w:noWrap w:val="0"/>
                  <w:vAlign w:val="center"/>
                </w:tcPr>
                <w:p w14:paraId="0C92258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57" w:type="pct"/>
                  <w:vMerge w:val="continue"/>
                  <w:tcBorders>
                    <w:top w:val="nil"/>
                    <w:left w:val="single" w:color="auto" w:sz="4" w:space="0"/>
                    <w:bottom w:val="single" w:color="auto" w:sz="4" w:space="0"/>
                    <w:right w:val="single" w:color="auto" w:sz="4" w:space="0"/>
                  </w:tcBorders>
                  <w:noWrap w:val="0"/>
                  <w:vAlign w:val="center"/>
                </w:tcPr>
                <w:p w14:paraId="2CBDE96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942" w:type="pct"/>
                  <w:tcBorders>
                    <w:top w:val="nil"/>
                    <w:left w:val="nil"/>
                    <w:bottom w:val="single" w:color="auto" w:sz="4" w:space="0"/>
                    <w:right w:val="single" w:color="auto" w:sz="4" w:space="0"/>
                  </w:tcBorders>
                  <w:noWrap w:val="0"/>
                  <w:vAlign w:val="center"/>
                </w:tcPr>
                <w:p w14:paraId="670C94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年平均值</w:t>
                  </w:r>
                </w:p>
              </w:tc>
              <w:tc>
                <w:tcPr>
                  <w:tcW w:w="512" w:type="pct"/>
                  <w:tcBorders>
                    <w:top w:val="nil"/>
                    <w:left w:val="nil"/>
                    <w:bottom w:val="single" w:color="auto" w:sz="4" w:space="0"/>
                    <w:right w:val="single" w:color="auto" w:sz="4" w:space="0"/>
                  </w:tcBorders>
                  <w:noWrap w:val="0"/>
                  <w:vAlign w:val="center"/>
                </w:tcPr>
                <w:p w14:paraId="5DFEE3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30.2</w:t>
                  </w:r>
                </w:p>
              </w:tc>
              <w:tc>
                <w:tcPr>
                  <w:tcW w:w="475" w:type="pct"/>
                  <w:tcBorders>
                    <w:top w:val="nil"/>
                    <w:left w:val="nil"/>
                    <w:bottom w:val="single" w:color="auto" w:sz="4" w:space="0"/>
                    <w:right w:val="single" w:color="auto" w:sz="4" w:space="0"/>
                  </w:tcBorders>
                  <w:noWrap w:val="0"/>
                  <w:vAlign w:val="center"/>
                </w:tcPr>
                <w:p w14:paraId="5615465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60</w:t>
                  </w:r>
                </w:p>
              </w:tc>
              <w:tc>
                <w:tcPr>
                  <w:tcW w:w="393" w:type="pct"/>
                  <w:tcBorders>
                    <w:top w:val="nil"/>
                    <w:left w:val="nil"/>
                    <w:bottom w:val="single" w:color="auto" w:sz="4" w:space="0"/>
                    <w:right w:val="single" w:color="auto" w:sz="4" w:space="0"/>
                  </w:tcBorders>
                  <w:noWrap w:val="0"/>
                  <w:vAlign w:val="center"/>
                </w:tcPr>
                <w:p w14:paraId="4251038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448" w:type="pct"/>
                  <w:tcBorders>
                    <w:top w:val="nil"/>
                    <w:left w:val="nil"/>
                    <w:bottom w:val="single" w:color="auto" w:sz="4" w:space="0"/>
                    <w:right w:val="single" w:color="auto" w:sz="4" w:space="0"/>
                  </w:tcBorders>
                  <w:noWrap w:val="0"/>
                  <w:vAlign w:val="center"/>
                </w:tcPr>
                <w:p w14:paraId="4E36F9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nil"/>
                    <w:left w:val="nil"/>
                    <w:bottom w:val="single" w:color="auto" w:sz="4" w:space="0"/>
                    <w:right w:val="single" w:color="auto" w:sz="4" w:space="0"/>
                  </w:tcBorders>
                  <w:noWrap w:val="0"/>
                  <w:vAlign w:val="center"/>
                </w:tcPr>
                <w:p w14:paraId="48337B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达标</w:t>
                  </w:r>
                </w:p>
              </w:tc>
            </w:tr>
            <w:tr w14:paraId="502198DF">
              <w:tblPrEx>
                <w:tblCellMar>
                  <w:top w:w="0" w:type="dxa"/>
                  <w:left w:w="108" w:type="dxa"/>
                  <w:bottom w:w="0" w:type="dxa"/>
                  <w:right w:w="108" w:type="dxa"/>
                </w:tblCellMar>
              </w:tblPrEx>
              <w:trPr>
                <w:trHeight w:val="555" w:hRule="atLeast"/>
              </w:trPr>
              <w:tc>
                <w:tcPr>
                  <w:tcW w:w="288" w:type="pct"/>
                  <w:vMerge w:val="continue"/>
                  <w:tcBorders>
                    <w:top w:val="nil"/>
                    <w:left w:val="single" w:color="auto" w:sz="4" w:space="0"/>
                    <w:bottom w:val="single" w:color="auto" w:sz="4" w:space="0"/>
                    <w:right w:val="single" w:color="auto" w:sz="4" w:space="0"/>
                  </w:tcBorders>
                  <w:noWrap w:val="0"/>
                  <w:vAlign w:val="center"/>
                </w:tcPr>
                <w:p w14:paraId="2F9C1E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87" w:type="pct"/>
                  <w:vMerge w:val="continue"/>
                  <w:tcBorders>
                    <w:top w:val="nil"/>
                    <w:left w:val="single" w:color="auto" w:sz="4" w:space="0"/>
                    <w:bottom w:val="single" w:color="auto" w:sz="4" w:space="0"/>
                    <w:right w:val="single" w:color="auto" w:sz="4" w:space="0"/>
                  </w:tcBorders>
                  <w:noWrap w:val="0"/>
                  <w:vAlign w:val="center"/>
                </w:tcPr>
                <w:p w14:paraId="48F5335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94" w:type="pct"/>
                  <w:vMerge w:val="continue"/>
                  <w:tcBorders>
                    <w:top w:val="nil"/>
                    <w:left w:val="single" w:color="auto" w:sz="4" w:space="0"/>
                    <w:bottom w:val="single" w:color="auto" w:sz="4" w:space="0"/>
                    <w:right w:val="single" w:color="auto" w:sz="4" w:space="0"/>
                  </w:tcBorders>
                  <w:noWrap w:val="0"/>
                  <w:vAlign w:val="center"/>
                </w:tcPr>
                <w:p w14:paraId="022FF1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57" w:type="pct"/>
                  <w:vMerge w:val="restart"/>
                  <w:tcBorders>
                    <w:top w:val="nil"/>
                    <w:left w:val="single" w:color="auto" w:sz="4" w:space="0"/>
                    <w:bottom w:val="single" w:color="auto" w:sz="4" w:space="0"/>
                    <w:right w:val="single" w:color="auto" w:sz="4" w:space="0"/>
                  </w:tcBorders>
                  <w:noWrap w:val="0"/>
                  <w:vAlign w:val="center"/>
                </w:tcPr>
                <w:p w14:paraId="09020E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PM</w:t>
                  </w:r>
                  <w:r>
                    <w:rPr>
                      <w:rFonts w:hint="default" w:ascii="Times New Roman" w:hAnsi="Times New Roman" w:eastAsia="宋体" w:cs="Times New Roman"/>
                      <w:i w:val="0"/>
                      <w:iCs w:val="0"/>
                      <w:color w:val="auto"/>
                      <w:kern w:val="0"/>
                      <w:sz w:val="21"/>
                      <w:szCs w:val="21"/>
                      <w:u w:val="none"/>
                      <w:vertAlign w:val="subscript"/>
                      <w:lang w:val="en-US" w:eastAsia="zh-CN" w:bidi="ar"/>
                    </w:rPr>
                    <w:t>2.5</w:t>
                  </w:r>
                </w:p>
              </w:tc>
              <w:tc>
                <w:tcPr>
                  <w:tcW w:w="942" w:type="pct"/>
                  <w:tcBorders>
                    <w:top w:val="nil"/>
                    <w:left w:val="nil"/>
                    <w:bottom w:val="single" w:color="auto" w:sz="4" w:space="0"/>
                    <w:right w:val="single" w:color="auto" w:sz="4" w:space="0"/>
                  </w:tcBorders>
                  <w:noWrap w:val="0"/>
                  <w:vAlign w:val="center"/>
                </w:tcPr>
                <w:p w14:paraId="38D99C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日均值第95百分位数浓度值</w:t>
                  </w:r>
                </w:p>
              </w:tc>
              <w:tc>
                <w:tcPr>
                  <w:tcW w:w="512" w:type="pct"/>
                  <w:tcBorders>
                    <w:top w:val="nil"/>
                    <w:left w:val="nil"/>
                    <w:bottom w:val="single" w:color="auto" w:sz="4" w:space="0"/>
                    <w:right w:val="single" w:color="auto" w:sz="4" w:space="0"/>
                  </w:tcBorders>
                  <w:noWrap w:val="0"/>
                  <w:vAlign w:val="center"/>
                </w:tcPr>
                <w:p w14:paraId="4F5ADA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44</w:t>
                  </w:r>
                </w:p>
              </w:tc>
              <w:tc>
                <w:tcPr>
                  <w:tcW w:w="475" w:type="pct"/>
                  <w:tcBorders>
                    <w:top w:val="nil"/>
                    <w:left w:val="nil"/>
                    <w:bottom w:val="single" w:color="auto" w:sz="4" w:space="0"/>
                    <w:right w:val="single" w:color="auto" w:sz="4" w:space="0"/>
                  </w:tcBorders>
                  <w:noWrap w:val="0"/>
                  <w:vAlign w:val="center"/>
                </w:tcPr>
                <w:p w14:paraId="5F9731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60</w:t>
                  </w:r>
                </w:p>
              </w:tc>
              <w:tc>
                <w:tcPr>
                  <w:tcW w:w="393" w:type="pct"/>
                  <w:tcBorders>
                    <w:top w:val="nil"/>
                    <w:left w:val="nil"/>
                    <w:bottom w:val="single" w:color="auto" w:sz="4" w:space="0"/>
                    <w:right w:val="single" w:color="auto" w:sz="4" w:space="0"/>
                  </w:tcBorders>
                  <w:noWrap w:val="0"/>
                  <w:vAlign w:val="center"/>
                </w:tcPr>
                <w:p w14:paraId="065014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118.3</w:t>
                  </w:r>
                </w:p>
              </w:tc>
              <w:tc>
                <w:tcPr>
                  <w:tcW w:w="448" w:type="pct"/>
                  <w:tcBorders>
                    <w:top w:val="nil"/>
                    <w:left w:val="nil"/>
                    <w:bottom w:val="single" w:color="auto" w:sz="4" w:space="0"/>
                    <w:right w:val="single" w:color="auto" w:sz="4" w:space="0"/>
                  </w:tcBorders>
                  <w:noWrap w:val="0"/>
                  <w:vAlign w:val="center"/>
                </w:tcPr>
                <w:p w14:paraId="71969EF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0.55</w:t>
                  </w:r>
                </w:p>
              </w:tc>
              <w:tc>
                <w:tcPr>
                  <w:tcW w:w="499" w:type="pct"/>
                  <w:tcBorders>
                    <w:top w:val="nil"/>
                    <w:left w:val="nil"/>
                    <w:bottom w:val="single" w:color="auto" w:sz="4" w:space="0"/>
                    <w:right w:val="single" w:color="auto" w:sz="4" w:space="0"/>
                  </w:tcBorders>
                  <w:noWrap w:val="0"/>
                  <w:vAlign w:val="center"/>
                </w:tcPr>
                <w:p w14:paraId="6A570DB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达标</w:t>
                  </w:r>
                </w:p>
              </w:tc>
            </w:tr>
            <w:tr w14:paraId="62A091CF">
              <w:tblPrEx>
                <w:tblCellMar>
                  <w:top w:w="0" w:type="dxa"/>
                  <w:left w:w="108" w:type="dxa"/>
                  <w:bottom w:w="0" w:type="dxa"/>
                  <w:right w:w="108" w:type="dxa"/>
                </w:tblCellMar>
              </w:tblPrEx>
              <w:trPr>
                <w:trHeight w:val="293" w:hRule="atLeast"/>
              </w:trPr>
              <w:tc>
                <w:tcPr>
                  <w:tcW w:w="288" w:type="pct"/>
                  <w:vMerge w:val="continue"/>
                  <w:tcBorders>
                    <w:top w:val="nil"/>
                    <w:left w:val="single" w:color="auto" w:sz="4" w:space="0"/>
                    <w:bottom w:val="single" w:color="auto" w:sz="4" w:space="0"/>
                    <w:right w:val="single" w:color="auto" w:sz="4" w:space="0"/>
                  </w:tcBorders>
                  <w:noWrap w:val="0"/>
                  <w:vAlign w:val="center"/>
                </w:tcPr>
                <w:p w14:paraId="1C5406C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87" w:type="pct"/>
                  <w:vMerge w:val="continue"/>
                  <w:tcBorders>
                    <w:top w:val="nil"/>
                    <w:left w:val="single" w:color="auto" w:sz="4" w:space="0"/>
                    <w:bottom w:val="single" w:color="auto" w:sz="4" w:space="0"/>
                    <w:right w:val="single" w:color="auto" w:sz="4" w:space="0"/>
                  </w:tcBorders>
                  <w:noWrap w:val="0"/>
                  <w:vAlign w:val="center"/>
                </w:tcPr>
                <w:p w14:paraId="33EB3D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94" w:type="pct"/>
                  <w:vMerge w:val="continue"/>
                  <w:tcBorders>
                    <w:top w:val="nil"/>
                    <w:left w:val="single" w:color="auto" w:sz="4" w:space="0"/>
                    <w:bottom w:val="single" w:color="auto" w:sz="4" w:space="0"/>
                    <w:right w:val="single" w:color="auto" w:sz="4" w:space="0"/>
                  </w:tcBorders>
                  <w:noWrap w:val="0"/>
                  <w:vAlign w:val="center"/>
                </w:tcPr>
                <w:p w14:paraId="053F2A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57" w:type="pct"/>
                  <w:vMerge w:val="continue"/>
                  <w:tcBorders>
                    <w:top w:val="nil"/>
                    <w:left w:val="single" w:color="auto" w:sz="4" w:space="0"/>
                    <w:bottom w:val="single" w:color="auto" w:sz="4" w:space="0"/>
                    <w:right w:val="single" w:color="auto" w:sz="4" w:space="0"/>
                  </w:tcBorders>
                  <w:noWrap w:val="0"/>
                  <w:vAlign w:val="center"/>
                </w:tcPr>
                <w:p w14:paraId="008091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942" w:type="pct"/>
                  <w:tcBorders>
                    <w:top w:val="nil"/>
                    <w:left w:val="nil"/>
                    <w:bottom w:val="single" w:color="auto" w:sz="4" w:space="0"/>
                    <w:right w:val="single" w:color="auto" w:sz="4" w:space="0"/>
                  </w:tcBorders>
                  <w:noWrap w:val="0"/>
                  <w:vAlign w:val="center"/>
                </w:tcPr>
                <w:p w14:paraId="45E34C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年平均值</w:t>
                  </w:r>
                </w:p>
              </w:tc>
              <w:tc>
                <w:tcPr>
                  <w:tcW w:w="512" w:type="pct"/>
                  <w:tcBorders>
                    <w:top w:val="nil"/>
                    <w:left w:val="nil"/>
                    <w:bottom w:val="single" w:color="auto" w:sz="4" w:space="0"/>
                    <w:right w:val="single" w:color="auto" w:sz="4" w:space="0"/>
                  </w:tcBorders>
                  <w:noWrap w:val="0"/>
                  <w:vAlign w:val="center"/>
                </w:tcPr>
                <w:p w14:paraId="14841C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16.3</w:t>
                  </w:r>
                </w:p>
              </w:tc>
              <w:tc>
                <w:tcPr>
                  <w:tcW w:w="475" w:type="pct"/>
                  <w:tcBorders>
                    <w:top w:val="nil"/>
                    <w:left w:val="nil"/>
                    <w:bottom w:val="single" w:color="auto" w:sz="4" w:space="0"/>
                    <w:right w:val="single" w:color="auto" w:sz="4" w:space="0"/>
                  </w:tcBorders>
                  <w:noWrap w:val="0"/>
                  <w:vAlign w:val="center"/>
                </w:tcPr>
                <w:p w14:paraId="752D48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30</w:t>
                  </w:r>
                </w:p>
              </w:tc>
              <w:tc>
                <w:tcPr>
                  <w:tcW w:w="393" w:type="pct"/>
                  <w:tcBorders>
                    <w:top w:val="nil"/>
                    <w:left w:val="nil"/>
                    <w:bottom w:val="single" w:color="auto" w:sz="4" w:space="0"/>
                    <w:right w:val="single" w:color="auto" w:sz="4" w:space="0"/>
                  </w:tcBorders>
                  <w:noWrap w:val="0"/>
                  <w:vAlign w:val="center"/>
                </w:tcPr>
                <w:p w14:paraId="2FD55F6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448" w:type="pct"/>
                  <w:tcBorders>
                    <w:top w:val="nil"/>
                    <w:left w:val="nil"/>
                    <w:bottom w:val="single" w:color="auto" w:sz="4" w:space="0"/>
                    <w:right w:val="single" w:color="auto" w:sz="4" w:space="0"/>
                  </w:tcBorders>
                  <w:noWrap w:val="0"/>
                  <w:vAlign w:val="center"/>
                </w:tcPr>
                <w:p w14:paraId="7EBA926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nil"/>
                    <w:left w:val="nil"/>
                    <w:bottom w:val="single" w:color="auto" w:sz="4" w:space="0"/>
                    <w:right w:val="single" w:color="auto" w:sz="4" w:space="0"/>
                  </w:tcBorders>
                  <w:noWrap w:val="0"/>
                  <w:vAlign w:val="center"/>
                </w:tcPr>
                <w:p w14:paraId="5D9C17B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达标</w:t>
                  </w:r>
                </w:p>
              </w:tc>
            </w:tr>
            <w:tr w14:paraId="65790A66">
              <w:tblPrEx>
                <w:tblCellMar>
                  <w:top w:w="0" w:type="dxa"/>
                  <w:left w:w="108" w:type="dxa"/>
                  <w:bottom w:w="0" w:type="dxa"/>
                  <w:right w:w="108" w:type="dxa"/>
                </w:tblCellMar>
              </w:tblPrEx>
              <w:trPr>
                <w:trHeight w:val="1118" w:hRule="atLeast"/>
              </w:trPr>
              <w:tc>
                <w:tcPr>
                  <w:tcW w:w="288" w:type="pct"/>
                  <w:vMerge w:val="continue"/>
                  <w:tcBorders>
                    <w:top w:val="nil"/>
                    <w:left w:val="single" w:color="auto" w:sz="4" w:space="0"/>
                    <w:bottom w:val="single" w:color="auto" w:sz="4" w:space="0"/>
                    <w:right w:val="single" w:color="auto" w:sz="4" w:space="0"/>
                  </w:tcBorders>
                  <w:noWrap w:val="0"/>
                  <w:vAlign w:val="center"/>
                </w:tcPr>
                <w:p w14:paraId="2B194E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87" w:type="pct"/>
                  <w:vMerge w:val="continue"/>
                  <w:tcBorders>
                    <w:top w:val="nil"/>
                    <w:left w:val="single" w:color="auto" w:sz="4" w:space="0"/>
                    <w:bottom w:val="single" w:color="auto" w:sz="4" w:space="0"/>
                    <w:right w:val="single" w:color="auto" w:sz="4" w:space="0"/>
                  </w:tcBorders>
                  <w:noWrap w:val="0"/>
                  <w:vAlign w:val="center"/>
                </w:tcPr>
                <w:p w14:paraId="46C992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94" w:type="pct"/>
                  <w:vMerge w:val="continue"/>
                  <w:tcBorders>
                    <w:top w:val="nil"/>
                    <w:left w:val="single" w:color="auto" w:sz="4" w:space="0"/>
                    <w:bottom w:val="single" w:color="auto" w:sz="4" w:space="0"/>
                    <w:right w:val="single" w:color="auto" w:sz="4" w:space="0"/>
                  </w:tcBorders>
                  <w:noWrap w:val="0"/>
                  <w:vAlign w:val="center"/>
                </w:tcPr>
                <w:p w14:paraId="128BF6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57" w:type="pct"/>
                  <w:tcBorders>
                    <w:top w:val="nil"/>
                    <w:left w:val="nil"/>
                    <w:bottom w:val="single" w:color="auto" w:sz="4" w:space="0"/>
                    <w:right w:val="single" w:color="auto" w:sz="4" w:space="0"/>
                  </w:tcBorders>
                  <w:noWrap w:val="0"/>
                  <w:vAlign w:val="center"/>
                </w:tcPr>
                <w:p w14:paraId="26AC1C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O</w:t>
                  </w:r>
                  <w:r>
                    <w:rPr>
                      <w:rFonts w:hint="default" w:ascii="Times New Roman" w:hAnsi="Times New Roman" w:eastAsia="宋体" w:cs="Times New Roman"/>
                      <w:i w:val="0"/>
                      <w:iCs w:val="0"/>
                      <w:color w:val="auto"/>
                      <w:kern w:val="0"/>
                      <w:sz w:val="21"/>
                      <w:szCs w:val="21"/>
                      <w:u w:val="none"/>
                      <w:vertAlign w:val="subscript"/>
                      <w:lang w:val="en-US" w:eastAsia="zh-CN" w:bidi="ar"/>
                    </w:rPr>
                    <w:t>3</w:t>
                  </w:r>
                </w:p>
              </w:tc>
              <w:tc>
                <w:tcPr>
                  <w:tcW w:w="942" w:type="pct"/>
                  <w:tcBorders>
                    <w:top w:val="nil"/>
                    <w:left w:val="nil"/>
                    <w:bottom w:val="single" w:color="auto" w:sz="4" w:space="0"/>
                    <w:right w:val="single" w:color="auto" w:sz="4" w:space="0"/>
                  </w:tcBorders>
                  <w:noWrap w:val="0"/>
                  <w:vAlign w:val="center"/>
                </w:tcPr>
                <w:p w14:paraId="58E2B98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日最大8小时滑动平均值的90百分位数浓度值</w:t>
                  </w:r>
                </w:p>
              </w:tc>
              <w:tc>
                <w:tcPr>
                  <w:tcW w:w="512" w:type="pct"/>
                  <w:tcBorders>
                    <w:top w:val="nil"/>
                    <w:left w:val="nil"/>
                    <w:bottom w:val="single" w:color="auto" w:sz="4" w:space="0"/>
                    <w:right w:val="single" w:color="auto" w:sz="4" w:space="0"/>
                  </w:tcBorders>
                  <w:noWrap w:val="0"/>
                  <w:vAlign w:val="center"/>
                </w:tcPr>
                <w:p w14:paraId="508727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158</w:t>
                  </w:r>
                </w:p>
              </w:tc>
              <w:tc>
                <w:tcPr>
                  <w:tcW w:w="475" w:type="pct"/>
                  <w:tcBorders>
                    <w:top w:val="nil"/>
                    <w:left w:val="nil"/>
                    <w:bottom w:val="single" w:color="auto" w:sz="4" w:space="0"/>
                    <w:right w:val="single" w:color="auto" w:sz="4" w:space="0"/>
                  </w:tcBorders>
                  <w:noWrap w:val="0"/>
                  <w:vAlign w:val="center"/>
                </w:tcPr>
                <w:p w14:paraId="72A092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160</w:t>
                  </w:r>
                </w:p>
              </w:tc>
              <w:tc>
                <w:tcPr>
                  <w:tcW w:w="393" w:type="pct"/>
                  <w:tcBorders>
                    <w:top w:val="nil"/>
                    <w:left w:val="nil"/>
                    <w:bottom w:val="single" w:color="auto" w:sz="4" w:space="0"/>
                    <w:right w:val="single" w:color="auto" w:sz="4" w:space="0"/>
                  </w:tcBorders>
                  <w:noWrap w:val="0"/>
                  <w:vAlign w:val="center"/>
                </w:tcPr>
                <w:p w14:paraId="2366BC6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134.4</w:t>
                  </w:r>
                </w:p>
              </w:tc>
              <w:tc>
                <w:tcPr>
                  <w:tcW w:w="448" w:type="pct"/>
                  <w:tcBorders>
                    <w:top w:val="nil"/>
                    <w:left w:val="nil"/>
                    <w:bottom w:val="single" w:color="auto" w:sz="4" w:space="0"/>
                    <w:right w:val="single" w:color="auto" w:sz="4" w:space="0"/>
                  </w:tcBorders>
                  <w:noWrap w:val="0"/>
                  <w:vAlign w:val="center"/>
                </w:tcPr>
                <w:p w14:paraId="0CB5BF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4.2</w:t>
                  </w:r>
                </w:p>
              </w:tc>
              <w:tc>
                <w:tcPr>
                  <w:tcW w:w="499" w:type="pct"/>
                  <w:tcBorders>
                    <w:top w:val="nil"/>
                    <w:left w:val="nil"/>
                    <w:bottom w:val="single" w:color="auto" w:sz="4" w:space="0"/>
                    <w:right w:val="single" w:color="auto" w:sz="4" w:space="0"/>
                  </w:tcBorders>
                  <w:noWrap w:val="0"/>
                  <w:vAlign w:val="center"/>
                </w:tcPr>
                <w:p w14:paraId="067BDD9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达标</w:t>
                  </w:r>
                </w:p>
              </w:tc>
            </w:tr>
            <w:tr w14:paraId="29D36F5E">
              <w:tblPrEx>
                <w:tblCellMar>
                  <w:top w:w="0" w:type="dxa"/>
                  <w:left w:w="108" w:type="dxa"/>
                  <w:bottom w:w="0" w:type="dxa"/>
                  <w:right w:w="108" w:type="dxa"/>
                </w:tblCellMar>
              </w:tblPrEx>
              <w:trPr>
                <w:trHeight w:val="588" w:hRule="atLeast"/>
              </w:trPr>
              <w:tc>
                <w:tcPr>
                  <w:tcW w:w="288" w:type="pct"/>
                  <w:vMerge w:val="continue"/>
                  <w:tcBorders>
                    <w:top w:val="nil"/>
                    <w:left w:val="single" w:color="auto" w:sz="4" w:space="0"/>
                    <w:bottom w:val="single" w:color="auto" w:sz="4" w:space="0"/>
                    <w:right w:val="single" w:color="auto" w:sz="4" w:space="0"/>
                  </w:tcBorders>
                  <w:noWrap w:val="0"/>
                  <w:vAlign w:val="center"/>
                </w:tcPr>
                <w:p w14:paraId="780C230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87" w:type="pct"/>
                  <w:vMerge w:val="continue"/>
                  <w:tcBorders>
                    <w:top w:val="nil"/>
                    <w:left w:val="single" w:color="auto" w:sz="4" w:space="0"/>
                    <w:bottom w:val="single" w:color="auto" w:sz="4" w:space="0"/>
                    <w:right w:val="single" w:color="auto" w:sz="4" w:space="0"/>
                  </w:tcBorders>
                  <w:noWrap w:val="0"/>
                  <w:vAlign w:val="center"/>
                </w:tcPr>
                <w:p w14:paraId="10424C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94" w:type="pct"/>
                  <w:vMerge w:val="continue"/>
                  <w:tcBorders>
                    <w:top w:val="nil"/>
                    <w:left w:val="single" w:color="auto" w:sz="4" w:space="0"/>
                    <w:bottom w:val="single" w:color="auto" w:sz="4" w:space="0"/>
                    <w:right w:val="single" w:color="auto" w:sz="4" w:space="0"/>
                  </w:tcBorders>
                  <w:noWrap w:val="0"/>
                  <w:vAlign w:val="center"/>
                </w:tcPr>
                <w:p w14:paraId="067B48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57" w:type="pct"/>
                  <w:tcBorders>
                    <w:top w:val="nil"/>
                    <w:left w:val="nil"/>
                    <w:bottom w:val="single" w:color="auto" w:sz="4" w:space="0"/>
                    <w:right w:val="single" w:color="auto" w:sz="4" w:space="0"/>
                  </w:tcBorders>
                  <w:noWrap w:val="0"/>
                  <w:vAlign w:val="center"/>
                </w:tcPr>
                <w:p w14:paraId="5948C9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CO</w:t>
                  </w:r>
                </w:p>
              </w:tc>
              <w:tc>
                <w:tcPr>
                  <w:tcW w:w="942" w:type="pct"/>
                  <w:tcBorders>
                    <w:top w:val="nil"/>
                    <w:left w:val="nil"/>
                    <w:bottom w:val="single" w:color="auto" w:sz="4" w:space="0"/>
                    <w:right w:val="single" w:color="auto" w:sz="4" w:space="0"/>
                  </w:tcBorders>
                  <w:noWrap w:val="0"/>
                  <w:vAlign w:val="center"/>
                </w:tcPr>
                <w:p w14:paraId="7E5ACC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日均值第95百分位数浓度值</w:t>
                  </w:r>
                </w:p>
              </w:tc>
              <w:tc>
                <w:tcPr>
                  <w:tcW w:w="512" w:type="pct"/>
                  <w:tcBorders>
                    <w:top w:val="nil"/>
                    <w:left w:val="nil"/>
                    <w:bottom w:val="single" w:color="auto" w:sz="4" w:space="0"/>
                    <w:right w:val="single" w:color="auto" w:sz="4" w:space="0"/>
                  </w:tcBorders>
                  <w:noWrap w:val="0"/>
                  <w:vAlign w:val="center"/>
                </w:tcPr>
                <w:p w14:paraId="4457959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700</w:t>
                  </w:r>
                </w:p>
              </w:tc>
              <w:tc>
                <w:tcPr>
                  <w:tcW w:w="475" w:type="pct"/>
                  <w:tcBorders>
                    <w:top w:val="nil"/>
                    <w:left w:val="nil"/>
                    <w:bottom w:val="single" w:color="auto" w:sz="4" w:space="0"/>
                    <w:right w:val="single" w:color="auto" w:sz="4" w:space="0"/>
                  </w:tcBorders>
                  <w:noWrap w:val="0"/>
                  <w:vAlign w:val="center"/>
                </w:tcPr>
                <w:p w14:paraId="20AE08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4000</w:t>
                  </w:r>
                </w:p>
              </w:tc>
              <w:tc>
                <w:tcPr>
                  <w:tcW w:w="393" w:type="pct"/>
                  <w:tcBorders>
                    <w:top w:val="nil"/>
                    <w:left w:val="nil"/>
                    <w:bottom w:val="single" w:color="auto" w:sz="4" w:space="0"/>
                    <w:right w:val="single" w:color="auto" w:sz="4" w:space="0"/>
                  </w:tcBorders>
                  <w:noWrap w:val="0"/>
                  <w:vAlign w:val="center"/>
                </w:tcPr>
                <w:p w14:paraId="3C2221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20</w:t>
                  </w:r>
                </w:p>
              </w:tc>
              <w:tc>
                <w:tcPr>
                  <w:tcW w:w="448" w:type="pct"/>
                  <w:tcBorders>
                    <w:top w:val="nil"/>
                    <w:left w:val="nil"/>
                    <w:bottom w:val="single" w:color="auto" w:sz="4" w:space="0"/>
                    <w:right w:val="single" w:color="auto" w:sz="4" w:space="0"/>
                  </w:tcBorders>
                  <w:noWrap w:val="0"/>
                  <w:vAlign w:val="center"/>
                </w:tcPr>
                <w:p w14:paraId="723D1B0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499" w:type="pct"/>
                  <w:tcBorders>
                    <w:top w:val="nil"/>
                    <w:left w:val="nil"/>
                    <w:bottom w:val="single" w:color="auto" w:sz="4" w:space="0"/>
                    <w:right w:val="single" w:color="auto" w:sz="4" w:space="0"/>
                  </w:tcBorders>
                  <w:noWrap w:val="0"/>
                  <w:vAlign w:val="center"/>
                </w:tcPr>
                <w:p w14:paraId="641711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达标</w:t>
                  </w:r>
                </w:p>
              </w:tc>
            </w:tr>
          </w:tbl>
          <w:p w14:paraId="7906BD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imes New Roman" w:hAnsi="Times New Roman" w:eastAsia="宋体" w:cs="Times New Roman"/>
                <w:color w:val="auto"/>
                <w:sz w:val="21"/>
                <w:highlight w:val="none"/>
                <w:lang w:val="zh-CN"/>
              </w:rPr>
            </w:pPr>
            <w:r>
              <w:rPr>
                <w:rFonts w:hint="eastAsia" w:ascii="Times New Roman" w:hAnsi="Times New Roman" w:eastAsia="宋体"/>
                <w:color w:val="auto"/>
                <w:sz w:val="21"/>
                <w:highlight w:val="none"/>
                <w:lang w:val="zh-CN"/>
              </w:rPr>
              <w:t>由表可知，</w:t>
            </w:r>
            <w:r>
              <w:rPr>
                <w:rFonts w:hint="eastAsia"/>
                <w:color w:val="auto"/>
                <w:sz w:val="21"/>
                <w:highlight w:val="none"/>
                <w:lang w:val="zh-CN"/>
              </w:rPr>
              <w:t>SO₂</w:t>
            </w:r>
            <w:r>
              <w:rPr>
                <w:rFonts w:hint="eastAsia" w:ascii="Times New Roman" w:hAnsi="Times New Roman" w:eastAsia="宋体"/>
                <w:color w:val="auto"/>
                <w:sz w:val="21"/>
                <w:highlight w:val="none"/>
                <w:lang w:val="zh-CN"/>
              </w:rPr>
              <w:t>年平均及24小时平均第98百分位数浓度达到《环境空气质量标准》</w:t>
            </w:r>
            <w:r>
              <w:rPr>
                <w:rFonts w:hint="eastAsia"/>
                <w:color w:val="auto"/>
                <w:sz w:val="21"/>
                <w:highlight w:val="none"/>
                <w:lang w:val="zh-CN"/>
              </w:rPr>
              <w:t>（GB 3095</w:t>
            </w:r>
            <w:r>
              <w:rPr>
                <w:rFonts w:hint="eastAsia"/>
                <w:color w:val="auto"/>
                <w:sz w:val="21"/>
                <w:highlight w:val="none"/>
                <w:lang w:val="en-US" w:eastAsia="zh-CN"/>
              </w:rPr>
              <w:t>-</w:t>
            </w:r>
            <w:r>
              <w:rPr>
                <w:rFonts w:hint="eastAsia" w:ascii="Times New Roman" w:hAnsi="Times New Roman" w:eastAsia="宋体"/>
                <w:color w:val="auto"/>
                <w:sz w:val="21"/>
                <w:highlight w:val="none"/>
                <w:lang w:val="zh-CN"/>
              </w:rPr>
              <w:t>2026</w:t>
            </w:r>
            <w:r>
              <w:rPr>
                <w:rFonts w:hint="eastAsia"/>
                <w:color w:val="auto"/>
                <w:sz w:val="21"/>
                <w:highlight w:val="none"/>
                <w:lang w:val="zh-CN"/>
              </w:rPr>
              <w:t>）</w:t>
            </w:r>
            <w:r>
              <w:rPr>
                <w:rFonts w:hint="eastAsia" w:ascii="Times New Roman" w:hAnsi="Times New Roman" w:eastAsia="宋体"/>
                <w:color w:val="auto"/>
                <w:sz w:val="21"/>
                <w:highlight w:val="none"/>
                <w:lang w:val="zh-CN"/>
              </w:rPr>
              <w:t>中的过渡阶段浓度限值二级标准；</w:t>
            </w:r>
            <w:r>
              <w:rPr>
                <w:rFonts w:hint="eastAsia"/>
                <w:color w:val="auto"/>
                <w:sz w:val="21"/>
                <w:highlight w:val="none"/>
                <w:lang w:val="zh-CN"/>
              </w:rPr>
              <w:t>PM</w:t>
            </w:r>
            <w:r>
              <w:rPr>
                <w:rFonts w:hint="eastAsia"/>
                <w:color w:val="auto"/>
                <w:sz w:val="21"/>
                <w:highlight w:val="none"/>
                <w:vertAlign w:val="subscript"/>
                <w:lang w:val="en-US" w:eastAsia="zh-CN"/>
              </w:rPr>
              <w:t>10</w:t>
            </w:r>
            <w:r>
              <w:rPr>
                <w:rFonts w:hint="eastAsia" w:ascii="Times New Roman" w:hAnsi="Times New Roman" w:eastAsia="宋体"/>
                <w:color w:val="auto"/>
                <w:sz w:val="21"/>
                <w:highlight w:val="none"/>
                <w:lang w:val="zh-CN"/>
              </w:rPr>
              <w:t>年平均及24小时平均第95百分位数浓度达到《环境空气质量标准》</w:t>
            </w:r>
            <w:r>
              <w:rPr>
                <w:rFonts w:hint="eastAsia"/>
                <w:color w:val="auto"/>
                <w:sz w:val="21"/>
                <w:highlight w:val="none"/>
                <w:lang w:val="zh-CN"/>
              </w:rPr>
              <w:t>（GB 3095-</w:t>
            </w:r>
            <w:r>
              <w:rPr>
                <w:rFonts w:hint="eastAsia" w:ascii="Times New Roman" w:hAnsi="Times New Roman" w:eastAsia="宋体"/>
                <w:color w:val="auto"/>
                <w:sz w:val="21"/>
                <w:highlight w:val="none"/>
                <w:lang w:val="zh-CN"/>
              </w:rPr>
              <w:t>2026</w:t>
            </w:r>
            <w:r>
              <w:rPr>
                <w:rFonts w:hint="eastAsia"/>
                <w:color w:val="auto"/>
                <w:sz w:val="21"/>
                <w:highlight w:val="none"/>
                <w:lang w:val="zh-CN"/>
              </w:rPr>
              <w:t>）</w:t>
            </w:r>
            <w:r>
              <w:rPr>
                <w:rFonts w:hint="eastAsia" w:ascii="Times New Roman" w:hAnsi="Times New Roman" w:eastAsia="宋体"/>
                <w:color w:val="auto"/>
                <w:sz w:val="21"/>
                <w:highlight w:val="none"/>
                <w:lang w:val="zh-CN"/>
              </w:rPr>
              <w:t>中的过渡阶段浓度限值二级标准；</w:t>
            </w:r>
            <w:r>
              <w:rPr>
                <w:rFonts w:hint="eastAsia"/>
                <w:color w:val="auto"/>
                <w:sz w:val="21"/>
                <w:highlight w:val="none"/>
                <w:lang w:val="zh-CN"/>
              </w:rPr>
              <w:t>PM</w:t>
            </w:r>
            <w:r>
              <w:rPr>
                <w:rFonts w:hint="eastAsia"/>
                <w:color w:val="auto"/>
                <w:sz w:val="21"/>
                <w:highlight w:val="none"/>
                <w:vertAlign w:val="subscript"/>
                <w:lang w:val="en-US" w:eastAsia="zh-CN"/>
              </w:rPr>
              <w:t>2.5</w:t>
            </w:r>
            <w:r>
              <w:rPr>
                <w:rFonts w:hint="eastAsia" w:ascii="Times New Roman" w:hAnsi="Times New Roman" w:eastAsia="宋体"/>
                <w:color w:val="auto"/>
                <w:sz w:val="21"/>
                <w:highlight w:val="none"/>
                <w:lang w:val="zh-CN"/>
              </w:rPr>
              <w:t>年平均及24小时平均第95百分位数浓度均达到《环境空气质量标准》</w:t>
            </w:r>
            <w:r>
              <w:rPr>
                <w:rFonts w:hint="eastAsia"/>
                <w:color w:val="auto"/>
                <w:sz w:val="21"/>
                <w:highlight w:val="none"/>
                <w:lang w:val="zh-CN"/>
              </w:rPr>
              <w:t>（GB 3095</w:t>
            </w:r>
            <w:r>
              <w:rPr>
                <w:rFonts w:hint="eastAsia"/>
                <w:color w:val="auto"/>
                <w:sz w:val="21"/>
                <w:highlight w:val="none"/>
                <w:lang w:val="en-US" w:eastAsia="zh-CN"/>
              </w:rPr>
              <w:t>-</w:t>
            </w:r>
            <w:r>
              <w:rPr>
                <w:rFonts w:hint="eastAsia" w:ascii="Times New Roman" w:hAnsi="Times New Roman" w:eastAsia="宋体"/>
                <w:color w:val="auto"/>
                <w:sz w:val="21"/>
                <w:highlight w:val="none"/>
                <w:lang w:val="zh-CN"/>
              </w:rPr>
              <w:t>2026</w:t>
            </w:r>
            <w:r>
              <w:rPr>
                <w:rFonts w:hint="eastAsia"/>
                <w:color w:val="auto"/>
                <w:sz w:val="21"/>
                <w:highlight w:val="none"/>
                <w:lang w:val="zh-CN"/>
              </w:rPr>
              <w:t>）</w:t>
            </w:r>
            <w:r>
              <w:rPr>
                <w:rFonts w:hint="eastAsia" w:ascii="Times New Roman" w:hAnsi="Times New Roman" w:eastAsia="宋体"/>
                <w:color w:val="auto"/>
                <w:sz w:val="21"/>
                <w:highlight w:val="none"/>
                <w:lang w:val="zh-CN"/>
              </w:rPr>
              <w:t>中的过渡阶段浓度限值二级标准；CO24小时平均第95百分位数达到《环境空气质量标准》</w:t>
            </w:r>
            <w:r>
              <w:rPr>
                <w:rFonts w:hint="eastAsia"/>
                <w:color w:val="auto"/>
                <w:sz w:val="21"/>
                <w:highlight w:val="none"/>
                <w:lang w:val="zh-CN"/>
              </w:rPr>
              <w:t>（GB 3095</w:t>
            </w:r>
            <w:r>
              <w:rPr>
                <w:rFonts w:hint="eastAsia"/>
                <w:color w:val="auto"/>
                <w:sz w:val="21"/>
                <w:highlight w:val="none"/>
                <w:lang w:val="en-US" w:eastAsia="zh-CN"/>
              </w:rPr>
              <w:t>-</w:t>
            </w:r>
            <w:r>
              <w:rPr>
                <w:rFonts w:hint="eastAsia" w:ascii="Times New Roman" w:hAnsi="Times New Roman" w:eastAsia="宋体"/>
                <w:color w:val="auto"/>
                <w:sz w:val="21"/>
                <w:highlight w:val="none"/>
                <w:lang w:val="zh-CN"/>
              </w:rPr>
              <w:t>2026</w:t>
            </w:r>
            <w:r>
              <w:rPr>
                <w:rFonts w:hint="eastAsia"/>
                <w:color w:val="auto"/>
                <w:sz w:val="21"/>
                <w:highlight w:val="none"/>
                <w:lang w:val="zh-CN"/>
              </w:rPr>
              <w:t>）</w:t>
            </w:r>
            <w:r>
              <w:rPr>
                <w:rFonts w:hint="eastAsia" w:ascii="Times New Roman" w:hAnsi="Times New Roman" w:eastAsia="宋体"/>
                <w:color w:val="auto"/>
                <w:sz w:val="21"/>
                <w:highlight w:val="none"/>
                <w:lang w:val="zh-CN"/>
              </w:rPr>
              <w:t>中的过渡阶段浓度限值二级标准；NO</w:t>
            </w:r>
            <w:r>
              <w:rPr>
                <w:rFonts w:hint="eastAsia" w:ascii="Times New Roman" w:hAnsi="Times New Roman" w:eastAsia="宋体"/>
                <w:color w:val="auto"/>
                <w:sz w:val="21"/>
                <w:highlight w:val="none"/>
                <w:vertAlign w:val="subscript"/>
                <w:lang w:val="zh-CN"/>
              </w:rPr>
              <w:t>2</w:t>
            </w:r>
            <w:r>
              <w:rPr>
                <w:rFonts w:hint="eastAsia" w:ascii="Times New Roman" w:hAnsi="Times New Roman" w:eastAsia="宋体"/>
                <w:color w:val="auto"/>
                <w:sz w:val="21"/>
                <w:highlight w:val="none"/>
                <w:lang w:val="zh-CN"/>
              </w:rPr>
              <w:t>年平均及第98百分位数浓度达到《环境空气质量标准》</w:t>
            </w:r>
            <w:r>
              <w:rPr>
                <w:rFonts w:hint="eastAsia"/>
                <w:color w:val="auto"/>
                <w:sz w:val="21"/>
                <w:highlight w:val="none"/>
                <w:lang w:val="zh-CN"/>
              </w:rPr>
              <w:t>（GB 3095</w:t>
            </w:r>
            <w:r>
              <w:rPr>
                <w:rFonts w:hint="eastAsia"/>
                <w:color w:val="auto"/>
                <w:sz w:val="21"/>
                <w:highlight w:val="none"/>
                <w:lang w:val="en-US" w:eastAsia="zh-CN"/>
              </w:rPr>
              <w:t>-</w:t>
            </w:r>
            <w:r>
              <w:rPr>
                <w:rFonts w:hint="eastAsia" w:ascii="Times New Roman" w:hAnsi="Times New Roman" w:eastAsia="宋体"/>
                <w:color w:val="auto"/>
                <w:sz w:val="21"/>
                <w:highlight w:val="none"/>
                <w:lang w:val="zh-CN"/>
              </w:rPr>
              <w:t>2026</w:t>
            </w:r>
            <w:r>
              <w:rPr>
                <w:rFonts w:hint="eastAsia"/>
                <w:color w:val="auto"/>
                <w:sz w:val="21"/>
                <w:highlight w:val="none"/>
                <w:lang w:val="zh-CN"/>
              </w:rPr>
              <w:t>）</w:t>
            </w:r>
            <w:r>
              <w:rPr>
                <w:rFonts w:hint="eastAsia" w:ascii="Times New Roman" w:hAnsi="Times New Roman" w:eastAsia="宋体"/>
                <w:color w:val="auto"/>
                <w:sz w:val="21"/>
                <w:highlight w:val="none"/>
                <w:lang w:val="zh-CN"/>
              </w:rPr>
              <w:t>中的过渡阶段浓度限值二级标准；O</w:t>
            </w:r>
            <w:r>
              <w:rPr>
                <w:rFonts w:hint="eastAsia" w:ascii="Times New Roman" w:hAnsi="Times New Roman" w:eastAsia="宋体"/>
                <w:color w:val="auto"/>
                <w:sz w:val="21"/>
                <w:highlight w:val="none"/>
                <w:vertAlign w:val="subscript"/>
                <w:lang w:val="zh-CN"/>
              </w:rPr>
              <w:t>3</w:t>
            </w:r>
            <w:r>
              <w:rPr>
                <w:rFonts w:hint="eastAsia" w:ascii="Times New Roman" w:hAnsi="Times New Roman" w:eastAsia="宋体"/>
                <w:color w:val="auto"/>
                <w:sz w:val="21"/>
                <w:highlight w:val="none"/>
                <w:lang w:val="zh-CN"/>
              </w:rPr>
              <w:t>日8小时平均第90百分位数浓度达到《环境空气质量标准》</w:t>
            </w:r>
            <w:r>
              <w:rPr>
                <w:rFonts w:hint="eastAsia"/>
                <w:color w:val="auto"/>
                <w:sz w:val="21"/>
                <w:highlight w:val="none"/>
                <w:lang w:val="zh-CN"/>
              </w:rPr>
              <w:t>（GB 3095</w:t>
            </w:r>
            <w:r>
              <w:rPr>
                <w:rFonts w:hint="eastAsia"/>
                <w:color w:val="auto"/>
                <w:sz w:val="21"/>
                <w:highlight w:val="none"/>
                <w:lang w:val="en-US" w:eastAsia="zh-CN"/>
              </w:rPr>
              <w:t>-</w:t>
            </w:r>
            <w:r>
              <w:rPr>
                <w:rFonts w:hint="eastAsia" w:ascii="Times New Roman" w:hAnsi="Times New Roman" w:eastAsia="宋体"/>
                <w:color w:val="auto"/>
                <w:sz w:val="21"/>
                <w:highlight w:val="none"/>
                <w:lang w:val="zh-CN"/>
              </w:rPr>
              <w:t>2026</w:t>
            </w:r>
            <w:r>
              <w:rPr>
                <w:rFonts w:hint="eastAsia"/>
                <w:color w:val="auto"/>
                <w:sz w:val="21"/>
                <w:highlight w:val="none"/>
                <w:lang w:val="zh-CN"/>
              </w:rPr>
              <w:t>）</w:t>
            </w:r>
            <w:r>
              <w:rPr>
                <w:rFonts w:hint="eastAsia" w:ascii="Times New Roman" w:hAnsi="Times New Roman" w:eastAsia="宋体"/>
                <w:color w:val="auto"/>
                <w:sz w:val="21"/>
                <w:highlight w:val="none"/>
                <w:lang w:val="zh-CN"/>
              </w:rPr>
              <w:t>中的过渡阶段浓度限值二级标准</w:t>
            </w:r>
            <w:r>
              <w:rPr>
                <w:rFonts w:hint="eastAsia" w:ascii="Times New Roman" w:hAnsi="Times New Roman" w:eastAsia="宋体" w:cs="Times New Roman"/>
                <w:color w:val="auto"/>
                <w:sz w:val="21"/>
                <w:highlight w:val="none"/>
                <w:lang w:val="zh-CN"/>
              </w:rPr>
              <w:t>。</w:t>
            </w:r>
          </w:p>
          <w:p w14:paraId="66188A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b/>
                <w:bCs/>
                <w:color w:val="auto"/>
                <w:sz w:val="21"/>
                <w:szCs w:val="24"/>
                <w:highlight w:val="none"/>
              </w:rPr>
            </w:pPr>
            <w:r>
              <w:rPr>
                <w:rFonts w:hint="default" w:ascii="Times New Roman" w:hAnsi="Times New Roman" w:eastAsia="宋体" w:cs="Times New Roman"/>
                <w:b/>
                <w:bCs/>
                <w:color w:val="auto"/>
                <w:sz w:val="21"/>
                <w:szCs w:val="24"/>
                <w:highlight w:val="none"/>
              </w:rPr>
              <w:t>（3）补充评价范围内污染物环境质量现状评价</w:t>
            </w:r>
          </w:p>
          <w:p w14:paraId="3A2E63E8">
            <w:pPr>
              <w:keepNext w:val="0"/>
              <w:keepLines w:val="0"/>
              <w:suppressLineNumbers w:val="0"/>
              <w:spacing w:before="0" w:beforeAutospacing="0" w:after="0" w:afterAutospacing="0" w:line="360" w:lineRule="auto"/>
              <w:ind w:left="0" w:right="0" w:firstLine="420" w:firstLineChars="200"/>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本项目的特征因子有</w:t>
            </w:r>
            <w:r>
              <w:rPr>
                <w:rFonts w:hint="default" w:ascii="Times New Roman" w:hAnsi="Times New Roman" w:eastAsia="宋体" w:cs="Segoe UI"/>
                <w:b/>
                <w:bCs/>
                <w:i w:val="0"/>
                <w:iCs w:val="0"/>
                <w:caps w:val="0"/>
                <w:color w:val="auto"/>
                <w:spacing w:val="0"/>
                <w:sz w:val="21"/>
                <w:szCs w:val="24"/>
                <w:shd w:val="clear" w:fill="FFFFFF"/>
              </w:rPr>
              <w:t>TSP、非甲烷总烃、总VOCs、臭气浓度</w:t>
            </w:r>
            <w:r>
              <w:rPr>
                <w:rFonts w:hint="default" w:ascii="Times New Roman" w:hAnsi="Times New Roman" w:eastAsia="宋体" w:cs="Segoe UI"/>
                <w:i w:val="0"/>
                <w:iCs w:val="0"/>
                <w:caps w:val="0"/>
                <w:color w:val="auto"/>
                <w:spacing w:val="0"/>
                <w:sz w:val="21"/>
                <w:szCs w:val="24"/>
                <w:shd w:val="clear" w:fill="FFFFFF"/>
              </w:rPr>
              <w:t>，其中</w:t>
            </w:r>
            <w:r>
              <w:rPr>
                <w:rFonts w:hint="default" w:ascii="Times New Roman" w:hAnsi="Times New Roman" w:eastAsia="宋体" w:cs="Segoe UI"/>
                <w:b/>
                <w:bCs/>
                <w:i w:val="0"/>
                <w:iCs w:val="0"/>
                <w:caps w:val="0"/>
                <w:color w:val="auto"/>
                <w:spacing w:val="0"/>
                <w:sz w:val="21"/>
                <w:szCs w:val="24"/>
                <w:shd w:val="clear" w:fill="FFFFFF"/>
              </w:rPr>
              <w:t>臭气浓度、非甲烷总烃、总VOCs</w:t>
            </w:r>
            <w:r>
              <w:rPr>
                <w:rFonts w:hint="default" w:ascii="Times New Roman" w:hAnsi="Times New Roman" w:eastAsia="宋体" w:cs="Segoe UI"/>
                <w:i w:val="0"/>
                <w:iCs w:val="0"/>
                <w:caps w:val="0"/>
                <w:color w:val="auto"/>
                <w:spacing w:val="0"/>
                <w:sz w:val="21"/>
                <w:szCs w:val="24"/>
                <w:shd w:val="clear" w:fill="FFFFFF"/>
              </w:rPr>
              <w:t>无相关国家、地方环境质量标准，故不进行其他污染物环境质量现状的调查。本项目仅对</w:t>
            </w:r>
            <w:r>
              <w:rPr>
                <w:rFonts w:hint="default" w:ascii="Times New Roman" w:hAnsi="Times New Roman" w:eastAsia="宋体" w:cs="Segoe UI"/>
                <w:b/>
                <w:bCs/>
                <w:i w:val="0"/>
                <w:iCs w:val="0"/>
                <w:caps w:val="0"/>
                <w:color w:val="auto"/>
                <w:spacing w:val="0"/>
                <w:sz w:val="21"/>
                <w:szCs w:val="24"/>
                <w:shd w:val="clear" w:fill="FFFFFF"/>
              </w:rPr>
              <w:t>TSP</w:t>
            </w:r>
            <w:r>
              <w:rPr>
                <w:rFonts w:hint="default" w:ascii="Times New Roman" w:hAnsi="Times New Roman" w:eastAsia="宋体" w:cs="Segoe UI"/>
                <w:i w:val="0"/>
                <w:iCs w:val="0"/>
                <w:caps w:val="0"/>
                <w:color w:val="auto"/>
                <w:spacing w:val="0"/>
                <w:sz w:val="21"/>
                <w:szCs w:val="24"/>
                <w:shd w:val="clear" w:fill="FFFFFF"/>
              </w:rPr>
              <w:t>进行现状调查。</w:t>
            </w:r>
          </w:p>
          <w:p w14:paraId="1C006EEE">
            <w:pPr>
              <w:keepNext w:val="0"/>
              <w:keepLines w:val="0"/>
              <w:suppressLineNumbers w:val="0"/>
              <w:spacing w:before="0" w:beforeAutospacing="0" w:after="0" w:afterAutospacing="0" w:line="360" w:lineRule="auto"/>
              <w:ind w:left="0" w:right="0" w:firstLine="420" w:firstLineChars="200"/>
              <w:rPr>
                <w:rFonts w:hint="eastAsia" w:ascii="Times New Roman" w:hAnsi="Times New Roman" w:eastAsia="宋体" w:cs="Times New Roman"/>
                <w:color w:val="auto"/>
                <w:sz w:val="21"/>
                <w:szCs w:val="24"/>
                <w:highlight w:val="none"/>
                <w:lang w:eastAsia="zh-CN"/>
              </w:rPr>
            </w:pPr>
            <w:r>
              <w:rPr>
                <w:rFonts w:hint="default" w:ascii="Times New Roman" w:hAnsi="Times New Roman" w:eastAsia="宋体"/>
                <w:color w:val="auto"/>
                <w:sz w:val="21"/>
                <w:szCs w:val="24"/>
                <w:highlight w:val="none"/>
              </w:rPr>
              <w:t>本项目TSP引用</w:t>
            </w:r>
            <w:r>
              <w:rPr>
                <w:rFonts w:hint="default" w:ascii="Times New Roman" w:hAnsi="Times New Roman" w:eastAsia="宋体"/>
                <w:color w:val="auto"/>
                <w:sz w:val="21"/>
                <w:szCs w:val="24"/>
                <w:highlight w:val="none"/>
                <w:lang w:eastAsia="zh-CN"/>
              </w:rPr>
              <w:t>《</w:t>
            </w:r>
            <w:r>
              <w:rPr>
                <w:rFonts w:hint="eastAsia" w:ascii="Times New Roman" w:hAnsi="Times New Roman" w:eastAsia="宋体" w:cs="Times New Roman"/>
                <w:color w:val="auto"/>
                <w:sz w:val="21"/>
                <w:szCs w:val="24"/>
                <w:highlight w:val="none"/>
                <w:lang w:val="en-US" w:eastAsia="zh-CN"/>
              </w:rPr>
              <w:t>中山市大涌镇合强沥青拌和站项目</w:t>
            </w:r>
            <w:r>
              <w:rPr>
                <w:rFonts w:hint="default" w:ascii="Times New Roman" w:hAnsi="Times New Roman" w:eastAsia="宋体"/>
                <w:color w:val="auto"/>
                <w:sz w:val="21"/>
                <w:szCs w:val="24"/>
                <w:highlight w:val="none"/>
                <w:lang w:eastAsia="zh-CN"/>
              </w:rPr>
              <w:t>》</w:t>
            </w:r>
            <w:r>
              <w:rPr>
                <w:rFonts w:hint="default" w:ascii="Times New Roman" w:hAnsi="Times New Roman" w:eastAsia="宋体"/>
                <w:color w:val="auto"/>
                <w:sz w:val="21"/>
                <w:szCs w:val="24"/>
                <w:highlight w:val="none"/>
              </w:rPr>
              <w:t>环境现状监测数据，</w:t>
            </w:r>
            <w:r>
              <w:rPr>
                <w:rFonts w:hint="default" w:ascii="Times New Roman" w:hAnsi="Times New Roman" w:eastAsia="宋体" w:cs="Times New Roman"/>
                <w:color w:val="auto"/>
                <w:sz w:val="21"/>
                <w:szCs w:val="24"/>
                <w:highlight w:val="none"/>
                <w:lang w:val="en-US" w:eastAsia="zh-CN"/>
              </w:rPr>
              <w:t>监测单位为广东乾达检测技术有限公司，于</w:t>
            </w:r>
            <w:r>
              <w:rPr>
                <w:rFonts w:hint="eastAsia" w:cs="Times New Roman"/>
                <w:color w:val="auto"/>
                <w:sz w:val="21"/>
                <w:szCs w:val="24"/>
                <w:highlight w:val="none"/>
                <w:lang w:val="en-US" w:eastAsia="zh-CN"/>
              </w:rPr>
              <w:t>2024年1月4日</w:t>
            </w:r>
            <w:r>
              <w:rPr>
                <w:rFonts w:hint="default" w:ascii="Times New Roman" w:hAnsi="Times New Roman" w:eastAsia="宋体" w:cs="Times New Roman"/>
                <w:color w:val="auto"/>
                <w:sz w:val="21"/>
                <w:szCs w:val="24"/>
                <w:highlight w:val="none"/>
                <w:lang w:val="en-US" w:eastAsia="zh-CN"/>
              </w:rPr>
              <w:t>～</w:t>
            </w:r>
            <w:r>
              <w:rPr>
                <w:rFonts w:hint="eastAsia" w:cs="Times New Roman"/>
                <w:color w:val="auto"/>
                <w:sz w:val="21"/>
                <w:szCs w:val="24"/>
                <w:highlight w:val="none"/>
                <w:lang w:val="en-US" w:eastAsia="zh-CN"/>
              </w:rPr>
              <w:t>1月6日</w:t>
            </w:r>
            <w:r>
              <w:rPr>
                <w:rFonts w:hint="default" w:ascii="Times New Roman" w:hAnsi="Times New Roman" w:eastAsia="宋体" w:cs="Times New Roman"/>
                <w:color w:val="auto"/>
                <w:sz w:val="21"/>
                <w:szCs w:val="24"/>
                <w:highlight w:val="none"/>
                <w:lang w:val="en-US" w:eastAsia="zh-CN"/>
              </w:rPr>
              <w:t>在</w:t>
            </w:r>
            <w:r>
              <w:rPr>
                <w:rFonts w:hint="eastAsia" w:ascii="Times New Roman" w:hAnsi="Times New Roman" w:eastAsia="宋体" w:cs="Times New Roman"/>
                <w:color w:val="auto"/>
                <w:sz w:val="21"/>
                <w:szCs w:val="24"/>
                <w:highlight w:val="none"/>
                <w:lang w:val="en-US" w:eastAsia="zh-CN"/>
              </w:rPr>
              <w:t>中山市大涌镇合强沥青拌和站项目</w:t>
            </w:r>
            <w:r>
              <w:rPr>
                <w:rFonts w:hint="eastAsia" w:ascii="Times New Roman" w:hAnsi="Times New Roman" w:eastAsia="宋体" w:cs="Times New Roman"/>
                <w:color w:val="auto"/>
                <w:sz w:val="21"/>
                <w:szCs w:val="24"/>
                <w:highlight w:val="none"/>
                <w:lang w:eastAsia="zh-CN"/>
              </w:rPr>
              <w:t>所在地</w:t>
            </w:r>
            <w:r>
              <w:rPr>
                <w:rFonts w:hint="eastAsia" w:cs="Times New Roman"/>
                <w:color w:val="auto"/>
                <w:sz w:val="21"/>
                <w:szCs w:val="24"/>
                <w:highlight w:val="none"/>
                <w:lang w:eastAsia="zh-CN"/>
              </w:rPr>
              <w:t>布设</w:t>
            </w:r>
            <w:r>
              <w:rPr>
                <w:rFonts w:hint="eastAsia" w:ascii="Times New Roman" w:hAnsi="Times New Roman" w:eastAsia="宋体" w:cs="Times New Roman"/>
                <w:color w:val="auto"/>
                <w:sz w:val="21"/>
                <w:szCs w:val="24"/>
                <w:highlight w:val="none"/>
                <w:lang w:val="en-US" w:eastAsia="zh-CN"/>
              </w:rPr>
              <w:t>环境空气监测点位</w:t>
            </w:r>
            <w:r>
              <w:rPr>
                <w:rFonts w:hint="default" w:ascii="Times New Roman" w:hAnsi="Times New Roman" w:eastAsia="宋体" w:cs="Times New Roman"/>
                <w:color w:val="auto"/>
                <w:sz w:val="21"/>
                <w:szCs w:val="24"/>
                <w:highlight w:val="none"/>
                <w:lang w:val="en-US" w:eastAsia="zh-CN"/>
              </w:rPr>
              <w:t>，</w:t>
            </w:r>
            <w:r>
              <w:rPr>
                <w:rFonts w:hint="eastAsia" w:cs="Times New Roman"/>
                <w:color w:val="auto"/>
                <w:sz w:val="21"/>
                <w:szCs w:val="24"/>
                <w:highlight w:val="none"/>
                <w:lang w:val="en-US" w:eastAsia="zh-CN"/>
              </w:rPr>
              <w:t>该点位位于</w:t>
            </w:r>
            <w:r>
              <w:rPr>
                <w:rFonts w:hint="default" w:ascii="Times New Roman" w:hAnsi="Times New Roman" w:eastAsia="宋体" w:cs="Times New Roman"/>
                <w:color w:val="auto"/>
                <w:sz w:val="21"/>
                <w:szCs w:val="24"/>
                <w:highlight w:val="none"/>
                <w:lang w:val="en-US" w:eastAsia="zh-CN"/>
              </w:rPr>
              <w:t>本项目</w:t>
            </w:r>
            <w:r>
              <w:rPr>
                <w:rFonts w:hint="eastAsia" w:ascii="Times New Roman" w:hAnsi="Times New Roman" w:eastAsia="宋体" w:cs="Times New Roman"/>
                <w:color w:val="auto"/>
                <w:sz w:val="21"/>
                <w:szCs w:val="24"/>
                <w:highlight w:val="none"/>
                <w:lang w:val="en-US" w:eastAsia="zh-CN"/>
              </w:rPr>
              <w:t>西北面约830</w:t>
            </w:r>
            <w:r>
              <w:rPr>
                <w:rFonts w:hint="default" w:ascii="Times New Roman" w:hAnsi="Times New Roman" w:eastAsia="宋体" w:cs="Times New Roman"/>
                <w:color w:val="auto"/>
                <w:sz w:val="21"/>
                <w:szCs w:val="24"/>
                <w:highlight w:val="none"/>
                <w:lang w:val="en-US" w:eastAsia="zh-CN"/>
              </w:rPr>
              <w:t>米处。</w:t>
            </w:r>
            <w:r>
              <w:rPr>
                <w:rFonts w:hint="default" w:ascii="Times New Roman" w:hAnsi="Times New Roman" w:eastAsia="宋体"/>
                <w:color w:val="auto"/>
                <w:sz w:val="21"/>
                <w:szCs w:val="24"/>
                <w:highlight w:val="none"/>
              </w:rPr>
              <w:t>根据</w:t>
            </w:r>
            <w:r>
              <w:rPr>
                <w:rFonts w:hint="eastAsia"/>
                <w:color w:val="auto"/>
                <w:sz w:val="21"/>
                <w:szCs w:val="24"/>
                <w:highlight w:val="none"/>
                <w:lang w:eastAsia="zh-CN"/>
              </w:rPr>
              <w:t>《建设项目环境影响报告表编制技术指南（污染影响类）（试行）》</w:t>
            </w:r>
            <w:r>
              <w:rPr>
                <w:rFonts w:hint="default" w:ascii="Times New Roman" w:hAnsi="Times New Roman" w:eastAsia="宋体"/>
                <w:color w:val="auto"/>
                <w:sz w:val="21"/>
                <w:szCs w:val="24"/>
                <w:highlight w:val="none"/>
              </w:rPr>
              <w:t>，近3年内</w:t>
            </w:r>
            <w:r>
              <w:rPr>
                <w:rFonts w:hint="eastAsia"/>
                <w:color w:val="auto"/>
                <w:sz w:val="21"/>
                <w:szCs w:val="24"/>
                <w:highlight w:val="none"/>
                <w:lang w:eastAsia="zh-CN"/>
              </w:rPr>
              <w:t>的大气环境</w:t>
            </w:r>
            <w:r>
              <w:rPr>
                <w:rFonts w:hint="default" w:ascii="Times New Roman" w:hAnsi="Times New Roman" w:eastAsia="宋体"/>
                <w:color w:val="auto"/>
                <w:sz w:val="21"/>
                <w:szCs w:val="24"/>
                <w:highlight w:val="none"/>
              </w:rPr>
              <w:t>监测数据具有有效性，</w:t>
            </w:r>
            <w:r>
              <w:rPr>
                <w:rFonts w:hint="eastAsia" w:ascii="Times New Roman" w:hAnsi="Times New Roman" w:eastAsia="宋体" w:cs="Times New Roman"/>
                <w:color w:val="auto"/>
                <w:sz w:val="21"/>
                <w:szCs w:val="24"/>
                <w:highlight w:val="none"/>
                <w:lang w:val="en-US" w:eastAsia="zh-CN"/>
              </w:rPr>
              <w:t>中山市大涌镇合强沥青拌和站项目</w:t>
            </w:r>
            <w:r>
              <w:rPr>
                <w:rFonts w:hint="default" w:ascii="Times New Roman" w:hAnsi="Times New Roman" w:eastAsia="宋体"/>
                <w:color w:val="auto"/>
                <w:sz w:val="21"/>
                <w:szCs w:val="24"/>
                <w:highlight w:val="none"/>
              </w:rPr>
              <w:t>检测报告</w:t>
            </w:r>
            <w:r>
              <w:rPr>
                <w:rFonts w:hint="eastAsia"/>
                <w:color w:val="auto"/>
                <w:sz w:val="21"/>
                <w:szCs w:val="24"/>
                <w:highlight w:val="none"/>
                <w:lang w:eastAsia="zh-CN"/>
              </w:rPr>
              <w:t>的监测</w:t>
            </w:r>
            <w:r>
              <w:rPr>
                <w:rFonts w:hint="default" w:ascii="Times New Roman" w:hAnsi="Times New Roman" w:eastAsia="宋体"/>
                <w:color w:val="auto"/>
                <w:sz w:val="21"/>
                <w:szCs w:val="24"/>
                <w:highlight w:val="none"/>
              </w:rPr>
              <w:t>时间</w:t>
            </w:r>
            <w:r>
              <w:rPr>
                <w:rFonts w:hint="eastAsia"/>
                <w:color w:val="auto"/>
                <w:sz w:val="21"/>
                <w:szCs w:val="24"/>
                <w:highlight w:val="none"/>
                <w:lang w:eastAsia="zh-CN"/>
              </w:rPr>
              <w:t>针对</w:t>
            </w:r>
            <w:r>
              <w:rPr>
                <w:rFonts w:hint="default" w:ascii="Times New Roman" w:hAnsi="Times New Roman" w:eastAsia="宋体"/>
                <w:color w:val="auto"/>
                <w:sz w:val="21"/>
                <w:szCs w:val="24"/>
                <w:highlight w:val="none"/>
              </w:rPr>
              <w:t>本项目具有时效性，评价范围的直径/边长小于5km，各监测点位</w:t>
            </w:r>
            <w:r>
              <w:rPr>
                <w:rFonts w:hint="eastAsia"/>
                <w:color w:val="auto"/>
                <w:sz w:val="21"/>
                <w:szCs w:val="24"/>
                <w:highlight w:val="none"/>
                <w:lang w:eastAsia="zh-CN"/>
              </w:rPr>
              <w:t>位于</w:t>
            </w:r>
            <w:r>
              <w:rPr>
                <w:rFonts w:hint="default" w:ascii="Times New Roman" w:hAnsi="Times New Roman" w:eastAsia="宋体"/>
                <w:color w:val="auto"/>
                <w:sz w:val="21"/>
                <w:szCs w:val="24"/>
                <w:highlight w:val="none"/>
              </w:rPr>
              <w:t>评价范围内，因此引用</w:t>
            </w:r>
            <w:r>
              <w:rPr>
                <w:rFonts w:hint="eastAsia" w:ascii="Times New Roman" w:hAnsi="Times New Roman" w:eastAsia="宋体" w:cs="Times New Roman"/>
                <w:color w:val="auto"/>
                <w:sz w:val="21"/>
                <w:szCs w:val="24"/>
                <w:highlight w:val="none"/>
                <w:lang w:val="en-US" w:eastAsia="zh-CN"/>
              </w:rPr>
              <w:t>中山市大涌镇合强沥青拌和站项目检测</w:t>
            </w:r>
            <w:r>
              <w:rPr>
                <w:rFonts w:hint="default" w:ascii="Times New Roman" w:hAnsi="Times New Roman" w:eastAsia="宋体"/>
                <w:color w:val="auto"/>
                <w:sz w:val="21"/>
                <w:szCs w:val="24"/>
                <w:highlight w:val="none"/>
              </w:rPr>
              <w:t>报告，各监测点位</w:t>
            </w:r>
            <w:r>
              <w:rPr>
                <w:rFonts w:hint="eastAsia"/>
                <w:color w:val="auto"/>
                <w:sz w:val="21"/>
                <w:szCs w:val="24"/>
                <w:highlight w:val="none"/>
                <w:lang w:eastAsia="zh-CN"/>
              </w:rPr>
              <w:t>的数据</w:t>
            </w:r>
            <w:r>
              <w:rPr>
                <w:rFonts w:hint="default" w:ascii="Times New Roman" w:hAnsi="Times New Roman" w:eastAsia="宋体"/>
                <w:color w:val="auto"/>
                <w:sz w:val="21"/>
                <w:szCs w:val="24"/>
                <w:highlight w:val="none"/>
              </w:rPr>
              <w:t>具有时效性，结果如下所示。</w:t>
            </w:r>
          </w:p>
          <w:p w14:paraId="3AE5E69B">
            <w:pPr>
              <w:pStyle w:val="9"/>
              <w:numPr>
                <w:ilvl w:val="0"/>
                <w:numId w:val="8"/>
              </w:numPr>
              <w:suppressLineNumbers w:val="0"/>
              <w:spacing w:before="0" w:beforeAutospacing="0" w:after="0" w:afterAutospacing="0" w:line="240" w:lineRule="auto"/>
              <w:ind w:right="0"/>
              <w:jc w:val="center"/>
              <w:rPr>
                <w:rFonts w:hint="eastAsia" w:ascii="Times New Roman" w:hAnsi="Times New Roman" w:eastAsia="宋体" w:cs="Times New Roman"/>
                <w:b/>
                <w:color w:val="auto"/>
                <w:sz w:val="21"/>
                <w:szCs w:val="24"/>
                <w:lang w:val="en-US" w:eastAsia="zh-CN"/>
              </w:rPr>
            </w:pPr>
            <w:r>
              <w:rPr>
                <w:rFonts w:hint="eastAsia" w:ascii="Times New Roman" w:hAnsi="Times New Roman" w:eastAsia="宋体" w:cs="Times New Roman"/>
                <w:b/>
                <w:color w:val="auto"/>
                <w:sz w:val="21"/>
                <w:szCs w:val="24"/>
                <w:lang w:val="en-US" w:eastAsia="zh-CN"/>
              </w:rPr>
              <w:t>补充监测点位基本信息</w:t>
            </w:r>
          </w:p>
          <w:tbl>
            <w:tblPr>
              <w:tblStyle w:val="48"/>
              <w:tblW w:w="10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3"/>
              <w:gridCol w:w="1194"/>
              <w:gridCol w:w="1074"/>
              <w:gridCol w:w="1139"/>
              <w:gridCol w:w="1819"/>
              <w:gridCol w:w="1195"/>
              <w:gridCol w:w="1163"/>
            </w:tblGrid>
            <w:tr w14:paraId="3618E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473" w:type="dxa"/>
                  <w:noWrap w:val="0"/>
                  <w:vAlign w:val="center"/>
                </w:tcPr>
                <w:p w14:paraId="2D835772">
                  <w:pPr>
                    <w:keepNext w:val="0"/>
                    <w:keepLines w:val="0"/>
                    <w:suppressLineNumbers w:val="0"/>
                    <w:spacing w:before="0" w:beforeAutospacing="0" w:after="0" w:afterAutospacing="0" w:line="240" w:lineRule="auto"/>
                    <w:ind w:left="0" w:right="0"/>
                    <w:jc w:val="center"/>
                    <w:rPr>
                      <w:rFonts w:hint="eastAsia" w:ascii="Times New Roman" w:hAnsi="Times New Roman" w:eastAsia="宋体"/>
                      <w:b/>
                      <w:bCs w:val="0"/>
                      <w:color w:val="auto"/>
                      <w:sz w:val="21"/>
                      <w:szCs w:val="21"/>
                      <w:highlight w:val="none"/>
                    </w:rPr>
                  </w:pPr>
                  <w:r>
                    <w:rPr>
                      <w:rFonts w:hint="eastAsia" w:ascii="Times New Roman" w:hAnsi="Times New Roman" w:eastAsia="宋体"/>
                      <w:b/>
                      <w:bCs w:val="0"/>
                      <w:color w:val="auto"/>
                      <w:sz w:val="21"/>
                      <w:szCs w:val="21"/>
                      <w:highlight w:val="none"/>
                    </w:rPr>
                    <w:t>监测点位名称</w:t>
                  </w:r>
                </w:p>
              </w:tc>
              <w:tc>
                <w:tcPr>
                  <w:tcW w:w="2268" w:type="dxa"/>
                  <w:gridSpan w:val="2"/>
                  <w:noWrap w:val="0"/>
                  <w:vAlign w:val="center"/>
                </w:tcPr>
                <w:p w14:paraId="09D0ED85">
                  <w:pPr>
                    <w:keepNext w:val="0"/>
                    <w:keepLines w:val="0"/>
                    <w:suppressLineNumbers w:val="0"/>
                    <w:spacing w:before="0" w:beforeAutospacing="0" w:after="0" w:afterAutospacing="0" w:line="240" w:lineRule="auto"/>
                    <w:ind w:left="0" w:right="0"/>
                    <w:jc w:val="center"/>
                    <w:rPr>
                      <w:rFonts w:hint="default" w:ascii="Times New Roman" w:hAnsi="Times New Roman" w:eastAsia="宋体"/>
                      <w:b/>
                      <w:bCs w:val="0"/>
                      <w:color w:val="auto"/>
                      <w:sz w:val="21"/>
                      <w:szCs w:val="21"/>
                      <w:highlight w:val="none"/>
                    </w:rPr>
                  </w:pPr>
                  <w:r>
                    <w:rPr>
                      <w:rFonts w:hint="eastAsia" w:ascii="Times New Roman" w:hAnsi="Times New Roman" w:eastAsia="宋体"/>
                      <w:b/>
                      <w:bCs w:val="0"/>
                      <w:color w:val="auto"/>
                      <w:sz w:val="21"/>
                      <w:szCs w:val="21"/>
                      <w:highlight w:val="none"/>
                    </w:rPr>
                    <w:t>监测点坐标/m</w:t>
                  </w:r>
                </w:p>
              </w:tc>
              <w:tc>
                <w:tcPr>
                  <w:tcW w:w="1139" w:type="dxa"/>
                  <w:noWrap w:val="0"/>
                  <w:vAlign w:val="center"/>
                </w:tcPr>
                <w:p w14:paraId="1C19AA48">
                  <w:pPr>
                    <w:keepNext w:val="0"/>
                    <w:keepLines w:val="0"/>
                    <w:suppressLineNumbers w:val="0"/>
                    <w:spacing w:before="0" w:beforeAutospacing="0" w:after="0" w:afterAutospacing="0" w:line="240" w:lineRule="auto"/>
                    <w:ind w:left="0" w:right="0"/>
                    <w:jc w:val="center"/>
                    <w:rPr>
                      <w:rFonts w:hint="eastAsia" w:ascii="Times New Roman" w:hAnsi="Times New Roman" w:eastAsia="宋体"/>
                      <w:b/>
                      <w:bCs w:val="0"/>
                      <w:color w:val="auto"/>
                      <w:sz w:val="21"/>
                      <w:szCs w:val="21"/>
                      <w:highlight w:val="none"/>
                    </w:rPr>
                  </w:pPr>
                  <w:r>
                    <w:rPr>
                      <w:rFonts w:hint="eastAsia" w:ascii="Times New Roman" w:hAnsi="Times New Roman" w:eastAsia="宋体"/>
                      <w:b/>
                      <w:bCs w:val="0"/>
                      <w:color w:val="auto"/>
                      <w:sz w:val="21"/>
                      <w:szCs w:val="21"/>
                      <w:highlight w:val="none"/>
                    </w:rPr>
                    <w:t>监测因子</w:t>
                  </w:r>
                </w:p>
              </w:tc>
              <w:tc>
                <w:tcPr>
                  <w:tcW w:w="1819" w:type="dxa"/>
                  <w:noWrap w:val="0"/>
                  <w:vAlign w:val="center"/>
                </w:tcPr>
                <w:p w14:paraId="461FC114">
                  <w:pPr>
                    <w:keepNext w:val="0"/>
                    <w:keepLines w:val="0"/>
                    <w:suppressLineNumbers w:val="0"/>
                    <w:spacing w:before="0" w:beforeAutospacing="0" w:after="0" w:afterAutospacing="0" w:line="240" w:lineRule="auto"/>
                    <w:ind w:left="0" w:right="0"/>
                    <w:jc w:val="center"/>
                    <w:rPr>
                      <w:rFonts w:hint="eastAsia" w:ascii="Times New Roman" w:hAnsi="Times New Roman" w:eastAsia="宋体"/>
                      <w:b/>
                      <w:bCs w:val="0"/>
                      <w:color w:val="auto"/>
                      <w:sz w:val="21"/>
                      <w:szCs w:val="21"/>
                      <w:highlight w:val="none"/>
                    </w:rPr>
                  </w:pPr>
                  <w:r>
                    <w:rPr>
                      <w:rFonts w:hint="eastAsia" w:ascii="Times New Roman" w:hAnsi="Times New Roman" w:eastAsia="宋体"/>
                      <w:b/>
                      <w:bCs w:val="0"/>
                      <w:color w:val="auto"/>
                      <w:sz w:val="21"/>
                      <w:szCs w:val="21"/>
                      <w:highlight w:val="none"/>
                    </w:rPr>
                    <w:t>监测时段</w:t>
                  </w:r>
                </w:p>
              </w:tc>
              <w:tc>
                <w:tcPr>
                  <w:tcW w:w="1195" w:type="dxa"/>
                  <w:noWrap w:val="0"/>
                  <w:vAlign w:val="center"/>
                </w:tcPr>
                <w:p w14:paraId="18177592">
                  <w:pPr>
                    <w:keepNext w:val="0"/>
                    <w:keepLines w:val="0"/>
                    <w:suppressLineNumbers w:val="0"/>
                    <w:spacing w:before="0" w:beforeAutospacing="0" w:after="0" w:afterAutospacing="0" w:line="240" w:lineRule="auto"/>
                    <w:ind w:left="0" w:right="0"/>
                    <w:jc w:val="center"/>
                    <w:rPr>
                      <w:rFonts w:hint="eastAsia" w:ascii="Times New Roman" w:hAnsi="Times New Roman" w:eastAsia="宋体"/>
                      <w:b/>
                      <w:bCs w:val="0"/>
                      <w:color w:val="auto"/>
                      <w:sz w:val="21"/>
                      <w:szCs w:val="21"/>
                      <w:highlight w:val="none"/>
                    </w:rPr>
                  </w:pPr>
                  <w:r>
                    <w:rPr>
                      <w:rFonts w:hint="eastAsia" w:ascii="Times New Roman" w:hAnsi="Times New Roman" w:eastAsia="宋体"/>
                      <w:b/>
                      <w:bCs w:val="0"/>
                      <w:color w:val="auto"/>
                      <w:sz w:val="21"/>
                      <w:szCs w:val="21"/>
                      <w:highlight w:val="none"/>
                    </w:rPr>
                    <w:t>相对厂址方向</w:t>
                  </w:r>
                </w:p>
              </w:tc>
              <w:tc>
                <w:tcPr>
                  <w:tcW w:w="1163" w:type="dxa"/>
                  <w:noWrap w:val="0"/>
                  <w:vAlign w:val="center"/>
                </w:tcPr>
                <w:p w14:paraId="72A04B3B">
                  <w:pPr>
                    <w:keepNext w:val="0"/>
                    <w:keepLines w:val="0"/>
                    <w:suppressLineNumbers w:val="0"/>
                    <w:spacing w:before="0" w:beforeAutospacing="0" w:after="0" w:afterAutospacing="0" w:line="240" w:lineRule="auto"/>
                    <w:ind w:left="0" w:right="0"/>
                    <w:jc w:val="center"/>
                    <w:rPr>
                      <w:rFonts w:hint="default" w:ascii="Times New Roman" w:hAnsi="Times New Roman" w:eastAsia="宋体"/>
                      <w:b/>
                      <w:bCs w:val="0"/>
                      <w:color w:val="auto"/>
                      <w:sz w:val="21"/>
                      <w:szCs w:val="21"/>
                      <w:highlight w:val="none"/>
                    </w:rPr>
                  </w:pPr>
                  <w:r>
                    <w:rPr>
                      <w:rFonts w:hint="eastAsia" w:ascii="Times New Roman" w:hAnsi="Times New Roman" w:eastAsia="宋体"/>
                      <w:b/>
                      <w:bCs w:val="0"/>
                      <w:color w:val="auto"/>
                      <w:sz w:val="21"/>
                      <w:szCs w:val="21"/>
                      <w:highlight w:val="none"/>
                    </w:rPr>
                    <w:t>相对厂界距离/m</w:t>
                  </w:r>
                </w:p>
              </w:tc>
            </w:tr>
            <w:tr w14:paraId="7E68D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2473" w:type="dxa"/>
                  <w:noWrap w:val="0"/>
                  <w:vAlign w:val="center"/>
                </w:tcPr>
                <w:p w14:paraId="3B00D7A1">
                  <w:pPr>
                    <w:keepNext w:val="0"/>
                    <w:keepLines w:val="0"/>
                    <w:suppressLineNumbers w:val="0"/>
                    <w:spacing w:before="0" w:beforeAutospacing="0" w:after="0" w:afterAutospacing="0" w:line="240" w:lineRule="auto"/>
                    <w:ind w:left="0" w:right="0"/>
                    <w:jc w:val="center"/>
                    <w:rPr>
                      <w:rFonts w:hint="default" w:ascii="Times New Roman" w:hAnsi="Times New Roman" w:eastAsia="宋体"/>
                      <w:color w:val="auto"/>
                      <w:sz w:val="21"/>
                      <w:szCs w:val="21"/>
                      <w:highlight w:val="none"/>
                    </w:rPr>
                  </w:pPr>
                  <w:r>
                    <w:rPr>
                      <w:rFonts w:hint="eastAsia" w:ascii="Times New Roman" w:hAnsi="Times New Roman" w:eastAsia="宋体" w:cs="Times New Roman"/>
                      <w:color w:val="auto"/>
                      <w:sz w:val="21"/>
                      <w:szCs w:val="21"/>
                      <w:highlight w:val="none"/>
                      <w:lang w:val="en-US" w:eastAsia="zh-CN"/>
                    </w:rPr>
                    <w:t>中山市大涌镇合强沥青拌和站项目所在地</w:t>
                  </w:r>
                </w:p>
              </w:tc>
              <w:tc>
                <w:tcPr>
                  <w:tcW w:w="1194" w:type="dxa"/>
                  <w:noWrap w:val="0"/>
                  <w:vAlign w:val="center"/>
                </w:tcPr>
                <w:p w14:paraId="0C3E56CD">
                  <w:pPr>
                    <w:keepNext w:val="0"/>
                    <w:keepLines w:val="0"/>
                    <w:suppressLineNumbers w:val="0"/>
                    <w:spacing w:before="0" w:beforeAutospacing="0" w:after="0" w:afterAutospacing="0" w:line="240" w:lineRule="auto"/>
                    <w:ind w:left="0" w:right="0"/>
                    <w:jc w:val="center"/>
                    <w:rPr>
                      <w:rFonts w:hint="eastAsia"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rPr>
                    <w:t>113.29144</w:t>
                  </w:r>
                </w:p>
              </w:tc>
              <w:tc>
                <w:tcPr>
                  <w:tcW w:w="1074" w:type="dxa"/>
                  <w:noWrap w:val="0"/>
                  <w:vAlign w:val="center"/>
                </w:tcPr>
                <w:p w14:paraId="5B0135BD">
                  <w:pPr>
                    <w:keepNext w:val="0"/>
                    <w:keepLines w:val="0"/>
                    <w:suppressLineNumbers w:val="0"/>
                    <w:spacing w:before="0" w:beforeAutospacing="0" w:after="0" w:afterAutospacing="0" w:line="240" w:lineRule="auto"/>
                    <w:ind w:left="0" w:right="0"/>
                    <w:jc w:val="center"/>
                    <w:rPr>
                      <w:rFonts w:hint="eastAsia" w:ascii="Times New Roman" w:hAnsi="Times New Roman" w:eastAsia="宋体"/>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22.4403</w:t>
                  </w:r>
                  <w:r>
                    <w:rPr>
                      <w:rFonts w:hint="eastAsia" w:ascii="Times New Roman" w:hAnsi="Times New Roman" w:eastAsia="宋体" w:cs="Times New Roman"/>
                      <w:bCs/>
                      <w:color w:val="auto"/>
                      <w:sz w:val="21"/>
                      <w:szCs w:val="21"/>
                      <w:highlight w:val="none"/>
                      <w:lang w:val="en-US" w:eastAsia="zh-CN"/>
                    </w:rPr>
                    <w:t>7</w:t>
                  </w:r>
                </w:p>
              </w:tc>
              <w:tc>
                <w:tcPr>
                  <w:tcW w:w="1139" w:type="dxa"/>
                  <w:noWrap w:val="0"/>
                  <w:vAlign w:val="center"/>
                </w:tcPr>
                <w:p w14:paraId="7F383356">
                  <w:pPr>
                    <w:keepNext w:val="0"/>
                    <w:keepLines w:val="0"/>
                    <w:suppressLineNumbers w:val="0"/>
                    <w:spacing w:before="0" w:beforeAutospacing="0" w:after="0" w:afterAutospacing="0" w:line="240" w:lineRule="auto"/>
                    <w:ind w:left="0" w:right="0"/>
                    <w:jc w:val="center"/>
                    <w:rPr>
                      <w:rFonts w:hint="eastAsia" w:ascii="Times New Roman" w:hAnsi="Times New Roman" w:eastAsia="宋体"/>
                      <w:color w:val="auto"/>
                      <w:spacing w:val="6"/>
                      <w:sz w:val="21"/>
                      <w:szCs w:val="21"/>
                      <w:highlight w:val="none"/>
                    </w:rPr>
                  </w:pPr>
                  <w:r>
                    <w:rPr>
                      <w:rFonts w:hint="eastAsia" w:ascii="Times New Roman" w:hAnsi="Times New Roman" w:eastAsia="宋体"/>
                      <w:color w:val="auto"/>
                      <w:spacing w:val="6"/>
                      <w:sz w:val="21"/>
                      <w:szCs w:val="21"/>
                      <w:highlight w:val="none"/>
                    </w:rPr>
                    <w:t>TSP</w:t>
                  </w:r>
                </w:p>
              </w:tc>
              <w:tc>
                <w:tcPr>
                  <w:tcW w:w="1819" w:type="dxa"/>
                  <w:noWrap w:val="0"/>
                  <w:vAlign w:val="center"/>
                </w:tcPr>
                <w:p w14:paraId="30D7FB20">
                  <w:pPr>
                    <w:keepNext w:val="0"/>
                    <w:keepLines w:val="0"/>
                    <w:suppressLineNumbers w:val="0"/>
                    <w:spacing w:before="0" w:beforeAutospacing="0" w:after="0" w:afterAutospacing="0" w:line="240" w:lineRule="auto"/>
                    <w:ind w:left="0" w:right="0"/>
                    <w:jc w:val="center"/>
                    <w:rPr>
                      <w:rFonts w:hint="default" w:ascii="Times New Roman" w:hAnsi="Times New Roman" w:eastAsia="宋体"/>
                      <w:color w:val="auto"/>
                      <w:spacing w:val="6"/>
                      <w:sz w:val="21"/>
                      <w:szCs w:val="21"/>
                      <w:highlight w:val="none"/>
                      <w:lang w:val="en-US"/>
                    </w:rPr>
                  </w:pPr>
                  <w:r>
                    <w:rPr>
                      <w:rFonts w:hint="eastAsia" w:ascii="Times New Roman" w:hAnsi="Times New Roman" w:eastAsia="宋体"/>
                      <w:color w:val="auto"/>
                      <w:spacing w:val="6"/>
                      <w:sz w:val="21"/>
                      <w:szCs w:val="21"/>
                      <w:highlight w:val="none"/>
                    </w:rPr>
                    <w:t>20</w:t>
                  </w:r>
                  <w:r>
                    <w:rPr>
                      <w:rFonts w:hint="eastAsia" w:ascii="Times New Roman" w:hAnsi="Times New Roman" w:eastAsia="宋体"/>
                      <w:color w:val="auto"/>
                      <w:spacing w:val="6"/>
                      <w:sz w:val="21"/>
                      <w:szCs w:val="21"/>
                      <w:highlight w:val="none"/>
                      <w:lang w:eastAsia="zh-CN"/>
                    </w:rPr>
                    <w:t>2</w:t>
                  </w:r>
                  <w:r>
                    <w:rPr>
                      <w:rFonts w:hint="eastAsia" w:ascii="Times New Roman" w:hAnsi="Times New Roman" w:eastAsia="宋体"/>
                      <w:color w:val="auto"/>
                      <w:spacing w:val="6"/>
                      <w:sz w:val="21"/>
                      <w:szCs w:val="21"/>
                      <w:highlight w:val="none"/>
                      <w:lang w:val="en-US" w:eastAsia="zh-CN"/>
                    </w:rPr>
                    <w:t>4.01.04</w:t>
                  </w:r>
                  <w:r>
                    <w:rPr>
                      <w:rFonts w:hint="eastAsia"/>
                      <w:color w:val="auto"/>
                      <w:spacing w:val="6"/>
                      <w:sz w:val="21"/>
                      <w:szCs w:val="21"/>
                      <w:highlight w:val="none"/>
                      <w:lang w:val="en-US" w:eastAsia="zh-CN"/>
                    </w:rPr>
                    <w:t xml:space="preserve"> </w:t>
                  </w:r>
                  <w:r>
                    <w:rPr>
                      <w:rFonts w:hint="eastAsia" w:ascii="Times New Roman" w:hAnsi="Times New Roman" w:eastAsia="宋体"/>
                      <w:color w:val="auto"/>
                      <w:spacing w:val="6"/>
                      <w:sz w:val="21"/>
                      <w:szCs w:val="21"/>
                      <w:highlight w:val="none"/>
                      <w:lang w:val="en-US" w:eastAsia="zh-CN"/>
                    </w:rPr>
                    <w:t>01.06</w:t>
                  </w:r>
                </w:p>
              </w:tc>
              <w:tc>
                <w:tcPr>
                  <w:tcW w:w="1195" w:type="dxa"/>
                  <w:noWrap w:val="0"/>
                  <w:vAlign w:val="center"/>
                </w:tcPr>
                <w:p w14:paraId="451876F7">
                  <w:pPr>
                    <w:keepNext w:val="0"/>
                    <w:keepLines w:val="0"/>
                    <w:suppressLineNumbers w:val="0"/>
                    <w:spacing w:before="0" w:beforeAutospacing="0" w:after="0" w:afterAutospacing="0" w:line="240" w:lineRule="auto"/>
                    <w:ind w:left="0" w:right="0"/>
                    <w:jc w:val="center"/>
                    <w:rPr>
                      <w:rFonts w:hint="eastAsia"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西北</w:t>
                  </w:r>
                  <w:r>
                    <w:rPr>
                      <w:rFonts w:hint="eastAsia" w:ascii="Times New Roman" w:hAnsi="Times New Roman" w:eastAsia="宋体"/>
                      <w:bCs/>
                      <w:color w:val="auto"/>
                      <w:sz w:val="21"/>
                      <w:szCs w:val="21"/>
                      <w:highlight w:val="none"/>
                    </w:rPr>
                    <w:t>面</w:t>
                  </w:r>
                </w:p>
              </w:tc>
              <w:tc>
                <w:tcPr>
                  <w:tcW w:w="1163" w:type="dxa"/>
                  <w:noWrap w:val="0"/>
                  <w:vAlign w:val="center"/>
                </w:tcPr>
                <w:p w14:paraId="016F5E9F">
                  <w:pPr>
                    <w:keepNext w:val="0"/>
                    <w:keepLines w:val="0"/>
                    <w:suppressLineNumbers w:val="0"/>
                    <w:spacing w:before="0" w:beforeAutospacing="0" w:after="0" w:afterAutospacing="0" w:line="240" w:lineRule="auto"/>
                    <w:ind w:left="0" w:right="0"/>
                    <w:jc w:val="center"/>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950</w:t>
                  </w:r>
                </w:p>
              </w:tc>
            </w:tr>
          </w:tbl>
          <w:p w14:paraId="028DE22F">
            <w:pPr>
              <w:pStyle w:val="9"/>
              <w:numPr>
                <w:ilvl w:val="0"/>
                <w:numId w:val="8"/>
              </w:numPr>
              <w:suppressLineNumbers w:val="0"/>
              <w:spacing w:before="0" w:beforeAutospacing="0" w:after="0" w:afterAutospacing="0" w:line="240" w:lineRule="auto"/>
              <w:ind w:right="0"/>
              <w:jc w:val="center"/>
              <w:rPr>
                <w:rFonts w:hint="eastAsia" w:ascii="Times New Roman" w:hAnsi="Times New Roman" w:eastAsia="宋体" w:cs="Times New Roman"/>
                <w:b/>
                <w:color w:val="auto"/>
                <w:sz w:val="21"/>
                <w:szCs w:val="24"/>
                <w:lang w:val="en-US" w:eastAsia="zh-CN"/>
              </w:rPr>
            </w:pPr>
            <w:r>
              <w:rPr>
                <w:rFonts w:hint="eastAsia" w:ascii="Times New Roman" w:hAnsi="Times New Roman" w:eastAsia="宋体" w:cs="Times New Roman"/>
                <w:b/>
                <w:color w:val="auto"/>
                <w:sz w:val="21"/>
                <w:szCs w:val="24"/>
                <w:lang w:val="en-US" w:eastAsia="zh-CN"/>
              </w:rPr>
              <w:t>补充污染物环境质量现状（监测结果）表</w:t>
            </w:r>
          </w:p>
          <w:tbl>
            <w:tblPr>
              <w:tblStyle w:val="48"/>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2"/>
              <w:gridCol w:w="954"/>
              <w:gridCol w:w="879"/>
              <w:gridCol w:w="1473"/>
              <w:gridCol w:w="1694"/>
              <w:gridCol w:w="1177"/>
              <w:gridCol w:w="1088"/>
              <w:gridCol w:w="729"/>
            </w:tblGrid>
            <w:tr w14:paraId="53E52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0" w:type="pct"/>
                  <w:noWrap w:val="0"/>
                  <w:vAlign w:val="center"/>
                </w:tcPr>
                <w:p w14:paraId="21F44B4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b/>
                      <w:bCs w:val="0"/>
                      <w:color w:val="auto"/>
                      <w:sz w:val="21"/>
                      <w:szCs w:val="21"/>
                      <w:highlight w:val="none"/>
                    </w:rPr>
                  </w:pPr>
                  <w:r>
                    <w:rPr>
                      <w:rFonts w:hint="eastAsia" w:ascii="Times New Roman" w:hAnsi="Times New Roman" w:eastAsia="宋体"/>
                      <w:b/>
                      <w:bCs w:val="0"/>
                      <w:color w:val="auto"/>
                      <w:sz w:val="21"/>
                      <w:szCs w:val="21"/>
                      <w:highlight w:val="none"/>
                    </w:rPr>
                    <w:t>监测点位</w:t>
                  </w:r>
                </w:p>
              </w:tc>
              <w:tc>
                <w:tcPr>
                  <w:tcW w:w="482" w:type="pct"/>
                  <w:noWrap w:val="0"/>
                  <w:vAlign w:val="center"/>
                </w:tcPr>
                <w:p w14:paraId="60D53AD0">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b/>
                      <w:bCs w:val="0"/>
                      <w:color w:val="auto"/>
                      <w:sz w:val="21"/>
                      <w:szCs w:val="21"/>
                      <w:highlight w:val="none"/>
                    </w:rPr>
                  </w:pPr>
                  <w:r>
                    <w:rPr>
                      <w:rFonts w:hint="eastAsia" w:ascii="Times New Roman" w:hAnsi="Times New Roman" w:eastAsia="宋体"/>
                      <w:b/>
                      <w:bCs w:val="0"/>
                      <w:color w:val="auto"/>
                      <w:sz w:val="21"/>
                      <w:szCs w:val="21"/>
                      <w:highlight w:val="none"/>
                    </w:rPr>
                    <w:t>污染物</w:t>
                  </w:r>
                </w:p>
              </w:tc>
              <w:tc>
                <w:tcPr>
                  <w:tcW w:w="444" w:type="pct"/>
                  <w:noWrap w:val="0"/>
                  <w:vAlign w:val="center"/>
                </w:tcPr>
                <w:p w14:paraId="71507EF7">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b/>
                      <w:bCs w:val="0"/>
                      <w:color w:val="auto"/>
                      <w:sz w:val="21"/>
                      <w:szCs w:val="21"/>
                      <w:highlight w:val="none"/>
                    </w:rPr>
                  </w:pPr>
                  <w:r>
                    <w:rPr>
                      <w:rFonts w:hint="eastAsia" w:ascii="Times New Roman" w:hAnsi="Times New Roman" w:eastAsia="宋体"/>
                      <w:b/>
                      <w:bCs w:val="0"/>
                      <w:color w:val="auto"/>
                      <w:sz w:val="21"/>
                      <w:szCs w:val="21"/>
                      <w:highlight w:val="none"/>
                    </w:rPr>
                    <w:t>平均时间</w:t>
                  </w:r>
                </w:p>
              </w:tc>
              <w:tc>
                <w:tcPr>
                  <w:tcW w:w="744" w:type="pct"/>
                  <w:noWrap w:val="0"/>
                  <w:vAlign w:val="center"/>
                </w:tcPr>
                <w:p w14:paraId="7D4D8E7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b/>
                      <w:bCs w:val="0"/>
                      <w:color w:val="auto"/>
                      <w:sz w:val="21"/>
                      <w:szCs w:val="21"/>
                      <w:highlight w:val="none"/>
                      <w:lang w:eastAsia="zh-CN"/>
                    </w:rPr>
                  </w:pPr>
                  <w:r>
                    <w:rPr>
                      <w:rFonts w:hint="eastAsia" w:ascii="Times New Roman" w:hAnsi="Times New Roman" w:eastAsia="宋体"/>
                      <w:b/>
                      <w:bCs w:val="0"/>
                      <w:color w:val="auto"/>
                      <w:sz w:val="21"/>
                      <w:szCs w:val="21"/>
                      <w:highlight w:val="none"/>
                    </w:rPr>
                    <w:t>评价标准</w:t>
                  </w:r>
                  <w:r>
                    <w:rPr>
                      <w:rFonts w:hint="default" w:ascii="Times New Roman" w:hAnsi="Times New Roman" w:eastAsia="宋体"/>
                      <w:b/>
                      <w:color w:val="auto"/>
                      <w:sz w:val="21"/>
                      <w:szCs w:val="21"/>
                      <w:highlight w:val="none"/>
                    </w:rPr>
                    <w:t>（</w:t>
                  </w:r>
                  <w:r>
                    <w:rPr>
                      <w:rFonts w:hint="eastAsia" w:ascii="Times New Roman" w:hAnsi="Times New Roman" w:eastAsia="宋体"/>
                      <w:b/>
                      <w:color w:val="auto"/>
                      <w:sz w:val="21"/>
                      <w:szCs w:val="21"/>
                      <w:highlight w:val="none"/>
                      <w:lang w:val="en-US" w:eastAsia="zh-CN"/>
                    </w:rPr>
                    <w:t>m</w:t>
                  </w:r>
                  <w:r>
                    <w:rPr>
                      <w:rFonts w:hint="default" w:ascii="Times New Roman" w:hAnsi="Times New Roman" w:eastAsia="宋体"/>
                      <w:b/>
                      <w:color w:val="auto"/>
                      <w:sz w:val="21"/>
                      <w:szCs w:val="21"/>
                      <w:highlight w:val="none"/>
                    </w:rPr>
                    <w:t>g/m</w:t>
                  </w:r>
                  <w:r>
                    <w:rPr>
                      <w:rFonts w:hint="default" w:ascii="Times New Roman" w:hAnsi="Times New Roman" w:eastAsia="宋体"/>
                      <w:b/>
                      <w:color w:val="auto"/>
                      <w:sz w:val="21"/>
                      <w:szCs w:val="21"/>
                      <w:highlight w:val="none"/>
                      <w:vertAlign w:val="superscript"/>
                    </w:rPr>
                    <w:t>3</w:t>
                  </w:r>
                  <w:r>
                    <w:rPr>
                      <w:rFonts w:hint="default" w:ascii="Times New Roman" w:hAnsi="Times New Roman" w:eastAsia="宋体"/>
                      <w:b/>
                      <w:color w:val="auto"/>
                      <w:sz w:val="21"/>
                      <w:szCs w:val="21"/>
                      <w:highlight w:val="none"/>
                    </w:rPr>
                    <w:t>）</w:t>
                  </w:r>
                </w:p>
              </w:tc>
              <w:tc>
                <w:tcPr>
                  <w:tcW w:w="855" w:type="pct"/>
                  <w:noWrap w:val="0"/>
                  <w:vAlign w:val="center"/>
                </w:tcPr>
                <w:p w14:paraId="0FFFD87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b/>
                      <w:bCs w:val="0"/>
                      <w:color w:val="auto"/>
                      <w:sz w:val="21"/>
                      <w:szCs w:val="21"/>
                      <w:highlight w:val="none"/>
                      <w:lang w:eastAsia="zh-CN"/>
                    </w:rPr>
                  </w:pPr>
                  <w:r>
                    <w:rPr>
                      <w:rFonts w:hint="eastAsia" w:ascii="Times New Roman" w:hAnsi="Times New Roman" w:eastAsia="宋体"/>
                      <w:b/>
                      <w:bCs w:val="0"/>
                      <w:color w:val="auto"/>
                      <w:sz w:val="21"/>
                      <w:szCs w:val="21"/>
                      <w:highlight w:val="none"/>
                    </w:rPr>
                    <w:t>监测浓度范围（</w:t>
                  </w:r>
                  <w:r>
                    <w:rPr>
                      <w:rFonts w:hint="eastAsia" w:ascii="Times New Roman" w:hAnsi="Times New Roman" w:eastAsia="宋体"/>
                      <w:b/>
                      <w:color w:val="auto"/>
                      <w:sz w:val="21"/>
                      <w:szCs w:val="21"/>
                      <w:highlight w:val="none"/>
                      <w:lang w:val="en-US" w:eastAsia="zh-CN"/>
                    </w:rPr>
                    <w:t>m</w:t>
                  </w:r>
                  <w:r>
                    <w:rPr>
                      <w:rFonts w:hint="eastAsia" w:ascii="Times New Roman" w:hAnsi="Times New Roman" w:eastAsia="宋体"/>
                      <w:b/>
                      <w:bCs w:val="0"/>
                      <w:color w:val="auto"/>
                      <w:sz w:val="21"/>
                      <w:szCs w:val="21"/>
                      <w:highlight w:val="none"/>
                    </w:rPr>
                    <w:t>g/m</w:t>
                  </w:r>
                  <w:r>
                    <w:rPr>
                      <w:rFonts w:hint="eastAsia" w:ascii="Times New Roman" w:hAnsi="Times New Roman" w:eastAsia="宋体"/>
                      <w:b/>
                      <w:bCs w:val="0"/>
                      <w:color w:val="auto"/>
                      <w:sz w:val="21"/>
                      <w:szCs w:val="21"/>
                      <w:highlight w:val="none"/>
                      <w:vertAlign w:val="superscript"/>
                    </w:rPr>
                    <w:t>3</w:t>
                  </w:r>
                  <w:r>
                    <w:rPr>
                      <w:rFonts w:hint="eastAsia" w:ascii="Times New Roman" w:hAnsi="Times New Roman" w:eastAsia="宋体"/>
                      <w:b/>
                      <w:bCs w:val="0"/>
                      <w:color w:val="auto"/>
                      <w:sz w:val="21"/>
                      <w:szCs w:val="21"/>
                      <w:highlight w:val="none"/>
                    </w:rPr>
                    <w:t>）</w:t>
                  </w:r>
                </w:p>
              </w:tc>
              <w:tc>
                <w:tcPr>
                  <w:tcW w:w="594" w:type="pct"/>
                  <w:noWrap w:val="0"/>
                  <w:vAlign w:val="center"/>
                </w:tcPr>
                <w:p w14:paraId="6442513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b/>
                      <w:bCs w:val="0"/>
                      <w:color w:val="auto"/>
                      <w:sz w:val="21"/>
                      <w:szCs w:val="21"/>
                      <w:highlight w:val="none"/>
                    </w:rPr>
                  </w:pPr>
                  <w:r>
                    <w:rPr>
                      <w:rFonts w:hint="eastAsia" w:ascii="Times New Roman" w:hAnsi="Times New Roman" w:eastAsia="宋体"/>
                      <w:b/>
                      <w:bCs w:val="0"/>
                      <w:color w:val="auto"/>
                      <w:sz w:val="21"/>
                      <w:szCs w:val="21"/>
                      <w:highlight w:val="none"/>
                    </w:rPr>
                    <w:t>最大浓度占标率%</w:t>
                  </w:r>
                </w:p>
              </w:tc>
              <w:tc>
                <w:tcPr>
                  <w:tcW w:w="549" w:type="pct"/>
                  <w:noWrap w:val="0"/>
                  <w:vAlign w:val="center"/>
                </w:tcPr>
                <w:p w14:paraId="2CA2055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b/>
                      <w:bCs w:val="0"/>
                      <w:color w:val="auto"/>
                      <w:sz w:val="21"/>
                      <w:szCs w:val="21"/>
                      <w:highlight w:val="none"/>
                    </w:rPr>
                  </w:pPr>
                  <w:r>
                    <w:rPr>
                      <w:rFonts w:hint="eastAsia" w:ascii="Times New Roman" w:hAnsi="Times New Roman" w:eastAsia="宋体"/>
                      <w:b/>
                      <w:bCs w:val="0"/>
                      <w:color w:val="auto"/>
                      <w:sz w:val="21"/>
                      <w:szCs w:val="21"/>
                      <w:highlight w:val="none"/>
                    </w:rPr>
                    <w:t>超标率%</w:t>
                  </w:r>
                </w:p>
              </w:tc>
              <w:tc>
                <w:tcPr>
                  <w:tcW w:w="368" w:type="pct"/>
                  <w:noWrap w:val="0"/>
                  <w:vAlign w:val="center"/>
                </w:tcPr>
                <w:p w14:paraId="7CD437C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b/>
                      <w:bCs w:val="0"/>
                      <w:color w:val="auto"/>
                      <w:sz w:val="21"/>
                      <w:szCs w:val="21"/>
                      <w:highlight w:val="none"/>
                    </w:rPr>
                  </w:pPr>
                  <w:r>
                    <w:rPr>
                      <w:rFonts w:hint="eastAsia" w:ascii="Times New Roman" w:hAnsi="Times New Roman" w:eastAsia="宋体"/>
                      <w:b/>
                      <w:bCs w:val="0"/>
                      <w:color w:val="auto"/>
                      <w:sz w:val="21"/>
                      <w:szCs w:val="21"/>
                      <w:highlight w:val="none"/>
                    </w:rPr>
                    <w:t>达标情况</w:t>
                  </w:r>
                </w:p>
              </w:tc>
            </w:tr>
            <w:tr w14:paraId="19D69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960" w:type="pct"/>
                  <w:noWrap w:val="0"/>
                  <w:vAlign w:val="center"/>
                </w:tcPr>
                <w:p w14:paraId="719306E7">
                  <w:pPr>
                    <w:keepNext w:val="0"/>
                    <w:keepLines w:val="0"/>
                    <w:suppressLineNumbers w:val="0"/>
                    <w:spacing w:before="0" w:beforeAutospacing="0" w:after="0" w:afterAutospacing="0" w:line="240" w:lineRule="auto"/>
                    <w:ind w:left="0" w:right="0"/>
                    <w:jc w:val="center"/>
                    <w:rPr>
                      <w:rFonts w:hint="default" w:ascii="Times New Roman" w:hAnsi="Times New Roman" w:eastAsia="宋体"/>
                      <w:color w:val="auto"/>
                      <w:sz w:val="21"/>
                      <w:szCs w:val="21"/>
                      <w:highlight w:val="none"/>
                    </w:rPr>
                  </w:pPr>
                  <w:r>
                    <w:rPr>
                      <w:rFonts w:hint="eastAsia" w:ascii="Times New Roman" w:hAnsi="Times New Roman" w:eastAsia="宋体" w:cs="Times New Roman"/>
                      <w:color w:val="auto"/>
                      <w:sz w:val="21"/>
                      <w:szCs w:val="21"/>
                      <w:highlight w:val="none"/>
                      <w:lang w:val="en-US" w:eastAsia="zh-CN"/>
                    </w:rPr>
                    <w:t>中山市大涌镇合强沥青拌和站项目所在地</w:t>
                  </w:r>
                </w:p>
              </w:tc>
              <w:tc>
                <w:tcPr>
                  <w:tcW w:w="482" w:type="pct"/>
                  <w:noWrap w:val="0"/>
                  <w:vAlign w:val="center"/>
                </w:tcPr>
                <w:p w14:paraId="1236978B">
                  <w:pPr>
                    <w:keepNext w:val="0"/>
                    <w:keepLines w:val="0"/>
                    <w:suppressLineNumbers w:val="0"/>
                    <w:spacing w:before="0" w:beforeAutospacing="0" w:after="0" w:afterAutospacing="0" w:line="240" w:lineRule="auto"/>
                    <w:ind w:left="0" w:right="0"/>
                    <w:jc w:val="center"/>
                    <w:rPr>
                      <w:rFonts w:hint="default" w:ascii="Times New Roman" w:hAnsi="Times New Roman" w:eastAsia="宋体"/>
                      <w:color w:val="auto"/>
                      <w:spacing w:val="6"/>
                      <w:sz w:val="21"/>
                      <w:szCs w:val="21"/>
                      <w:highlight w:val="none"/>
                    </w:rPr>
                  </w:pPr>
                  <w:r>
                    <w:rPr>
                      <w:rFonts w:hint="eastAsia" w:ascii="Times New Roman" w:hAnsi="Times New Roman" w:eastAsia="宋体"/>
                      <w:color w:val="auto"/>
                      <w:spacing w:val="6"/>
                      <w:sz w:val="21"/>
                      <w:szCs w:val="21"/>
                      <w:highlight w:val="none"/>
                    </w:rPr>
                    <w:t>TSP</w:t>
                  </w:r>
                </w:p>
              </w:tc>
              <w:tc>
                <w:tcPr>
                  <w:tcW w:w="444" w:type="pct"/>
                  <w:noWrap w:val="0"/>
                  <w:vAlign w:val="center"/>
                </w:tcPr>
                <w:p w14:paraId="6735CF28">
                  <w:pPr>
                    <w:keepNext w:val="0"/>
                    <w:keepLines w:val="0"/>
                    <w:suppressLineNumbers w:val="0"/>
                    <w:spacing w:before="0" w:beforeAutospacing="0" w:after="0" w:afterAutospacing="0" w:line="240" w:lineRule="auto"/>
                    <w:ind w:left="0" w:right="0"/>
                    <w:jc w:val="center"/>
                    <w:rPr>
                      <w:rFonts w:hint="eastAsia" w:ascii="Times New Roman" w:hAnsi="Times New Roman" w:eastAsia="宋体"/>
                      <w:color w:val="auto"/>
                      <w:spacing w:val="6"/>
                      <w:sz w:val="21"/>
                      <w:szCs w:val="21"/>
                      <w:highlight w:val="none"/>
                      <w:lang w:eastAsia="zh-CN"/>
                    </w:rPr>
                  </w:pPr>
                  <w:r>
                    <w:rPr>
                      <w:rFonts w:hint="eastAsia" w:ascii="Times New Roman" w:hAnsi="Times New Roman" w:eastAsia="宋体"/>
                      <w:color w:val="auto"/>
                      <w:spacing w:val="6"/>
                      <w:sz w:val="21"/>
                      <w:szCs w:val="21"/>
                      <w:highlight w:val="none"/>
                    </w:rPr>
                    <w:t>日均值</w:t>
                  </w:r>
                </w:p>
              </w:tc>
              <w:tc>
                <w:tcPr>
                  <w:tcW w:w="744" w:type="pct"/>
                  <w:noWrap w:val="0"/>
                  <w:vAlign w:val="center"/>
                </w:tcPr>
                <w:p w14:paraId="29108C53">
                  <w:pPr>
                    <w:keepNext w:val="0"/>
                    <w:keepLines w:val="0"/>
                    <w:suppressLineNumbers w:val="0"/>
                    <w:spacing w:before="0" w:beforeAutospacing="0" w:after="0" w:afterAutospacing="0" w:line="240" w:lineRule="auto"/>
                    <w:ind w:left="0" w:right="0"/>
                    <w:jc w:val="center"/>
                    <w:rPr>
                      <w:rFonts w:hint="default" w:ascii="Times New Roman" w:hAnsi="Times New Roman" w:eastAsia="宋体"/>
                      <w:color w:val="auto"/>
                      <w:spacing w:val="6"/>
                      <w:sz w:val="21"/>
                      <w:szCs w:val="21"/>
                      <w:highlight w:val="none"/>
                      <w:lang w:val="en-US" w:eastAsia="zh-CN"/>
                    </w:rPr>
                  </w:pPr>
                  <w:r>
                    <w:rPr>
                      <w:rFonts w:hint="eastAsia" w:ascii="Times New Roman" w:hAnsi="Times New Roman" w:eastAsia="宋体"/>
                      <w:color w:val="auto"/>
                      <w:spacing w:val="6"/>
                      <w:sz w:val="21"/>
                      <w:szCs w:val="21"/>
                      <w:highlight w:val="none"/>
                    </w:rPr>
                    <w:t>0.3</w:t>
                  </w:r>
                </w:p>
              </w:tc>
              <w:tc>
                <w:tcPr>
                  <w:tcW w:w="855" w:type="pct"/>
                  <w:noWrap w:val="0"/>
                  <w:vAlign w:val="center"/>
                </w:tcPr>
                <w:p w14:paraId="2E49AF3A">
                  <w:pPr>
                    <w:keepNext w:val="0"/>
                    <w:keepLines w:val="0"/>
                    <w:suppressLineNumbers w:val="0"/>
                    <w:spacing w:before="0" w:beforeAutospacing="0" w:after="0" w:afterAutospacing="0" w:line="240" w:lineRule="auto"/>
                    <w:ind w:left="0" w:right="0"/>
                    <w:jc w:val="center"/>
                    <w:rPr>
                      <w:rFonts w:hint="default" w:ascii="Times New Roman" w:hAnsi="Times New Roman" w:eastAsia="宋体"/>
                      <w:color w:val="auto"/>
                      <w:spacing w:val="6"/>
                      <w:sz w:val="21"/>
                      <w:szCs w:val="21"/>
                      <w:highlight w:val="none"/>
                      <w:lang w:val="en-US" w:eastAsia="zh-CN"/>
                    </w:rPr>
                  </w:pPr>
                  <w:r>
                    <w:rPr>
                      <w:rFonts w:hint="eastAsia" w:ascii="Times New Roman" w:hAnsi="Times New Roman" w:eastAsia="宋体"/>
                      <w:color w:val="auto"/>
                      <w:spacing w:val="6"/>
                      <w:sz w:val="21"/>
                      <w:szCs w:val="21"/>
                      <w:highlight w:val="none"/>
                    </w:rPr>
                    <w:t>0</w:t>
                  </w:r>
                  <w:r>
                    <w:rPr>
                      <w:rFonts w:hint="eastAsia" w:ascii="Times New Roman" w:hAnsi="Times New Roman" w:eastAsia="宋体"/>
                      <w:color w:val="auto"/>
                      <w:spacing w:val="6"/>
                      <w:sz w:val="21"/>
                      <w:szCs w:val="21"/>
                      <w:highlight w:val="none"/>
                      <w:lang w:val="en-US" w:eastAsia="zh-CN"/>
                    </w:rPr>
                    <w:t>.207</w:t>
                  </w:r>
                  <w:r>
                    <w:rPr>
                      <w:rFonts w:hint="eastAsia" w:ascii="Times New Roman" w:hAnsi="Times New Roman" w:eastAsia="宋体"/>
                      <w:color w:val="auto"/>
                      <w:spacing w:val="6"/>
                      <w:sz w:val="21"/>
                      <w:szCs w:val="21"/>
                      <w:highlight w:val="none"/>
                    </w:rPr>
                    <w:t>~0.</w:t>
                  </w:r>
                  <w:r>
                    <w:rPr>
                      <w:rFonts w:hint="eastAsia" w:ascii="Times New Roman" w:hAnsi="Times New Roman" w:eastAsia="宋体"/>
                      <w:color w:val="auto"/>
                      <w:spacing w:val="6"/>
                      <w:sz w:val="21"/>
                      <w:szCs w:val="21"/>
                      <w:highlight w:val="none"/>
                      <w:lang w:val="en-US" w:eastAsia="zh-CN"/>
                    </w:rPr>
                    <w:t>220</w:t>
                  </w:r>
                </w:p>
              </w:tc>
              <w:tc>
                <w:tcPr>
                  <w:tcW w:w="594" w:type="pct"/>
                  <w:noWrap w:val="0"/>
                  <w:vAlign w:val="center"/>
                </w:tcPr>
                <w:p w14:paraId="2EB46417">
                  <w:pPr>
                    <w:keepNext w:val="0"/>
                    <w:keepLines w:val="0"/>
                    <w:suppressLineNumbers w:val="0"/>
                    <w:spacing w:before="0" w:beforeAutospacing="0" w:after="0" w:afterAutospacing="0" w:line="240" w:lineRule="auto"/>
                    <w:ind w:left="0" w:right="0"/>
                    <w:jc w:val="center"/>
                    <w:rPr>
                      <w:rFonts w:hint="default" w:ascii="Times New Roman" w:hAnsi="Times New Roman" w:eastAsia="宋体"/>
                      <w:bCs/>
                      <w:color w:val="auto"/>
                      <w:sz w:val="21"/>
                      <w:szCs w:val="21"/>
                      <w:highlight w:val="none"/>
                      <w:lang w:val="en-US"/>
                    </w:rPr>
                  </w:pPr>
                  <w:r>
                    <w:rPr>
                      <w:rFonts w:hint="eastAsia" w:ascii="Times New Roman" w:hAnsi="Times New Roman" w:eastAsia="宋体"/>
                      <w:bCs/>
                      <w:color w:val="auto"/>
                      <w:sz w:val="21"/>
                      <w:szCs w:val="21"/>
                      <w:highlight w:val="none"/>
                      <w:lang w:val="en-US" w:eastAsia="zh-CN"/>
                    </w:rPr>
                    <w:t>73.33</w:t>
                  </w:r>
                </w:p>
              </w:tc>
              <w:tc>
                <w:tcPr>
                  <w:tcW w:w="549" w:type="pct"/>
                  <w:noWrap w:val="0"/>
                  <w:vAlign w:val="center"/>
                </w:tcPr>
                <w:p w14:paraId="41F4E78C">
                  <w:pPr>
                    <w:keepNext w:val="0"/>
                    <w:keepLines w:val="0"/>
                    <w:suppressLineNumbers w:val="0"/>
                    <w:spacing w:before="0" w:beforeAutospacing="0" w:after="0" w:afterAutospacing="0" w:line="240" w:lineRule="auto"/>
                    <w:ind w:left="0" w:right="0"/>
                    <w:jc w:val="center"/>
                    <w:rPr>
                      <w:rFonts w:hint="eastAsia" w:ascii="Times New Roman" w:hAnsi="Times New Roman" w:eastAsia="宋体"/>
                      <w:bCs/>
                      <w:color w:val="auto"/>
                      <w:sz w:val="21"/>
                      <w:szCs w:val="21"/>
                      <w:highlight w:val="none"/>
                      <w:lang w:eastAsia="zh-CN"/>
                    </w:rPr>
                  </w:pPr>
                  <w:r>
                    <w:rPr>
                      <w:rFonts w:hint="eastAsia" w:ascii="Times New Roman" w:hAnsi="Times New Roman" w:eastAsia="宋体"/>
                      <w:bCs/>
                      <w:color w:val="auto"/>
                      <w:sz w:val="21"/>
                      <w:szCs w:val="21"/>
                      <w:highlight w:val="none"/>
                    </w:rPr>
                    <w:t>0</w:t>
                  </w:r>
                </w:p>
              </w:tc>
              <w:tc>
                <w:tcPr>
                  <w:tcW w:w="368" w:type="pct"/>
                  <w:noWrap w:val="0"/>
                  <w:vAlign w:val="center"/>
                </w:tcPr>
                <w:p w14:paraId="20AEF082">
                  <w:pPr>
                    <w:keepNext w:val="0"/>
                    <w:keepLines w:val="0"/>
                    <w:suppressLineNumbers w:val="0"/>
                    <w:spacing w:before="0" w:beforeAutospacing="0" w:after="0" w:afterAutospacing="0" w:line="240" w:lineRule="auto"/>
                    <w:ind w:left="0" w:right="0"/>
                    <w:jc w:val="center"/>
                    <w:rPr>
                      <w:rFonts w:hint="eastAsia"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rPr>
                    <w:t>达标</w:t>
                  </w:r>
                </w:p>
              </w:tc>
            </w:tr>
          </w:tbl>
          <w:p w14:paraId="2CF5076A">
            <w:pPr>
              <w:pStyle w:val="72"/>
              <w:keepNext w:val="0"/>
              <w:keepLines w:val="0"/>
              <w:framePr w:hSpace="0" w:wrap="auto" w:vAnchor="margin" w:hAnchor="text" w:xAlign="left" w:yAlign="inline"/>
              <w:suppressLineNumbers w:val="0"/>
              <w:spacing w:before="0" w:beforeAutospacing="0" w:after="0" w:afterAutospacing="0"/>
              <w:ind w:left="0" w:right="0" w:firstLine="420" w:firstLineChars="200"/>
              <w:jc w:val="left"/>
              <w:rPr>
                <w:rFonts w:hint="eastAsia" w:ascii="Times New Roman" w:hAnsi="Times New Roman" w:eastAsia="宋体" w:cs="Times New Roman"/>
                <w:color w:val="auto"/>
                <w:sz w:val="21"/>
                <w:szCs w:val="24"/>
                <w:highlight w:val="none"/>
                <w:lang w:eastAsia="zh-CN"/>
              </w:rPr>
            </w:pPr>
            <w:r>
              <w:rPr>
                <w:rFonts w:hint="default" w:ascii="Times New Roman" w:hAnsi="Times New Roman" w:eastAsia="宋体" w:cs="Times New Roman"/>
                <w:color w:val="auto"/>
                <w:kern w:val="2"/>
                <w:sz w:val="21"/>
                <w:szCs w:val="24"/>
                <w:highlight w:val="none"/>
                <w:lang w:val="en-US" w:eastAsia="zh-CN" w:bidi="ar-SA"/>
              </w:rPr>
              <w:t>由以上监测结果看出，本项目周边的TSP现状监测</w:t>
            </w:r>
            <w:r>
              <w:rPr>
                <w:rFonts w:hint="eastAsia" w:cs="Times New Roman"/>
                <w:color w:val="auto"/>
                <w:kern w:val="2"/>
                <w:sz w:val="21"/>
                <w:szCs w:val="24"/>
                <w:highlight w:val="none"/>
                <w:lang w:val="en-US" w:eastAsia="zh-CN" w:bidi="ar-SA"/>
              </w:rPr>
              <w:t>结果</w:t>
            </w:r>
            <w:r>
              <w:rPr>
                <w:rFonts w:hint="default" w:ascii="Times New Roman" w:hAnsi="Times New Roman" w:eastAsia="宋体" w:cs="Times New Roman"/>
                <w:color w:val="auto"/>
                <w:kern w:val="2"/>
                <w:sz w:val="21"/>
                <w:szCs w:val="24"/>
                <w:highlight w:val="none"/>
                <w:lang w:val="en-US" w:eastAsia="zh-CN" w:bidi="ar-SA"/>
              </w:rPr>
              <w:t>达到《环境空气质量标准》（GB3095</w:t>
            </w:r>
            <w:r>
              <w:rPr>
                <w:rFonts w:hint="eastAsia" w:cs="Times New Roman"/>
                <w:color w:val="auto"/>
                <w:kern w:val="2"/>
                <w:sz w:val="21"/>
                <w:szCs w:val="24"/>
                <w:highlight w:val="none"/>
                <w:lang w:val="en-US" w:eastAsia="zh-CN" w:bidi="ar-SA"/>
              </w:rPr>
              <w:t>-</w:t>
            </w:r>
            <w:r>
              <w:rPr>
                <w:rFonts w:hint="default" w:ascii="Times New Roman" w:hAnsi="Times New Roman" w:eastAsia="宋体" w:cs="Times New Roman"/>
                <w:color w:val="auto"/>
                <w:kern w:val="2"/>
                <w:sz w:val="21"/>
                <w:szCs w:val="24"/>
                <w:highlight w:val="none"/>
                <w:lang w:val="en-US" w:eastAsia="zh-CN" w:bidi="ar-SA"/>
              </w:rPr>
              <w:t>20</w:t>
            </w:r>
            <w:r>
              <w:rPr>
                <w:rFonts w:hint="eastAsia" w:ascii="Times New Roman" w:hAnsi="Times New Roman" w:eastAsia="宋体" w:cs="Times New Roman"/>
                <w:color w:val="auto"/>
                <w:kern w:val="2"/>
                <w:sz w:val="21"/>
                <w:szCs w:val="24"/>
                <w:highlight w:val="none"/>
                <w:lang w:val="en-US" w:eastAsia="zh-CN" w:bidi="ar-SA"/>
              </w:rPr>
              <w:t>26</w:t>
            </w:r>
            <w:r>
              <w:rPr>
                <w:rFonts w:hint="default" w:ascii="Times New Roman" w:hAnsi="Times New Roman" w:eastAsia="宋体" w:cs="Times New Roman"/>
                <w:color w:val="auto"/>
                <w:kern w:val="2"/>
                <w:sz w:val="21"/>
                <w:szCs w:val="24"/>
                <w:highlight w:val="none"/>
                <w:lang w:val="en-US" w:eastAsia="zh-CN" w:bidi="ar-SA"/>
              </w:rPr>
              <w:t>）</w:t>
            </w:r>
            <w:r>
              <w:rPr>
                <w:rFonts w:hint="eastAsia" w:ascii="Times New Roman" w:hAnsi="Times New Roman" w:eastAsia="宋体" w:cs="Times New Roman"/>
                <w:color w:val="auto"/>
                <w:kern w:val="2"/>
                <w:sz w:val="21"/>
                <w:szCs w:val="24"/>
                <w:highlight w:val="none"/>
                <w:lang w:val="en-US" w:eastAsia="zh-CN" w:bidi="ar-SA"/>
              </w:rPr>
              <w:t>中表2</w:t>
            </w:r>
            <w:r>
              <w:rPr>
                <w:rFonts w:hint="default" w:ascii="Times New Roman" w:hAnsi="Times New Roman" w:eastAsia="宋体" w:cs="Times New Roman"/>
                <w:color w:val="auto"/>
                <w:kern w:val="2"/>
                <w:sz w:val="21"/>
                <w:szCs w:val="24"/>
                <w:highlight w:val="none"/>
                <w:lang w:val="en-US" w:eastAsia="zh-CN" w:bidi="ar-SA"/>
              </w:rPr>
              <w:t>二级标准，表示该区域大气环境良好</w:t>
            </w:r>
            <w:r>
              <w:rPr>
                <w:rFonts w:hint="eastAsia" w:ascii="Times New Roman" w:hAnsi="Times New Roman" w:eastAsia="宋体" w:cs="Times New Roman"/>
                <w:color w:val="auto"/>
                <w:sz w:val="21"/>
                <w:szCs w:val="24"/>
                <w:highlight w:val="none"/>
                <w:lang w:eastAsia="zh-CN"/>
              </w:rPr>
              <w:t>。</w:t>
            </w:r>
          </w:p>
          <w:p w14:paraId="5D9BCA3D">
            <w:pPr>
              <w:pStyle w:val="74"/>
              <w:keepNext w:val="0"/>
              <w:keepLines w:val="0"/>
              <w:suppressLineNumbers w:val="0"/>
              <w:spacing w:before="0" w:beforeAutospacing="0" w:after="0" w:afterAutospacing="0"/>
              <w:ind w:left="0" w:leftChars="0" w:right="0" w:firstLine="0" w:firstLineChars="0"/>
              <w:jc w:val="center"/>
              <w:rPr>
                <w:rFonts w:hint="default"/>
                <w:color w:val="auto"/>
              </w:rPr>
            </w:pPr>
            <w:r>
              <w:rPr>
                <w:rFonts w:hint="default"/>
                <w:color w:val="auto"/>
              </w:rPr>
              <w:drawing>
                <wp:inline distT="0" distB="0" distL="114300" distR="114300">
                  <wp:extent cx="5115560" cy="3618230"/>
                  <wp:effectExtent l="0" t="0" r="8890" b="1270"/>
                  <wp:docPr id="2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
                          <pic:cNvPicPr>
                            <a:picLocks noChangeAspect="1"/>
                          </pic:cNvPicPr>
                        </pic:nvPicPr>
                        <pic:blipFill>
                          <a:blip r:embed="rId12"/>
                          <a:stretch>
                            <a:fillRect/>
                          </a:stretch>
                        </pic:blipFill>
                        <pic:spPr>
                          <a:xfrm>
                            <a:off x="0" y="0"/>
                            <a:ext cx="5115560" cy="3618230"/>
                          </a:xfrm>
                          <a:prstGeom prst="rect">
                            <a:avLst/>
                          </a:prstGeom>
                          <a:noFill/>
                          <a:ln>
                            <a:noFill/>
                          </a:ln>
                        </pic:spPr>
                      </pic:pic>
                    </a:graphicData>
                  </a:graphic>
                </wp:inline>
              </w:drawing>
            </w:r>
          </w:p>
          <w:p w14:paraId="366D3137">
            <w:pPr>
              <w:keepNext w:val="0"/>
              <w:keepLines w:val="0"/>
              <w:widowControl/>
              <w:suppressLineNumbers w:val="0"/>
              <w:spacing w:before="0" w:beforeAutospacing="0" w:after="0" w:afterAutospacing="0"/>
              <w:ind w:left="0" w:right="0"/>
              <w:jc w:val="center"/>
              <w:rPr>
                <w:rFonts w:hint="default"/>
                <w:color w:val="auto"/>
              </w:rPr>
            </w:pPr>
            <w:r>
              <w:rPr>
                <w:rFonts w:hint="eastAsia" w:ascii="宋体" w:hAnsi="宋体" w:eastAsia="宋体" w:cs="宋体"/>
                <w:b/>
                <w:bCs/>
                <w:color w:val="auto"/>
                <w:kern w:val="0"/>
                <w:sz w:val="20"/>
                <w:szCs w:val="20"/>
                <w:lang w:val="en-US" w:eastAsia="zh-CN" w:bidi="ar"/>
              </w:rPr>
              <w:t>图</w:t>
            </w:r>
            <w:r>
              <w:rPr>
                <w:rFonts w:hint="eastAsia" w:ascii="宋体" w:hAnsi="宋体" w:cs="宋体"/>
                <w:b/>
                <w:bCs/>
                <w:color w:val="auto"/>
                <w:kern w:val="0"/>
                <w:sz w:val="20"/>
                <w:szCs w:val="20"/>
                <w:lang w:val="en-US" w:eastAsia="zh-CN" w:bidi="ar"/>
              </w:rPr>
              <w:t>7</w:t>
            </w:r>
            <w:r>
              <w:rPr>
                <w:rFonts w:hint="eastAsia" w:ascii="宋体" w:hAnsi="宋体" w:eastAsia="宋体" w:cs="宋体"/>
                <w:b/>
                <w:bCs/>
                <w:color w:val="auto"/>
                <w:kern w:val="0"/>
                <w:sz w:val="20"/>
                <w:szCs w:val="20"/>
                <w:lang w:val="en-US" w:eastAsia="zh-CN" w:bidi="ar"/>
              </w:rPr>
              <w:t>项目大气监测点位引用图</w:t>
            </w:r>
          </w:p>
          <w:p w14:paraId="4F2A3B22">
            <w:pPr>
              <w:keepNext w:val="0"/>
              <w:keepLines w:val="0"/>
              <w:suppressLineNumbers w:val="0"/>
              <w:adjustRightInd w:val="0"/>
              <w:snapToGrid w:val="0"/>
              <w:spacing w:before="0" w:beforeAutospacing="0" w:after="0" w:afterAutospacing="0" w:line="360" w:lineRule="auto"/>
              <w:ind w:left="0" w:right="0" w:firstLine="420" w:firstLineChars="200"/>
              <w:textAlignment w:val="baseline"/>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3、声环境质量现状</w:t>
            </w:r>
          </w:p>
          <w:p w14:paraId="222B6816">
            <w:pPr>
              <w:keepNext w:val="0"/>
              <w:keepLines w:val="0"/>
              <w:suppressLineNumbers w:val="0"/>
              <w:snapToGrid w:val="0"/>
              <w:spacing w:before="0" w:beforeAutospacing="0" w:after="0" w:afterAutospacing="0" w:line="360" w:lineRule="auto"/>
              <w:ind w:left="0" w:right="0" w:firstLine="420" w:firstLineChars="200"/>
              <w:rPr>
                <w:rFonts w:hint="default" w:ascii="Times New Roman" w:hAnsi="Times New Roman" w:eastAsia="宋体"/>
                <w:color w:val="auto"/>
                <w:sz w:val="21"/>
                <w:highlight w:val="none"/>
                <w:lang w:val="zh-CN"/>
              </w:rPr>
            </w:pPr>
            <w:r>
              <w:rPr>
                <w:rFonts w:hint="default" w:ascii="Times New Roman" w:hAnsi="Times New Roman" w:eastAsia="宋体"/>
                <w:b w:val="0"/>
                <w:bCs/>
                <w:color w:val="auto"/>
                <w:sz w:val="21"/>
                <w:szCs w:val="24"/>
                <w:highlight w:val="none"/>
                <w:lang w:val="en-US" w:eastAsia="zh-CN"/>
              </w:rPr>
              <w:t>根据《中山市声环境功能区划方案（202</w:t>
            </w:r>
            <w:r>
              <w:rPr>
                <w:rFonts w:hint="eastAsia" w:ascii="Times New Roman" w:hAnsi="Times New Roman" w:eastAsia="宋体"/>
                <w:b w:val="0"/>
                <w:bCs/>
                <w:color w:val="auto"/>
                <w:sz w:val="21"/>
                <w:szCs w:val="24"/>
                <w:highlight w:val="none"/>
                <w:lang w:val="en-US" w:eastAsia="zh-CN"/>
              </w:rPr>
              <w:t>1</w:t>
            </w:r>
            <w:r>
              <w:rPr>
                <w:rFonts w:hint="default" w:ascii="Times New Roman" w:hAnsi="Times New Roman" w:eastAsia="宋体"/>
                <w:b w:val="0"/>
                <w:bCs/>
                <w:color w:val="auto"/>
                <w:sz w:val="21"/>
                <w:szCs w:val="24"/>
                <w:highlight w:val="none"/>
                <w:lang w:val="en-US" w:eastAsia="zh-CN"/>
              </w:rPr>
              <w:t>年修编）》，项目属于</w:t>
            </w:r>
            <w:r>
              <w:rPr>
                <w:rFonts w:hint="eastAsia" w:ascii="Times New Roman" w:hAnsi="Times New Roman" w:eastAsia="宋体"/>
                <w:b w:val="0"/>
                <w:bCs/>
                <w:color w:val="auto"/>
                <w:sz w:val="21"/>
                <w:szCs w:val="24"/>
                <w:highlight w:val="none"/>
                <w:lang w:val="en-US" w:eastAsia="zh-CN"/>
              </w:rPr>
              <w:t>3</w:t>
            </w:r>
            <w:r>
              <w:rPr>
                <w:rFonts w:hint="default" w:ascii="Times New Roman" w:hAnsi="Times New Roman" w:eastAsia="宋体"/>
                <w:b w:val="0"/>
                <w:bCs/>
                <w:color w:val="auto"/>
                <w:sz w:val="21"/>
                <w:szCs w:val="24"/>
                <w:highlight w:val="none"/>
                <w:lang w:val="en-US" w:eastAsia="zh-CN"/>
              </w:rPr>
              <w:t>类声功能区，执行《声环境质量标准》（GB3096</w:t>
            </w:r>
            <w:r>
              <w:rPr>
                <w:rFonts w:hint="eastAsia"/>
                <w:b w:val="0"/>
                <w:bCs/>
                <w:color w:val="auto"/>
                <w:sz w:val="21"/>
                <w:szCs w:val="24"/>
                <w:highlight w:val="none"/>
                <w:lang w:val="en-US" w:eastAsia="zh-CN"/>
              </w:rPr>
              <w:t>-</w:t>
            </w:r>
            <w:r>
              <w:rPr>
                <w:rFonts w:hint="default" w:ascii="Times New Roman" w:hAnsi="Times New Roman" w:eastAsia="宋体"/>
                <w:b w:val="0"/>
                <w:bCs/>
                <w:color w:val="auto"/>
                <w:sz w:val="21"/>
                <w:szCs w:val="24"/>
                <w:highlight w:val="none"/>
                <w:lang w:val="en-US" w:eastAsia="zh-CN"/>
              </w:rPr>
              <w:t>2008）</w:t>
            </w:r>
            <w:r>
              <w:rPr>
                <w:rFonts w:hint="eastAsia" w:ascii="Times New Roman" w:hAnsi="Times New Roman" w:eastAsia="宋体" w:cs="Times New Roman"/>
                <w:b w:val="0"/>
                <w:bCs/>
                <w:color w:val="auto"/>
                <w:sz w:val="21"/>
                <w:szCs w:val="24"/>
                <w:highlight w:val="none"/>
                <w:lang w:val="en-US" w:eastAsia="zh-CN"/>
              </w:rPr>
              <w:t>3</w:t>
            </w:r>
            <w:r>
              <w:rPr>
                <w:rFonts w:hint="default" w:ascii="Times New Roman" w:hAnsi="Times New Roman" w:eastAsia="宋体"/>
                <w:b w:val="0"/>
                <w:bCs/>
                <w:color w:val="auto"/>
                <w:sz w:val="21"/>
                <w:szCs w:val="24"/>
                <w:highlight w:val="none"/>
                <w:lang w:val="en-US" w:eastAsia="zh-CN"/>
              </w:rPr>
              <w:t>类标准，即昼间≤6</w:t>
            </w:r>
            <w:r>
              <w:rPr>
                <w:rFonts w:hint="eastAsia" w:ascii="Times New Roman" w:hAnsi="Times New Roman" w:eastAsia="宋体" w:cs="Times New Roman"/>
                <w:b w:val="0"/>
                <w:bCs/>
                <w:color w:val="auto"/>
                <w:sz w:val="21"/>
                <w:szCs w:val="24"/>
                <w:highlight w:val="none"/>
                <w:lang w:val="en-US" w:eastAsia="zh-CN"/>
              </w:rPr>
              <w:t>5</w:t>
            </w:r>
            <w:r>
              <w:rPr>
                <w:rFonts w:hint="default" w:ascii="Times New Roman" w:hAnsi="Times New Roman" w:eastAsia="宋体"/>
                <w:b w:val="0"/>
                <w:bCs/>
                <w:color w:val="auto"/>
                <w:sz w:val="21"/>
                <w:szCs w:val="24"/>
                <w:highlight w:val="none"/>
                <w:lang w:val="en-US" w:eastAsia="zh-CN"/>
              </w:rPr>
              <w:t>dB(A</w:t>
            </w:r>
            <w:r>
              <w:rPr>
                <w:rFonts w:hint="eastAsia"/>
                <w:b w:val="0"/>
                <w:bCs/>
                <w:color w:val="auto"/>
                <w:sz w:val="21"/>
                <w:szCs w:val="24"/>
                <w:highlight w:val="none"/>
                <w:lang w:val="en-US" w:eastAsia="zh-CN"/>
              </w:rPr>
              <w:t>）</w:t>
            </w:r>
            <w:r>
              <w:rPr>
                <w:rFonts w:hint="default" w:ascii="Times New Roman" w:hAnsi="Times New Roman" w:eastAsia="宋体"/>
                <w:b w:val="0"/>
                <w:bCs/>
                <w:color w:val="auto"/>
                <w:sz w:val="21"/>
                <w:szCs w:val="24"/>
                <w:highlight w:val="none"/>
                <w:lang w:val="en-US" w:eastAsia="zh-CN"/>
              </w:rPr>
              <w:t>、夜间≤5</w:t>
            </w:r>
            <w:r>
              <w:rPr>
                <w:rFonts w:hint="eastAsia" w:ascii="Times New Roman" w:hAnsi="Times New Roman" w:eastAsia="宋体" w:cs="Times New Roman"/>
                <w:b w:val="0"/>
                <w:bCs/>
                <w:color w:val="auto"/>
                <w:sz w:val="21"/>
                <w:szCs w:val="24"/>
                <w:highlight w:val="none"/>
                <w:lang w:val="en-US" w:eastAsia="zh-CN"/>
              </w:rPr>
              <w:t>5</w:t>
            </w:r>
            <w:r>
              <w:rPr>
                <w:rFonts w:hint="default" w:ascii="Times New Roman" w:hAnsi="Times New Roman" w:eastAsia="宋体"/>
                <w:b w:val="0"/>
                <w:bCs/>
                <w:color w:val="auto"/>
                <w:sz w:val="21"/>
                <w:szCs w:val="24"/>
                <w:highlight w:val="none"/>
                <w:lang w:val="en-US" w:eastAsia="zh-CN"/>
              </w:rPr>
              <w:t>dB(A</w:t>
            </w:r>
            <w:r>
              <w:rPr>
                <w:rFonts w:hint="eastAsia"/>
                <w:b w:val="0"/>
                <w:bCs/>
                <w:color w:val="auto"/>
                <w:sz w:val="21"/>
                <w:szCs w:val="24"/>
                <w:highlight w:val="none"/>
                <w:lang w:val="en-US" w:eastAsia="zh-CN"/>
              </w:rPr>
              <w:t>）</w:t>
            </w:r>
            <w:r>
              <w:rPr>
                <w:rFonts w:hint="default" w:ascii="Times New Roman" w:hAnsi="Times New Roman" w:eastAsia="宋体"/>
                <w:b w:val="0"/>
                <w:bCs/>
                <w:color w:val="auto"/>
                <w:sz w:val="21"/>
                <w:szCs w:val="24"/>
                <w:highlight w:val="none"/>
                <w:lang w:val="en-US" w:eastAsia="zh-CN"/>
              </w:rPr>
              <w:t>。</w:t>
            </w:r>
            <w:r>
              <w:rPr>
                <w:rFonts w:hint="default" w:ascii="Times New Roman" w:hAnsi="Times New Roman" w:eastAsia="宋体"/>
                <w:color w:val="auto"/>
                <w:sz w:val="21"/>
                <w:highlight w:val="none"/>
                <w:lang w:val="zh-CN"/>
              </w:rPr>
              <w:t>项目为新建，</w:t>
            </w:r>
            <w:r>
              <w:rPr>
                <w:rFonts w:hint="default" w:ascii="Times New Roman" w:hAnsi="Times New Roman" w:eastAsia="宋体"/>
                <w:color w:val="auto"/>
                <w:sz w:val="21"/>
                <w:highlight w:val="none"/>
              </w:rPr>
              <w:t>并且厂界外50米范围内没有声环境保护目标，因此</w:t>
            </w:r>
            <w:r>
              <w:rPr>
                <w:rFonts w:hint="default" w:ascii="Times New Roman" w:hAnsi="Times New Roman" w:eastAsia="宋体"/>
                <w:color w:val="auto"/>
                <w:sz w:val="21"/>
                <w:highlight w:val="none"/>
                <w:lang w:val="zh-CN"/>
              </w:rPr>
              <w:t>不需进行声环境现状监测。</w:t>
            </w:r>
          </w:p>
          <w:p w14:paraId="23E8692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rPr>
            </w:pPr>
            <w:bookmarkStart w:id="22" w:name="_Toc11674"/>
            <w:bookmarkStart w:id="23" w:name="_Toc16971"/>
            <w:r>
              <w:rPr>
                <w:rFonts w:hint="default" w:ascii="Times New Roman" w:hAnsi="Times New Roman" w:eastAsia="宋体" w:cs="Segoe UI"/>
                <w:i w:val="0"/>
                <w:iCs w:val="0"/>
                <w:caps w:val="0"/>
                <w:color w:val="auto"/>
                <w:spacing w:val="0"/>
                <w:sz w:val="21"/>
                <w:shd w:val="clear" w:fill="FFFFFF"/>
              </w:rPr>
              <w:t>4、地下水环境质量现状</w:t>
            </w:r>
            <w:bookmarkEnd w:id="22"/>
            <w:bookmarkEnd w:id="23"/>
          </w:p>
          <w:p w14:paraId="7551FD95">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项目营运期对地下水环境可能造成影响的污染源主要为生产废水暂存设施、固体废物贮存场所及化学品仓，主要污染物为生产废水、固体废物及化学品。项目在落实生产废水暂存设施、危险废物暂存点、一般固废暂存点及化学品仓的防漏、防渗处理及相关管理措施的情况下，本项目生产废水、固体废物、化学品发生泄漏、下渗的可能性较小，对地下水水质不会造成明显的不良影响。根据《建设项目环境影响报告表编制技术指南（污染影响类）（试行）》，本项目厂界外500米范围内无地下水集中式饮用水水源和热水、矿泉水、温泉等特殊地下水资源保护区，因此不需开展地下水背景值调查。</w:t>
            </w:r>
          </w:p>
          <w:p w14:paraId="041DD6D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rPr>
            </w:pPr>
            <w:bookmarkStart w:id="24" w:name="_Toc8029"/>
            <w:bookmarkStart w:id="25" w:name="_Toc27077"/>
            <w:r>
              <w:rPr>
                <w:rFonts w:hint="default" w:ascii="Times New Roman" w:hAnsi="Times New Roman" w:eastAsia="宋体" w:cs="Segoe UI"/>
                <w:i w:val="0"/>
                <w:iCs w:val="0"/>
                <w:caps w:val="0"/>
                <w:color w:val="auto"/>
                <w:spacing w:val="0"/>
                <w:sz w:val="21"/>
                <w:shd w:val="clear" w:fill="FFFFFF"/>
              </w:rPr>
              <w:t>5、土壤环境质量现状</w:t>
            </w:r>
            <w:bookmarkEnd w:id="24"/>
            <w:bookmarkEnd w:id="25"/>
          </w:p>
          <w:p w14:paraId="2BD6E86C">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本项目从事儿童运动鞋生产，生产过程中产生的危险废物（废胶桶、废油墨桶、废活性炭等）及化学品（水性PU胶、处理剂、</w:t>
            </w:r>
            <w:r>
              <w:rPr>
                <w:rFonts w:hint="eastAsia" w:ascii="Times New Roman" w:hAnsi="Times New Roman" w:cs="Segoe UI"/>
                <w:i w:val="0"/>
                <w:iCs w:val="0"/>
                <w:caps w:val="0"/>
                <w:color w:val="auto"/>
                <w:spacing w:val="0"/>
                <w:sz w:val="21"/>
                <w:szCs w:val="24"/>
                <w:shd w:val="clear" w:fill="FFFFFF"/>
                <w:lang w:val="en-US" w:eastAsia="zh-CN"/>
              </w:rPr>
              <w:t>清洁剂、</w:t>
            </w:r>
            <w:r>
              <w:rPr>
                <w:rFonts w:hint="default" w:ascii="Times New Roman" w:hAnsi="Times New Roman" w:eastAsia="宋体" w:cs="Segoe UI"/>
                <w:i w:val="0"/>
                <w:iCs w:val="0"/>
                <w:caps w:val="0"/>
                <w:color w:val="auto"/>
                <w:spacing w:val="0"/>
                <w:sz w:val="21"/>
                <w:szCs w:val="24"/>
                <w:shd w:val="clear" w:fill="FFFFFF"/>
              </w:rPr>
              <w:t>油墨等）暂存过程可能通过地表径流或垂直下渗对土壤环境产生影响。项目厂房地面均为水泥硬化地面，危险废物暂存区、化学品仓及废水暂存区设置围堰，地面涂刷防渗漆，事故状态时可有效防止危险废物及化学品等外泄，因此对土壤环境影响较小。</w:t>
            </w:r>
          </w:p>
          <w:p w14:paraId="49985090">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此外，项目生产过程主要废气污染物为非甲烷总烃、总VOCs、TSP、臭气浓度，不涉及重金属污染物，因此大气沉降途径对土壤环境影响较小。</w:t>
            </w:r>
          </w:p>
          <w:p w14:paraId="733C93DA">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根据生态环境部“关于土壤破坏性监测问题”的回复，“根据建设项目实际情况，如果项目场地已经做了防腐防渗（包括硬化）处理无法取样，可不取样监测，但需详细说明无法取样原因”。根据广东省生态环境厅对“建设项目用地范围已全部硬底化，还要不要凿开采样”的回复，“若建设用地范围已全部硬底化，不具备采样监测条件的，可采取拍照证明并在环评文件中体现，不进行厂区用地范围的土壤现状监测”。根据现场勘查，项目所在地范围内已全部采取混凝土硬地化，因此不具备占地范围内土壤监测条件，不进行厂区土壤环境背景值调查。</w:t>
            </w:r>
          </w:p>
          <w:p w14:paraId="7C4041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baseline"/>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6、生态环境质量现状</w:t>
            </w:r>
          </w:p>
          <w:p w14:paraId="4826148C">
            <w:pPr>
              <w:keepNext w:val="0"/>
              <w:keepLines w:val="0"/>
              <w:suppressLineNumbers w:val="0"/>
              <w:adjustRightInd w:val="0"/>
              <w:snapToGrid w:val="0"/>
              <w:spacing w:before="0" w:beforeAutospacing="0" w:after="0" w:afterAutospacing="0" w:line="360" w:lineRule="auto"/>
              <w:ind w:left="0" w:right="0" w:firstLine="420" w:firstLineChars="20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项目为新建项目，厂房已建成，不涉及生态环境影响，无需进行生态环境现状调查。</w:t>
            </w:r>
          </w:p>
        </w:tc>
      </w:tr>
      <w:tr w14:paraId="32961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405" w:type="dxa"/>
            <w:vAlign w:val="center"/>
          </w:tcPr>
          <w:p w14:paraId="2B4B546D">
            <w:pPr>
              <w:keepNext w:val="0"/>
              <w:keepLines w:val="0"/>
              <w:suppressLineNumbers w:val="0"/>
              <w:adjustRightInd w:val="0"/>
              <w:snapToGrid w:val="0"/>
              <w:spacing w:before="0" w:beforeAutospacing="0" w:after="0" w:afterAutospacing="0"/>
              <w:ind w:left="0" w:right="0" w:firstLine="60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环境保护目标</w:t>
            </w:r>
          </w:p>
        </w:tc>
        <w:tc>
          <w:tcPr>
            <w:tcW w:w="10131" w:type="dxa"/>
          </w:tcPr>
          <w:p w14:paraId="5CDCA455">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本项目的主要环境保护目标是保护好项目所在地附近评价区域的环境质量。要采取有效的环保措施，使本项目的建设和生产过程中保持项目所在地区域原有的环境空气质量、水环境质量和声环境质量。</w:t>
            </w:r>
          </w:p>
          <w:p w14:paraId="48D9FF67">
            <w:pPr>
              <w:pStyle w:val="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rPr>
            </w:pPr>
            <w:bookmarkStart w:id="26" w:name="_Toc17110"/>
            <w:bookmarkStart w:id="27" w:name="_Toc14000"/>
            <w:r>
              <w:rPr>
                <w:rFonts w:hint="default" w:ascii="Times New Roman" w:hAnsi="Times New Roman" w:eastAsia="宋体" w:cs="Segoe UI"/>
                <w:i w:val="0"/>
                <w:iCs w:val="0"/>
                <w:caps w:val="0"/>
                <w:color w:val="auto"/>
                <w:spacing w:val="0"/>
                <w:sz w:val="21"/>
                <w:shd w:val="clear" w:fill="FFFFFF"/>
              </w:rPr>
              <w:t>1、大气环境保护目标</w:t>
            </w:r>
            <w:bookmarkEnd w:id="26"/>
            <w:bookmarkEnd w:id="27"/>
          </w:p>
          <w:p w14:paraId="4911D9C6">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大气环境保护目标是确保项目所在区域环境空气质量符合</w:t>
            </w:r>
            <w:r>
              <w:rPr>
                <w:rFonts w:hint="eastAsia" w:ascii="Times New Roman" w:hAnsi="Times New Roman" w:eastAsia="宋体"/>
                <w:color w:val="auto"/>
                <w:sz w:val="21"/>
                <w:szCs w:val="24"/>
                <w:highlight w:val="none"/>
                <w:lang w:eastAsia="zh-CN"/>
              </w:rPr>
              <w:t>《环境空气质量标准》</w:t>
            </w:r>
            <w:r>
              <w:rPr>
                <w:rFonts w:hint="eastAsia"/>
                <w:color w:val="auto"/>
                <w:sz w:val="21"/>
                <w:szCs w:val="24"/>
                <w:highlight w:val="none"/>
                <w:lang w:eastAsia="zh-CN"/>
              </w:rPr>
              <w:t>（</w:t>
            </w:r>
            <w:r>
              <w:rPr>
                <w:rFonts w:hint="eastAsia" w:ascii="Times New Roman" w:hAnsi="Times New Roman" w:eastAsia="宋体"/>
                <w:color w:val="auto"/>
                <w:sz w:val="21"/>
                <w:szCs w:val="24"/>
                <w:highlight w:val="none"/>
                <w:lang w:eastAsia="zh-CN"/>
              </w:rPr>
              <w:t>GB3095</w:t>
            </w:r>
            <w:r>
              <w:rPr>
                <w:rFonts w:hint="eastAsia"/>
                <w:color w:val="auto"/>
                <w:sz w:val="21"/>
                <w:szCs w:val="24"/>
                <w:highlight w:val="none"/>
                <w:lang w:val="en-US" w:eastAsia="zh-CN"/>
              </w:rPr>
              <w:t>-</w:t>
            </w:r>
            <w:r>
              <w:rPr>
                <w:rFonts w:hint="eastAsia" w:ascii="Times New Roman" w:hAnsi="Times New Roman" w:eastAsia="宋体"/>
                <w:color w:val="auto"/>
                <w:sz w:val="21"/>
                <w:szCs w:val="24"/>
                <w:highlight w:val="none"/>
                <w:lang w:eastAsia="zh-CN"/>
              </w:rPr>
              <w:t>2026</w:t>
            </w:r>
            <w:r>
              <w:rPr>
                <w:rFonts w:hint="eastAsia"/>
                <w:color w:val="auto"/>
                <w:sz w:val="21"/>
                <w:szCs w:val="24"/>
                <w:highlight w:val="none"/>
                <w:lang w:eastAsia="zh-CN"/>
              </w:rPr>
              <w:t>）</w:t>
            </w:r>
            <w:r>
              <w:rPr>
                <w:rFonts w:hint="eastAsia" w:ascii="Times New Roman" w:hAnsi="Times New Roman" w:eastAsia="宋体"/>
                <w:color w:val="auto"/>
                <w:sz w:val="21"/>
                <w:szCs w:val="24"/>
                <w:highlight w:val="none"/>
                <w:lang w:eastAsia="zh-CN"/>
              </w:rPr>
              <w:t>中的过渡阶段浓度限值二级标准</w:t>
            </w:r>
            <w:r>
              <w:rPr>
                <w:rFonts w:hint="default" w:ascii="Times New Roman" w:hAnsi="Times New Roman" w:eastAsia="宋体" w:cs="Segoe UI"/>
                <w:i w:val="0"/>
                <w:iCs w:val="0"/>
                <w:caps w:val="0"/>
                <w:color w:val="auto"/>
                <w:spacing w:val="0"/>
                <w:sz w:val="21"/>
                <w:szCs w:val="24"/>
                <w:shd w:val="clear" w:fill="FFFFFF"/>
              </w:rPr>
              <w:t>。根据现场勘查，项目厂界外500米范围内无自然保护区、风景名胜区、居住区、文化区和农村地区中人群较集中的区域等大气环境保护目标。</w:t>
            </w:r>
          </w:p>
          <w:p w14:paraId="0573A1AD">
            <w:pPr>
              <w:pStyle w:val="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rPr>
            </w:pPr>
            <w:bookmarkStart w:id="28" w:name="_Toc10007"/>
            <w:bookmarkStart w:id="29" w:name="_Toc23574"/>
            <w:r>
              <w:rPr>
                <w:rFonts w:hint="default" w:ascii="Times New Roman" w:hAnsi="Times New Roman" w:eastAsia="宋体" w:cs="Segoe UI"/>
                <w:i w:val="0"/>
                <w:iCs w:val="0"/>
                <w:caps w:val="0"/>
                <w:color w:val="auto"/>
                <w:spacing w:val="0"/>
                <w:sz w:val="21"/>
                <w:shd w:val="clear" w:fill="FFFFFF"/>
              </w:rPr>
              <w:t>2、声环境保护目标</w:t>
            </w:r>
            <w:bookmarkEnd w:id="28"/>
            <w:bookmarkEnd w:id="29"/>
          </w:p>
          <w:p w14:paraId="11F9B95A">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声环境保护目标是确保项目厂界声环境达到《工业企业厂界环境噪声排放标准》（GB12348</w:t>
            </w:r>
            <w:r>
              <w:rPr>
                <w:rFonts w:hint="eastAsia" w:ascii="Times New Roman" w:hAnsi="Times New Roman" w:cs="Segoe UI"/>
                <w:i w:val="0"/>
                <w:iCs w:val="0"/>
                <w:caps w:val="0"/>
                <w:color w:val="auto"/>
                <w:spacing w:val="0"/>
                <w:sz w:val="21"/>
                <w:szCs w:val="24"/>
                <w:shd w:val="clear" w:fill="FFFFFF"/>
                <w:lang w:val="en-US" w:eastAsia="zh-CN"/>
              </w:rPr>
              <w:t>-</w:t>
            </w:r>
            <w:r>
              <w:rPr>
                <w:rFonts w:hint="eastAsia" w:ascii="Times New Roman" w:hAnsi="Times New Roman" w:cs="Segoe UI"/>
                <w:i w:val="0"/>
                <w:iCs w:val="0"/>
                <w:caps w:val="0"/>
                <w:color w:val="auto"/>
                <w:spacing w:val="0"/>
                <w:sz w:val="21"/>
                <w:szCs w:val="24"/>
                <w:shd w:val="clear" w:fill="FFFFFF"/>
                <w:lang w:eastAsia="zh-CN"/>
              </w:rPr>
              <w:t xml:space="preserve"> </w:t>
            </w:r>
            <w:r>
              <w:rPr>
                <w:rFonts w:hint="default" w:ascii="Times New Roman" w:hAnsi="Times New Roman" w:eastAsia="宋体" w:cs="Segoe UI"/>
                <w:i w:val="0"/>
                <w:iCs w:val="0"/>
                <w:caps w:val="0"/>
                <w:color w:val="auto"/>
                <w:spacing w:val="0"/>
                <w:sz w:val="21"/>
                <w:szCs w:val="24"/>
                <w:shd w:val="clear" w:fill="FFFFFF"/>
              </w:rPr>
              <w:t>2008）中的</w:t>
            </w:r>
            <w:r>
              <w:rPr>
                <w:rFonts w:hint="eastAsia" w:ascii="Times New Roman" w:hAnsi="Times New Roman" w:eastAsia="宋体" w:cs="Times New Roman"/>
                <w:b w:val="0"/>
                <w:bCs/>
                <w:color w:val="auto"/>
                <w:sz w:val="21"/>
                <w:szCs w:val="24"/>
                <w:highlight w:val="none"/>
                <w:lang w:val="en-US" w:eastAsia="zh-CN"/>
              </w:rPr>
              <w:t>3</w:t>
            </w:r>
            <w:r>
              <w:rPr>
                <w:rFonts w:hint="default" w:ascii="Times New Roman" w:hAnsi="Times New Roman" w:eastAsia="宋体"/>
                <w:b w:val="0"/>
                <w:bCs/>
                <w:color w:val="auto"/>
                <w:sz w:val="21"/>
                <w:szCs w:val="24"/>
                <w:highlight w:val="none"/>
                <w:lang w:val="en-US" w:eastAsia="zh-CN"/>
              </w:rPr>
              <w:t>类标准</w:t>
            </w:r>
            <w:r>
              <w:rPr>
                <w:rFonts w:hint="default" w:ascii="Times New Roman" w:hAnsi="Times New Roman" w:eastAsia="宋体" w:cs="Segoe UI"/>
                <w:i w:val="0"/>
                <w:iCs w:val="0"/>
                <w:caps w:val="0"/>
                <w:color w:val="auto"/>
                <w:spacing w:val="0"/>
                <w:sz w:val="21"/>
                <w:szCs w:val="24"/>
                <w:shd w:val="clear" w:fill="FFFFFF"/>
              </w:rPr>
              <w:t>。根据现场勘查，项目厂界外50米范围内无声环境保护目标。</w:t>
            </w:r>
          </w:p>
          <w:p w14:paraId="59DBEDE7">
            <w:pPr>
              <w:pStyle w:val="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rPr>
            </w:pPr>
            <w:bookmarkStart w:id="30" w:name="_Toc21032"/>
            <w:bookmarkStart w:id="31" w:name="_Toc22066"/>
            <w:r>
              <w:rPr>
                <w:rFonts w:hint="default" w:ascii="Times New Roman" w:hAnsi="Times New Roman" w:eastAsia="宋体" w:cs="Segoe UI"/>
                <w:i w:val="0"/>
                <w:iCs w:val="0"/>
                <w:caps w:val="0"/>
                <w:color w:val="auto"/>
                <w:spacing w:val="0"/>
                <w:sz w:val="21"/>
                <w:shd w:val="clear" w:fill="FFFFFF"/>
              </w:rPr>
              <w:t>3、水环境保护目标</w:t>
            </w:r>
            <w:bookmarkEnd w:id="30"/>
            <w:bookmarkEnd w:id="31"/>
          </w:p>
          <w:p w14:paraId="184E1E89">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水环境保护目标是确保项目建成后周围河流水质不受明显影响。项目外排废水为生活污水，经三级化粪池预处理后排入市政污水管网，不直接排入地表水体。项目评价范围内无饮用水源保护区等水环境敏感点。</w:t>
            </w:r>
          </w:p>
          <w:p w14:paraId="4C79A69B">
            <w:pPr>
              <w:pStyle w:val="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rPr>
            </w:pPr>
            <w:bookmarkStart w:id="32" w:name="_Toc5864"/>
            <w:bookmarkStart w:id="33" w:name="_Toc25507"/>
            <w:r>
              <w:rPr>
                <w:rFonts w:hint="default" w:ascii="Times New Roman" w:hAnsi="Times New Roman" w:eastAsia="宋体" w:cs="Segoe UI"/>
                <w:i w:val="0"/>
                <w:iCs w:val="0"/>
                <w:caps w:val="0"/>
                <w:color w:val="auto"/>
                <w:spacing w:val="0"/>
                <w:sz w:val="21"/>
                <w:shd w:val="clear" w:fill="FFFFFF"/>
              </w:rPr>
              <w:t>4、地下水环境保护目标</w:t>
            </w:r>
            <w:bookmarkEnd w:id="32"/>
            <w:bookmarkEnd w:id="33"/>
          </w:p>
          <w:p w14:paraId="69C056F9">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项目厂界外500米范围内无地下水集中式饮用水水源和热水、矿泉水、温泉等特殊地下水资源。</w:t>
            </w:r>
          </w:p>
          <w:p w14:paraId="7EBA41E2">
            <w:pPr>
              <w:pStyle w:val="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rPr>
            </w:pPr>
            <w:bookmarkStart w:id="34" w:name="_Toc20097"/>
            <w:bookmarkStart w:id="35" w:name="_Toc22517"/>
            <w:r>
              <w:rPr>
                <w:rFonts w:hint="default" w:ascii="Times New Roman" w:hAnsi="Times New Roman" w:eastAsia="宋体" w:cs="Segoe UI"/>
                <w:i w:val="0"/>
                <w:iCs w:val="0"/>
                <w:caps w:val="0"/>
                <w:color w:val="auto"/>
                <w:spacing w:val="0"/>
                <w:sz w:val="21"/>
                <w:shd w:val="clear" w:fill="FFFFFF"/>
              </w:rPr>
              <w:t>5、生态环境保护目标</w:t>
            </w:r>
            <w:bookmarkEnd w:id="34"/>
            <w:bookmarkEnd w:id="35"/>
          </w:p>
          <w:p w14:paraId="144B94BF">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highlight w:val="none"/>
              </w:rPr>
            </w:pPr>
            <w:r>
              <w:rPr>
                <w:rFonts w:hint="default" w:ascii="Times New Roman" w:hAnsi="Times New Roman" w:eastAsia="宋体" w:cs="Segoe UI"/>
                <w:i w:val="0"/>
                <w:iCs w:val="0"/>
                <w:caps w:val="0"/>
                <w:color w:val="auto"/>
                <w:spacing w:val="0"/>
                <w:sz w:val="21"/>
                <w:szCs w:val="24"/>
                <w:shd w:val="clear" w:fill="FFFFFF"/>
              </w:rPr>
              <w:t>项目用地为工业用地，不涉及新增用地，厂房已建成，用地范围内无生态环境保护目标。</w:t>
            </w:r>
          </w:p>
        </w:tc>
      </w:tr>
    </w:tbl>
    <w:tbl>
      <w:tblPr>
        <w:tblStyle w:val="48"/>
        <w:tblW w:w="0" w:type="auto"/>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0"/>
        <w:gridCol w:w="10131"/>
      </w:tblGrid>
      <w:tr w14:paraId="69974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0" w:hRule="atLeast"/>
        </w:trPr>
        <w:tc>
          <w:tcPr>
            <w:tcW w:w="410" w:type="dxa"/>
            <w:vAlign w:val="center"/>
          </w:tcPr>
          <w:p w14:paraId="0F90D3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textAlignment w:val="auto"/>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污染物排放控制标准</w:t>
            </w:r>
          </w:p>
        </w:tc>
        <w:tc>
          <w:tcPr>
            <w:tcW w:w="10131" w:type="dxa"/>
          </w:tcPr>
          <w:p w14:paraId="4203F7C4">
            <w:pPr>
              <w:keepNext w:val="0"/>
              <w:keepLines w:val="0"/>
              <w:widowControl/>
              <w:suppressLineNumbers w:val="0"/>
              <w:spacing w:before="0" w:beforeAutospacing="0" w:after="0" w:afterAutospacing="0" w:line="360" w:lineRule="auto"/>
              <w:ind w:left="0" w:right="0" w:firstLine="422" w:firstLineChars="200"/>
              <w:jc w:val="left"/>
              <w:rPr>
                <w:rFonts w:hint="default" w:ascii="Times New Roman" w:hAnsi="Times New Roman" w:eastAsia="宋体"/>
                <w:b/>
                <w:color w:val="auto"/>
                <w:kern w:val="0"/>
                <w:sz w:val="21"/>
                <w:highlight w:val="none"/>
              </w:rPr>
            </w:pPr>
            <w:r>
              <w:rPr>
                <w:rFonts w:hint="default" w:ascii="Times New Roman" w:hAnsi="Times New Roman" w:eastAsia="宋体"/>
                <w:b/>
                <w:color w:val="auto"/>
                <w:kern w:val="0"/>
                <w:sz w:val="21"/>
                <w:highlight w:val="none"/>
              </w:rPr>
              <w:t>1、大气</w:t>
            </w:r>
            <w:r>
              <w:rPr>
                <w:rFonts w:hint="default" w:ascii="Times New Roman" w:hAnsi="Times New Roman" w:eastAsia="宋体"/>
                <w:b/>
                <w:bCs/>
                <w:color w:val="auto"/>
                <w:sz w:val="21"/>
                <w:highlight w:val="none"/>
              </w:rPr>
              <w:t>污染物</w:t>
            </w:r>
            <w:r>
              <w:rPr>
                <w:rFonts w:hint="default" w:ascii="Times New Roman" w:hAnsi="Times New Roman" w:eastAsia="宋体"/>
                <w:b/>
                <w:color w:val="auto"/>
                <w:kern w:val="0"/>
                <w:sz w:val="21"/>
                <w:highlight w:val="none"/>
              </w:rPr>
              <w:t>排放标准</w:t>
            </w:r>
          </w:p>
          <w:p w14:paraId="2D44EDAD">
            <w:pPr>
              <w:pStyle w:val="9"/>
              <w:numPr>
                <w:ilvl w:val="0"/>
                <w:numId w:val="8"/>
              </w:numPr>
              <w:suppressLineNumbers w:val="0"/>
              <w:spacing w:before="0" w:beforeAutospacing="0" w:after="0" w:afterAutospacing="0" w:line="240" w:lineRule="auto"/>
              <w:ind w:right="0"/>
              <w:jc w:val="center"/>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项目大气污染物排放标准</w:t>
            </w:r>
          </w:p>
          <w:tbl>
            <w:tblPr>
              <w:tblStyle w:val="49"/>
              <w:tblW w:w="9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690"/>
              <w:gridCol w:w="843"/>
              <w:gridCol w:w="731"/>
              <w:gridCol w:w="1162"/>
              <w:gridCol w:w="947"/>
              <w:gridCol w:w="4752"/>
            </w:tblGrid>
            <w:tr w14:paraId="5DB56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Align w:val="center"/>
                </w:tcPr>
                <w:p w14:paraId="25C3EF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h"/>
                      <w:b/>
                      <w:bCs/>
                      <w:color w:val="auto"/>
                      <w:kern w:val="0"/>
                      <w:sz w:val="21"/>
                      <w:szCs w:val="24"/>
                      <w:lang w:val="en-US" w:eastAsia="zh-CN" w:bidi="ar"/>
                    </w:rPr>
                    <w:t>废气种类</w:t>
                  </w:r>
                </w:p>
              </w:tc>
              <w:tc>
                <w:tcPr>
                  <w:tcW w:w="690" w:type="dxa"/>
                  <w:vAlign w:val="center"/>
                </w:tcPr>
                <w:p w14:paraId="5502D0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h"/>
                      <w:b/>
                      <w:bCs/>
                      <w:color w:val="auto"/>
                      <w:kern w:val="0"/>
                      <w:sz w:val="21"/>
                      <w:szCs w:val="24"/>
                      <w:lang w:val="en-US" w:eastAsia="zh-CN" w:bidi="ar"/>
                    </w:rPr>
                    <w:t>排气筒编号</w:t>
                  </w:r>
                </w:p>
              </w:tc>
              <w:tc>
                <w:tcPr>
                  <w:tcW w:w="843" w:type="dxa"/>
                  <w:vAlign w:val="center"/>
                </w:tcPr>
                <w:p w14:paraId="133047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h"/>
                      <w:b/>
                      <w:bCs/>
                      <w:color w:val="auto"/>
                      <w:kern w:val="0"/>
                      <w:sz w:val="21"/>
                      <w:szCs w:val="24"/>
                      <w:lang w:val="en-US" w:eastAsia="zh-CN" w:bidi="ar"/>
                    </w:rPr>
                    <w:t>污染物</w:t>
                  </w:r>
                </w:p>
              </w:tc>
              <w:tc>
                <w:tcPr>
                  <w:tcW w:w="731" w:type="dxa"/>
                  <w:vAlign w:val="center"/>
                </w:tcPr>
                <w:p w14:paraId="11AE6C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h"/>
                      <w:b/>
                      <w:bCs/>
                      <w:color w:val="auto"/>
                      <w:kern w:val="0"/>
                      <w:sz w:val="21"/>
                      <w:szCs w:val="24"/>
                      <w:lang w:val="en-US" w:eastAsia="zh-CN" w:bidi="ar"/>
                    </w:rPr>
                    <w:t>排气筒高度m</w:t>
                  </w:r>
                </w:p>
              </w:tc>
              <w:tc>
                <w:tcPr>
                  <w:tcW w:w="1162" w:type="dxa"/>
                  <w:vAlign w:val="center"/>
                </w:tcPr>
                <w:p w14:paraId="71F1D0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h"/>
                      <w:b/>
                      <w:bCs/>
                      <w:color w:val="auto"/>
                      <w:kern w:val="0"/>
                      <w:sz w:val="21"/>
                      <w:szCs w:val="24"/>
                      <w:lang w:val="en-US" w:eastAsia="zh-CN" w:bidi="ar"/>
                    </w:rPr>
                    <w:t>最高允许排放浓度mg/m³</w:t>
                  </w:r>
                </w:p>
              </w:tc>
              <w:tc>
                <w:tcPr>
                  <w:tcW w:w="947" w:type="dxa"/>
                  <w:vAlign w:val="center"/>
                </w:tcPr>
                <w:p w14:paraId="3F1877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h"/>
                      <w:b/>
                      <w:bCs/>
                      <w:color w:val="auto"/>
                      <w:kern w:val="0"/>
                      <w:sz w:val="21"/>
                      <w:szCs w:val="24"/>
                      <w:lang w:val="en-US" w:eastAsia="zh-CN" w:bidi="ar"/>
                    </w:rPr>
                    <w:t>最高允许排放速率kg/h</w:t>
                  </w:r>
                </w:p>
              </w:tc>
              <w:tc>
                <w:tcPr>
                  <w:tcW w:w="4752" w:type="dxa"/>
                  <w:vAlign w:val="center"/>
                </w:tcPr>
                <w:p w14:paraId="139DF9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h"/>
                      <w:b/>
                      <w:bCs/>
                      <w:color w:val="auto"/>
                      <w:kern w:val="0"/>
                      <w:sz w:val="21"/>
                      <w:szCs w:val="24"/>
                      <w:lang w:val="en-US" w:eastAsia="zh-CN" w:bidi="ar"/>
                    </w:rPr>
                    <w:t>标准来源</w:t>
                  </w:r>
                </w:p>
              </w:tc>
            </w:tr>
            <w:tr w14:paraId="4249C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790" w:type="dxa"/>
                  <w:vMerge w:val="restart"/>
                  <w:vAlign w:val="center"/>
                </w:tcPr>
                <w:p w14:paraId="4B88C2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鞋底制造工序废气</w:t>
                  </w:r>
                </w:p>
              </w:tc>
              <w:tc>
                <w:tcPr>
                  <w:tcW w:w="690" w:type="dxa"/>
                  <w:vMerge w:val="restart"/>
                  <w:vAlign w:val="center"/>
                </w:tcPr>
                <w:p w14:paraId="5F3440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eastAsia" w:cs="var(--dsw-font-markdown-table)"/>
                      <w:color w:val="auto"/>
                      <w:kern w:val="0"/>
                      <w:sz w:val="21"/>
                      <w:szCs w:val="24"/>
                      <w:lang w:val="en-US" w:eastAsia="zh-CN" w:bidi="ar"/>
                    </w:rPr>
                    <w:t>G</w:t>
                  </w:r>
                  <w:r>
                    <w:rPr>
                      <w:rFonts w:hint="default" w:ascii="Times New Roman" w:hAnsi="Times New Roman" w:eastAsia="宋体" w:cs="var(--dsw-font-markdown-table)"/>
                      <w:color w:val="auto"/>
                      <w:kern w:val="0"/>
                      <w:sz w:val="21"/>
                      <w:szCs w:val="24"/>
                      <w:lang w:val="en-US" w:eastAsia="zh-CN" w:bidi="ar"/>
                    </w:rPr>
                    <w:t>1</w:t>
                  </w:r>
                </w:p>
              </w:tc>
              <w:tc>
                <w:tcPr>
                  <w:tcW w:w="843" w:type="dxa"/>
                  <w:vAlign w:val="center"/>
                </w:tcPr>
                <w:p w14:paraId="35F1A5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b w:val="0"/>
                      <w:bCs w:val="0"/>
                      <w:color w:val="auto"/>
                      <w:kern w:val="0"/>
                      <w:sz w:val="21"/>
                      <w:szCs w:val="24"/>
                      <w:lang w:val="en-US" w:eastAsia="zh-CN" w:bidi="ar"/>
                    </w:rPr>
                    <w:t>非甲烷总烃</w:t>
                  </w:r>
                </w:p>
              </w:tc>
              <w:tc>
                <w:tcPr>
                  <w:tcW w:w="731" w:type="dxa"/>
                  <w:vMerge w:val="restart"/>
                  <w:vAlign w:val="center"/>
                </w:tcPr>
                <w:p w14:paraId="1B7EF5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lang w:val="en-US" w:eastAsia="zh-CN"/>
                    </w:rPr>
                  </w:pPr>
                  <w:r>
                    <w:rPr>
                      <w:rFonts w:hint="eastAsia"/>
                      <w:b/>
                      <w:bCs/>
                      <w:color w:val="auto"/>
                      <w:sz w:val="21"/>
                      <w:highlight w:val="none"/>
                      <w:vertAlign w:val="baseline"/>
                      <w:lang w:val="en-US" w:eastAsia="zh-CN"/>
                    </w:rPr>
                    <w:t>50</w:t>
                  </w:r>
                </w:p>
              </w:tc>
              <w:tc>
                <w:tcPr>
                  <w:tcW w:w="1162" w:type="dxa"/>
                  <w:vAlign w:val="center"/>
                </w:tcPr>
                <w:p w14:paraId="373623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lang w:val="en-US"/>
                    </w:rPr>
                  </w:pPr>
                  <w:r>
                    <w:rPr>
                      <w:rFonts w:hint="eastAsia" w:cs="var(--dsw-font-markdown-table)"/>
                      <w:color w:val="auto"/>
                      <w:kern w:val="0"/>
                      <w:sz w:val="21"/>
                      <w:szCs w:val="24"/>
                      <w:lang w:val="en-US" w:eastAsia="zh-CN" w:bidi="ar"/>
                    </w:rPr>
                    <w:t>80</w:t>
                  </w:r>
                </w:p>
              </w:tc>
              <w:tc>
                <w:tcPr>
                  <w:tcW w:w="947" w:type="dxa"/>
                  <w:vAlign w:val="center"/>
                </w:tcPr>
                <w:p w14:paraId="3B2182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w:t>
                  </w:r>
                </w:p>
              </w:tc>
              <w:tc>
                <w:tcPr>
                  <w:tcW w:w="4752" w:type="dxa"/>
                  <w:vAlign w:val="center"/>
                </w:tcPr>
                <w:p w14:paraId="2C0F93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kern w:val="0"/>
                      <w:sz w:val="21"/>
                      <w:szCs w:val="24"/>
                      <w:lang w:val="en-US" w:eastAsia="zh-CN" w:bidi="ar"/>
                    </w:rPr>
                    <w:t>广东省《固定污染源挥发性有机物综合排放标准》（DB44/2367</w:t>
                  </w:r>
                  <w:r>
                    <w:rPr>
                      <w:rFonts w:hint="eastAsia" w:ascii="Times New Roman" w:hAnsi="Times New Roman" w:eastAsia="宋体" w:cs="var(--dsw-font-markdown-table)"/>
                      <w:kern w:val="0"/>
                      <w:sz w:val="21"/>
                      <w:szCs w:val="24"/>
                      <w:lang w:val="en-US" w:eastAsia="zh-CN" w:bidi="ar"/>
                    </w:rPr>
                    <w:t>-</w:t>
                  </w:r>
                  <w:r>
                    <w:rPr>
                      <w:rFonts w:hint="default" w:ascii="Times New Roman" w:hAnsi="Times New Roman" w:eastAsia="宋体" w:cs="var(--dsw-font-markdown-table)"/>
                      <w:kern w:val="0"/>
                      <w:sz w:val="21"/>
                      <w:szCs w:val="24"/>
                      <w:lang w:val="en-US" w:eastAsia="zh-CN" w:bidi="ar"/>
                    </w:rPr>
                    <w:t>2022）表1限值</w:t>
                  </w:r>
                  <w:r>
                    <w:rPr>
                      <w:rFonts w:hint="default" w:ascii="Times New Roman" w:hAnsi="Times New Roman" w:eastAsia="宋体" w:cs="var(--dsw-font-markdown-table)"/>
                      <w:b/>
                      <w:bCs/>
                      <w:kern w:val="0"/>
                      <w:sz w:val="21"/>
                      <w:szCs w:val="24"/>
                      <w:lang w:val="en-US" w:eastAsia="zh-CN" w:bidi="ar"/>
                    </w:rPr>
                    <w:t>与</w:t>
                  </w:r>
                  <w:r>
                    <w:rPr>
                      <w:rFonts w:hint="default" w:ascii="Times New Roman" w:hAnsi="Times New Roman" w:eastAsia="宋体" w:cs="var(--dsw-font-markdown-table)"/>
                      <w:kern w:val="0"/>
                      <w:sz w:val="21"/>
                      <w:szCs w:val="24"/>
                      <w:lang w:val="en-US" w:eastAsia="zh-CN" w:bidi="ar"/>
                    </w:rPr>
                    <w:t>《合成树脂工业污染物排放标准》（GB31572</w:t>
                  </w:r>
                  <w:r>
                    <w:rPr>
                      <w:rFonts w:hint="eastAsia" w:ascii="Times New Roman" w:hAnsi="Times New Roman" w:eastAsia="宋体" w:cs="var(--dsw-font-markdown-table)"/>
                      <w:kern w:val="0"/>
                      <w:sz w:val="21"/>
                      <w:szCs w:val="24"/>
                      <w:lang w:val="en-US" w:eastAsia="zh-CN" w:bidi="ar"/>
                    </w:rPr>
                    <w:t xml:space="preserve">- </w:t>
                  </w:r>
                  <w:r>
                    <w:rPr>
                      <w:rFonts w:hint="default" w:ascii="Times New Roman" w:hAnsi="Times New Roman" w:eastAsia="宋体" w:cs="var(--dsw-font-markdown-table)"/>
                      <w:kern w:val="0"/>
                      <w:sz w:val="21"/>
                      <w:szCs w:val="24"/>
                      <w:lang w:val="en-US" w:eastAsia="zh-CN" w:bidi="ar"/>
                    </w:rPr>
                    <w:t>2015）及其修改单表4限值</w:t>
                  </w:r>
                  <w:r>
                    <w:rPr>
                      <w:rFonts w:hint="default" w:ascii="Times New Roman" w:hAnsi="Times New Roman" w:eastAsia="宋体" w:cs="var(--dsw-font-markdown-table)"/>
                      <w:b/>
                      <w:bCs/>
                      <w:kern w:val="0"/>
                      <w:sz w:val="21"/>
                      <w:szCs w:val="24"/>
                      <w:lang w:val="en-US" w:eastAsia="zh-CN" w:bidi="ar"/>
                    </w:rPr>
                    <w:t>较严值</w:t>
                  </w:r>
                </w:p>
              </w:tc>
            </w:tr>
            <w:tr w14:paraId="2DAAE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Merge w:val="continue"/>
                  <w:vAlign w:val="center"/>
                </w:tcPr>
                <w:p w14:paraId="050230E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690" w:type="dxa"/>
                  <w:vMerge w:val="continue"/>
                  <w:vAlign w:val="center"/>
                </w:tcPr>
                <w:p w14:paraId="143165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843" w:type="dxa"/>
                  <w:vAlign w:val="center"/>
                </w:tcPr>
                <w:p w14:paraId="525334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颗粒物</w:t>
                  </w:r>
                </w:p>
              </w:tc>
              <w:tc>
                <w:tcPr>
                  <w:tcW w:w="731" w:type="dxa"/>
                  <w:vMerge w:val="continue"/>
                  <w:vAlign w:val="center"/>
                </w:tcPr>
                <w:p w14:paraId="11FA128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1162" w:type="dxa"/>
                  <w:vAlign w:val="center"/>
                </w:tcPr>
                <w:p w14:paraId="77BBE1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30</w:t>
                  </w:r>
                </w:p>
              </w:tc>
              <w:tc>
                <w:tcPr>
                  <w:tcW w:w="947" w:type="dxa"/>
                  <w:vAlign w:val="center"/>
                </w:tcPr>
                <w:p w14:paraId="1AFAC3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4752" w:type="dxa"/>
                  <w:vAlign w:val="center"/>
                </w:tcPr>
                <w:p w14:paraId="63F201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《合成树脂工业污染物排放标准》（GB31572</w:t>
                  </w:r>
                  <w:r>
                    <w:rPr>
                      <w:rFonts w:hint="eastAsia" w:ascii="Times New Roman" w:hAnsi="Times New Roman" w:eastAsia="宋体" w:cs="var(--dsw-font-markdown-table)"/>
                      <w:kern w:val="0"/>
                      <w:sz w:val="21"/>
                      <w:szCs w:val="24"/>
                      <w:lang w:val="en-US" w:eastAsia="zh-CN" w:bidi="ar"/>
                    </w:rPr>
                    <w:t xml:space="preserve">- </w:t>
                  </w:r>
                  <w:r>
                    <w:rPr>
                      <w:rFonts w:hint="default" w:ascii="Times New Roman" w:hAnsi="Times New Roman" w:eastAsia="宋体" w:cs="var(--dsw-font-markdown-table)"/>
                      <w:kern w:val="0"/>
                      <w:sz w:val="21"/>
                      <w:szCs w:val="24"/>
                      <w:lang w:val="en-US" w:eastAsia="zh-CN" w:bidi="ar"/>
                    </w:rPr>
                    <w:t>2015）及其修改单表4限值</w:t>
                  </w:r>
                </w:p>
              </w:tc>
            </w:tr>
            <w:tr w14:paraId="516B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Merge w:val="continue"/>
                  <w:vAlign w:val="center"/>
                </w:tcPr>
                <w:p w14:paraId="582B2F0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690" w:type="dxa"/>
                  <w:vMerge w:val="continue"/>
                  <w:vAlign w:val="center"/>
                </w:tcPr>
                <w:p w14:paraId="62D524B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843" w:type="dxa"/>
                  <w:vAlign w:val="center"/>
                </w:tcPr>
                <w:p w14:paraId="79E654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b w:val="0"/>
                      <w:bCs w:val="0"/>
                      <w:color w:val="auto"/>
                      <w:kern w:val="0"/>
                      <w:sz w:val="21"/>
                      <w:szCs w:val="24"/>
                      <w:lang w:val="en-US" w:eastAsia="zh-CN" w:bidi="ar"/>
                    </w:rPr>
                    <w:t>总VOCs</w:t>
                  </w:r>
                </w:p>
              </w:tc>
              <w:tc>
                <w:tcPr>
                  <w:tcW w:w="731" w:type="dxa"/>
                  <w:vMerge w:val="continue"/>
                  <w:vAlign w:val="center"/>
                </w:tcPr>
                <w:p w14:paraId="3A1A067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1162" w:type="dxa"/>
                  <w:vAlign w:val="center"/>
                </w:tcPr>
                <w:p w14:paraId="5EA7D1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40</w:t>
                  </w:r>
                </w:p>
              </w:tc>
              <w:tc>
                <w:tcPr>
                  <w:tcW w:w="947" w:type="dxa"/>
                  <w:vAlign w:val="center"/>
                </w:tcPr>
                <w:p w14:paraId="396024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lang w:val="en-US"/>
                    </w:rPr>
                  </w:pPr>
                  <w:r>
                    <w:rPr>
                      <w:rFonts w:hint="eastAsia" w:cs="var(--dsw-font-markdown-table)"/>
                      <w:color w:val="auto"/>
                      <w:kern w:val="0"/>
                      <w:sz w:val="21"/>
                      <w:szCs w:val="24"/>
                      <w:lang w:val="en-US" w:eastAsia="zh-CN" w:bidi="ar"/>
                    </w:rPr>
                    <w:t>2.6</w:t>
                  </w:r>
                </w:p>
              </w:tc>
              <w:tc>
                <w:tcPr>
                  <w:tcW w:w="4752" w:type="dxa"/>
                  <w:vAlign w:val="center"/>
                </w:tcPr>
                <w:p w14:paraId="4ECE2D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kern w:val="0"/>
                      <w:sz w:val="21"/>
                      <w:szCs w:val="24"/>
                      <w:lang w:val="en-US" w:eastAsia="zh-CN" w:bidi="ar"/>
                    </w:rPr>
                    <w:t>广东省《制鞋行业挥发性有机化合物排放标准》（DB44/817</w:t>
                  </w:r>
                  <w:r>
                    <w:rPr>
                      <w:rFonts w:hint="eastAsia" w:ascii="Times New Roman" w:hAnsi="Times New Roman" w:eastAsia="宋体" w:cs="var(--dsw-font-markdown-table)"/>
                      <w:kern w:val="0"/>
                      <w:sz w:val="21"/>
                      <w:szCs w:val="24"/>
                      <w:lang w:val="en-US" w:eastAsia="zh-CN" w:bidi="ar"/>
                    </w:rPr>
                    <w:t xml:space="preserve">- </w:t>
                  </w:r>
                  <w:r>
                    <w:rPr>
                      <w:rFonts w:hint="default" w:ascii="Times New Roman" w:hAnsi="Times New Roman" w:eastAsia="宋体" w:cs="var(--dsw-font-markdown-table)"/>
                      <w:kern w:val="0"/>
                      <w:sz w:val="21"/>
                      <w:szCs w:val="24"/>
                      <w:lang w:val="en-US" w:eastAsia="zh-CN" w:bidi="ar"/>
                    </w:rPr>
                    <w:t>2010）表1第Ⅱ时段限值</w:t>
                  </w:r>
                </w:p>
              </w:tc>
            </w:tr>
            <w:tr w14:paraId="39AEB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Merge w:val="continue"/>
                  <w:vAlign w:val="center"/>
                </w:tcPr>
                <w:p w14:paraId="099040B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690" w:type="dxa"/>
                  <w:vMerge w:val="continue"/>
                  <w:vAlign w:val="center"/>
                </w:tcPr>
                <w:p w14:paraId="29EFFB6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843" w:type="dxa"/>
                  <w:vAlign w:val="center"/>
                </w:tcPr>
                <w:p w14:paraId="11DD87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b w:val="0"/>
                      <w:bCs w:val="0"/>
                      <w:color w:val="auto"/>
                      <w:kern w:val="0"/>
                      <w:sz w:val="21"/>
                      <w:szCs w:val="24"/>
                      <w:lang w:val="en-US" w:eastAsia="zh-CN" w:bidi="ar"/>
                    </w:rPr>
                    <w:t>臭气浓度</w:t>
                  </w:r>
                </w:p>
              </w:tc>
              <w:tc>
                <w:tcPr>
                  <w:tcW w:w="731" w:type="dxa"/>
                  <w:vMerge w:val="continue"/>
                  <w:vAlign w:val="center"/>
                </w:tcPr>
                <w:p w14:paraId="1024FD5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1162" w:type="dxa"/>
                  <w:vAlign w:val="center"/>
                </w:tcPr>
                <w:p w14:paraId="5ABFA9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40000（无量纲）</w:t>
                  </w:r>
                </w:p>
              </w:tc>
              <w:tc>
                <w:tcPr>
                  <w:tcW w:w="947" w:type="dxa"/>
                  <w:vAlign w:val="center"/>
                </w:tcPr>
                <w:p w14:paraId="363C67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w:t>
                  </w:r>
                </w:p>
              </w:tc>
              <w:tc>
                <w:tcPr>
                  <w:tcW w:w="4752" w:type="dxa"/>
                  <w:vAlign w:val="center"/>
                </w:tcPr>
                <w:p w14:paraId="255D68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b w:val="0"/>
                      <w:bCs w:val="0"/>
                      <w:color w:val="auto"/>
                      <w:kern w:val="0"/>
                      <w:sz w:val="21"/>
                      <w:szCs w:val="24"/>
                      <w:lang w:val="en-US" w:eastAsia="zh-CN" w:bidi="ar"/>
                    </w:rPr>
                    <w:t>《恶臭污染物排放标准》（GB14554</w:t>
                  </w:r>
                  <w:r>
                    <w:rPr>
                      <w:rFonts w:hint="eastAsia" w:cs="var(--dsw-font-markdown-table)"/>
                      <w:b w:val="0"/>
                      <w:bCs w:val="0"/>
                      <w:color w:val="auto"/>
                      <w:kern w:val="0"/>
                      <w:sz w:val="21"/>
                      <w:szCs w:val="24"/>
                      <w:lang w:val="en-US" w:eastAsia="zh-CN" w:bidi="ar"/>
                    </w:rPr>
                    <w:t xml:space="preserve">- </w:t>
                  </w:r>
                  <w:r>
                    <w:rPr>
                      <w:rFonts w:hint="default" w:ascii="Times New Roman" w:hAnsi="Times New Roman" w:eastAsia="宋体" w:cs="var(--dsw-font-markdown-table)"/>
                      <w:b w:val="0"/>
                      <w:bCs w:val="0"/>
                      <w:color w:val="auto"/>
                      <w:kern w:val="0"/>
                      <w:sz w:val="21"/>
                      <w:szCs w:val="24"/>
                      <w:lang w:val="en-US" w:eastAsia="zh-CN" w:bidi="ar"/>
                    </w:rPr>
                    <w:t>93）表2恶臭污染物排放标准值</w:t>
                  </w:r>
                </w:p>
              </w:tc>
            </w:tr>
            <w:tr w14:paraId="5CDA6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Merge w:val="restart"/>
                  <w:vAlign w:val="center"/>
                </w:tcPr>
                <w:p w14:paraId="0A4FF4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成品组装工序废气</w:t>
                  </w:r>
                </w:p>
              </w:tc>
              <w:tc>
                <w:tcPr>
                  <w:tcW w:w="690" w:type="dxa"/>
                  <w:vMerge w:val="restart"/>
                  <w:vAlign w:val="center"/>
                </w:tcPr>
                <w:p w14:paraId="4519F6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eastAsia" w:cs="var(--dsw-font-markdown-table)"/>
                      <w:color w:val="auto"/>
                      <w:kern w:val="0"/>
                      <w:sz w:val="21"/>
                      <w:szCs w:val="24"/>
                      <w:lang w:val="en-US" w:eastAsia="zh-CN" w:bidi="ar"/>
                    </w:rPr>
                    <w:t>G2~G7</w:t>
                  </w:r>
                </w:p>
              </w:tc>
              <w:tc>
                <w:tcPr>
                  <w:tcW w:w="843" w:type="dxa"/>
                  <w:vAlign w:val="center"/>
                </w:tcPr>
                <w:p w14:paraId="4BC407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非甲烷总烃</w:t>
                  </w:r>
                </w:p>
              </w:tc>
              <w:tc>
                <w:tcPr>
                  <w:tcW w:w="731" w:type="dxa"/>
                  <w:vMerge w:val="restart"/>
                  <w:vAlign w:val="center"/>
                </w:tcPr>
                <w:p w14:paraId="1CB5D3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lang w:val="en-US"/>
                    </w:rPr>
                  </w:pPr>
                  <w:r>
                    <w:rPr>
                      <w:rFonts w:hint="eastAsia" w:cs="var(--dsw-font-markdown-table)"/>
                      <w:color w:val="auto"/>
                      <w:kern w:val="0"/>
                      <w:sz w:val="21"/>
                      <w:szCs w:val="24"/>
                      <w:lang w:val="en-US" w:eastAsia="zh-CN" w:bidi="ar"/>
                    </w:rPr>
                    <w:t>50</w:t>
                  </w:r>
                </w:p>
              </w:tc>
              <w:tc>
                <w:tcPr>
                  <w:tcW w:w="1162" w:type="dxa"/>
                  <w:vAlign w:val="center"/>
                </w:tcPr>
                <w:p w14:paraId="302B95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80</w:t>
                  </w:r>
                </w:p>
              </w:tc>
              <w:tc>
                <w:tcPr>
                  <w:tcW w:w="947" w:type="dxa"/>
                  <w:vAlign w:val="center"/>
                </w:tcPr>
                <w:p w14:paraId="7C00C6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w:t>
                  </w:r>
                </w:p>
              </w:tc>
              <w:tc>
                <w:tcPr>
                  <w:tcW w:w="4752" w:type="dxa"/>
                  <w:vAlign w:val="center"/>
                </w:tcPr>
                <w:p w14:paraId="1A4FAC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kern w:val="0"/>
                      <w:sz w:val="21"/>
                      <w:szCs w:val="24"/>
                      <w:lang w:val="en-US" w:eastAsia="zh-CN" w:bidi="ar"/>
                    </w:rPr>
                    <w:t>广东省《固定污染源挥发性有机物综合排放标准》（DB44/2367</w:t>
                  </w:r>
                  <w:r>
                    <w:rPr>
                      <w:rFonts w:hint="eastAsia" w:ascii="Times New Roman" w:hAnsi="Times New Roman" w:eastAsia="宋体" w:cs="var(--dsw-font-markdown-table)"/>
                      <w:kern w:val="0"/>
                      <w:sz w:val="21"/>
                      <w:szCs w:val="24"/>
                      <w:lang w:val="en-US" w:eastAsia="zh-CN" w:bidi="ar"/>
                    </w:rPr>
                    <w:t xml:space="preserve"> -</w:t>
                  </w:r>
                  <w:r>
                    <w:rPr>
                      <w:rFonts w:hint="default" w:ascii="Times New Roman" w:hAnsi="Times New Roman" w:eastAsia="宋体" w:cs="var(--dsw-font-markdown-table)"/>
                      <w:kern w:val="0"/>
                      <w:sz w:val="21"/>
                      <w:szCs w:val="24"/>
                      <w:lang w:val="en-US" w:eastAsia="zh-CN" w:bidi="ar"/>
                    </w:rPr>
                    <w:t>2022）表1限值</w:t>
                  </w:r>
                </w:p>
              </w:tc>
            </w:tr>
            <w:tr w14:paraId="5DB7B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Merge w:val="continue"/>
                  <w:vAlign w:val="center"/>
                </w:tcPr>
                <w:p w14:paraId="4468FEB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690" w:type="dxa"/>
                  <w:vMerge w:val="continue"/>
                  <w:vAlign w:val="center"/>
                </w:tcPr>
                <w:p w14:paraId="5B70966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843" w:type="dxa"/>
                  <w:vAlign w:val="center"/>
                </w:tcPr>
                <w:p w14:paraId="18CBF8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总VOCs</w:t>
                  </w:r>
                </w:p>
              </w:tc>
              <w:tc>
                <w:tcPr>
                  <w:tcW w:w="731" w:type="dxa"/>
                  <w:vMerge w:val="continue"/>
                  <w:vAlign w:val="center"/>
                </w:tcPr>
                <w:p w14:paraId="3D75141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1162" w:type="dxa"/>
                  <w:vAlign w:val="center"/>
                </w:tcPr>
                <w:p w14:paraId="60A671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40</w:t>
                  </w:r>
                </w:p>
              </w:tc>
              <w:tc>
                <w:tcPr>
                  <w:tcW w:w="947" w:type="dxa"/>
                  <w:vAlign w:val="center"/>
                </w:tcPr>
                <w:p w14:paraId="15D02E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lang w:val="en-US"/>
                    </w:rPr>
                  </w:pPr>
                  <w:r>
                    <w:rPr>
                      <w:rFonts w:hint="eastAsia" w:cs="var(--dsw-font-markdown-table)"/>
                      <w:color w:val="auto"/>
                      <w:kern w:val="0"/>
                      <w:sz w:val="21"/>
                      <w:szCs w:val="24"/>
                      <w:lang w:val="en-US" w:eastAsia="zh-CN" w:bidi="ar"/>
                    </w:rPr>
                    <w:t>2.6</w:t>
                  </w:r>
                </w:p>
              </w:tc>
              <w:tc>
                <w:tcPr>
                  <w:tcW w:w="4752" w:type="dxa"/>
                  <w:vAlign w:val="center"/>
                </w:tcPr>
                <w:p w14:paraId="583A7A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kern w:val="0"/>
                      <w:sz w:val="21"/>
                      <w:szCs w:val="24"/>
                      <w:lang w:val="en-US" w:eastAsia="zh-CN" w:bidi="ar"/>
                    </w:rPr>
                    <w:t>广东省《制鞋行业挥发性有机化合物排放标准》（DB44/817</w:t>
                  </w:r>
                  <w:r>
                    <w:rPr>
                      <w:rFonts w:hint="eastAsia" w:ascii="Times New Roman" w:hAnsi="Times New Roman" w:eastAsia="宋体" w:cs="var(--dsw-font-markdown-table)"/>
                      <w:kern w:val="0"/>
                      <w:sz w:val="21"/>
                      <w:szCs w:val="24"/>
                      <w:lang w:val="en-US" w:eastAsia="zh-CN" w:bidi="ar"/>
                    </w:rPr>
                    <w:t xml:space="preserve">- </w:t>
                  </w:r>
                  <w:r>
                    <w:rPr>
                      <w:rFonts w:hint="default" w:ascii="Times New Roman" w:hAnsi="Times New Roman" w:eastAsia="宋体" w:cs="var(--dsw-font-markdown-table)"/>
                      <w:kern w:val="0"/>
                      <w:sz w:val="21"/>
                      <w:szCs w:val="24"/>
                      <w:lang w:val="en-US" w:eastAsia="zh-CN" w:bidi="ar"/>
                    </w:rPr>
                    <w:t>2010）表1第Ⅱ时段限值</w:t>
                  </w:r>
                </w:p>
              </w:tc>
            </w:tr>
            <w:tr w14:paraId="3001D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Merge w:val="continue"/>
                  <w:vAlign w:val="center"/>
                </w:tcPr>
                <w:p w14:paraId="7B8495C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690" w:type="dxa"/>
                  <w:vMerge w:val="continue"/>
                  <w:vAlign w:val="center"/>
                </w:tcPr>
                <w:p w14:paraId="7EFD5C5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843" w:type="dxa"/>
                  <w:vAlign w:val="center"/>
                </w:tcPr>
                <w:p w14:paraId="482F53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臭气浓度</w:t>
                  </w:r>
                </w:p>
              </w:tc>
              <w:tc>
                <w:tcPr>
                  <w:tcW w:w="731" w:type="dxa"/>
                  <w:vMerge w:val="continue"/>
                  <w:vAlign w:val="center"/>
                </w:tcPr>
                <w:p w14:paraId="5F2FF85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1162" w:type="dxa"/>
                  <w:vAlign w:val="center"/>
                </w:tcPr>
                <w:p w14:paraId="784C96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40000（无量纲）</w:t>
                  </w:r>
                </w:p>
              </w:tc>
              <w:tc>
                <w:tcPr>
                  <w:tcW w:w="947" w:type="dxa"/>
                  <w:vAlign w:val="center"/>
                </w:tcPr>
                <w:p w14:paraId="623428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w:t>
                  </w:r>
                </w:p>
              </w:tc>
              <w:tc>
                <w:tcPr>
                  <w:tcW w:w="4752" w:type="dxa"/>
                  <w:vAlign w:val="center"/>
                </w:tcPr>
                <w:p w14:paraId="6D1B8E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kern w:val="0"/>
                      <w:sz w:val="21"/>
                      <w:szCs w:val="24"/>
                      <w:lang w:val="en-US" w:eastAsia="zh-CN" w:bidi="ar"/>
                    </w:rPr>
                    <w:t>《恶臭污染物排放标准》（GB14554</w:t>
                  </w:r>
                  <w:r>
                    <w:rPr>
                      <w:rFonts w:hint="eastAsia" w:ascii="Times New Roman" w:hAnsi="Times New Roman" w:eastAsia="宋体" w:cs="var(--dsw-font-markdown-table)"/>
                      <w:kern w:val="0"/>
                      <w:sz w:val="21"/>
                      <w:szCs w:val="24"/>
                      <w:lang w:val="en-US" w:eastAsia="zh-CN" w:bidi="ar"/>
                    </w:rPr>
                    <w:t xml:space="preserve">- </w:t>
                  </w:r>
                  <w:r>
                    <w:rPr>
                      <w:rFonts w:hint="default" w:ascii="Times New Roman" w:hAnsi="Times New Roman" w:eastAsia="宋体" w:cs="var(--dsw-font-markdown-table)"/>
                      <w:kern w:val="0"/>
                      <w:sz w:val="21"/>
                      <w:szCs w:val="24"/>
                      <w:lang w:val="en-US" w:eastAsia="zh-CN" w:bidi="ar"/>
                    </w:rPr>
                    <w:t>93）表2恶臭污染物排放标准值</w:t>
                  </w:r>
                </w:p>
              </w:tc>
            </w:tr>
            <w:tr w14:paraId="140C3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Align w:val="center"/>
                </w:tcPr>
                <w:p w14:paraId="3FC9E6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食堂油烟</w:t>
                  </w:r>
                </w:p>
              </w:tc>
              <w:tc>
                <w:tcPr>
                  <w:tcW w:w="690" w:type="dxa"/>
                  <w:vAlign w:val="center"/>
                </w:tcPr>
                <w:p w14:paraId="3F0579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eastAsia" w:cs="var(--dsw-font-markdown-table)"/>
                      <w:color w:val="auto"/>
                      <w:kern w:val="0"/>
                      <w:sz w:val="21"/>
                      <w:szCs w:val="24"/>
                      <w:lang w:val="en-US" w:eastAsia="zh-CN" w:bidi="ar"/>
                    </w:rPr>
                    <w:t>G8</w:t>
                  </w:r>
                </w:p>
              </w:tc>
              <w:tc>
                <w:tcPr>
                  <w:tcW w:w="843" w:type="dxa"/>
                  <w:vAlign w:val="center"/>
                </w:tcPr>
                <w:p w14:paraId="0CBB67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油烟</w:t>
                  </w:r>
                </w:p>
              </w:tc>
              <w:tc>
                <w:tcPr>
                  <w:tcW w:w="731" w:type="dxa"/>
                  <w:vAlign w:val="center"/>
                </w:tcPr>
                <w:p w14:paraId="53C775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lang w:val="en-US" w:eastAsia="zh-CN"/>
                    </w:rPr>
                  </w:pPr>
                  <w:r>
                    <w:rPr>
                      <w:rFonts w:hint="eastAsia"/>
                      <w:b/>
                      <w:bCs/>
                      <w:color w:val="auto"/>
                      <w:sz w:val="21"/>
                      <w:highlight w:val="none"/>
                      <w:vertAlign w:val="baseline"/>
                      <w:lang w:val="en-US" w:eastAsia="zh-CN"/>
                    </w:rPr>
                    <w:t>50</w:t>
                  </w:r>
                </w:p>
              </w:tc>
              <w:tc>
                <w:tcPr>
                  <w:tcW w:w="1162" w:type="dxa"/>
                  <w:vAlign w:val="center"/>
                </w:tcPr>
                <w:p w14:paraId="4B2604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2.0</w:t>
                  </w:r>
                </w:p>
              </w:tc>
              <w:tc>
                <w:tcPr>
                  <w:tcW w:w="947" w:type="dxa"/>
                  <w:vAlign w:val="center"/>
                </w:tcPr>
                <w:p w14:paraId="2422EA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4752" w:type="dxa"/>
                  <w:vAlign w:val="center"/>
                </w:tcPr>
                <w:p w14:paraId="406539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《饮食业油烟排放标准（试行）》（GB18483</w:t>
                  </w:r>
                  <w:r>
                    <w:rPr>
                      <w:rFonts w:hint="eastAsia" w:ascii="Times New Roman" w:hAnsi="Times New Roman" w:eastAsia="宋体" w:cs="var(--dsw-font-markdown-table)"/>
                      <w:kern w:val="0"/>
                      <w:sz w:val="21"/>
                      <w:szCs w:val="24"/>
                      <w:lang w:val="en-US" w:eastAsia="zh-CN" w:bidi="ar"/>
                    </w:rPr>
                    <w:t xml:space="preserve">- </w:t>
                  </w:r>
                  <w:r>
                    <w:rPr>
                      <w:rFonts w:hint="default" w:ascii="Times New Roman" w:hAnsi="Times New Roman" w:eastAsia="宋体" w:cs="var(--dsw-font-markdown-table)"/>
                      <w:kern w:val="0"/>
                      <w:sz w:val="21"/>
                      <w:szCs w:val="24"/>
                      <w:lang w:val="en-US" w:eastAsia="zh-CN" w:bidi="ar"/>
                    </w:rPr>
                    <w:t>2001）表2最高允许排放浓度限值（中型）</w:t>
                  </w:r>
                </w:p>
              </w:tc>
            </w:tr>
            <w:tr w14:paraId="5839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Merge w:val="restart"/>
                  <w:vAlign w:val="center"/>
                </w:tcPr>
                <w:p w14:paraId="5B2856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UV打印、</w:t>
                  </w:r>
                  <w:r>
                    <w:rPr>
                      <w:rFonts w:hint="default" w:ascii="Times New Roman" w:hAnsi="Times New Roman" w:eastAsia="宋体" w:cs="Segoe UI"/>
                      <w:b w:val="0"/>
                      <w:bCs/>
                      <w:i w:val="0"/>
                      <w:iCs w:val="0"/>
                      <w:caps w:val="0"/>
                      <w:strike w:val="0"/>
                      <w:color w:val="auto"/>
                      <w:spacing w:val="0"/>
                      <w:sz w:val="21"/>
                      <w:szCs w:val="24"/>
                      <w:u w:val="none"/>
                      <w:lang w:val="en-US" w:eastAsia="zh-CN"/>
                    </w:rPr>
                    <w:t>打转印纸</w:t>
                  </w:r>
                </w:p>
              </w:tc>
              <w:tc>
                <w:tcPr>
                  <w:tcW w:w="690" w:type="dxa"/>
                  <w:vMerge w:val="restart"/>
                  <w:vAlign w:val="center"/>
                </w:tcPr>
                <w:p w14:paraId="5E155A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G9</w:t>
                  </w:r>
                </w:p>
              </w:tc>
              <w:tc>
                <w:tcPr>
                  <w:tcW w:w="843" w:type="dxa"/>
                  <w:vAlign w:val="center"/>
                </w:tcPr>
                <w:p w14:paraId="4F4ABD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非甲烷总烃</w:t>
                  </w:r>
                </w:p>
              </w:tc>
              <w:tc>
                <w:tcPr>
                  <w:tcW w:w="731" w:type="dxa"/>
                  <w:vMerge w:val="restart"/>
                  <w:vAlign w:val="center"/>
                </w:tcPr>
                <w:p w14:paraId="5CD793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b/>
                      <w:bCs/>
                      <w:color w:val="auto"/>
                      <w:sz w:val="21"/>
                      <w:highlight w:val="none"/>
                      <w:vertAlign w:val="baseline"/>
                      <w:lang w:val="en-US" w:eastAsia="zh-CN"/>
                    </w:rPr>
                  </w:pPr>
                  <w:r>
                    <w:rPr>
                      <w:rFonts w:hint="eastAsia"/>
                      <w:b/>
                      <w:bCs/>
                      <w:color w:val="auto"/>
                      <w:sz w:val="21"/>
                      <w:highlight w:val="none"/>
                      <w:vertAlign w:val="baseline"/>
                      <w:lang w:val="en-US" w:eastAsia="zh-CN"/>
                    </w:rPr>
                    <w:t>50</w:t>
                  </w:r>
                </w:p>
              </w:tc>
              <w:tc>
                <w:tcPr>
                  <w:tcW w:w="1162" w:type="dxa"/>
                  <w:vAlign w:val="center"/>
                </w:tcPr>
                <w:p w14:paraId="46715C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70</w:t>
                  </w:r>
                </w:p>
              </w:tc>
              <w:tc>
                <w:tcPr>
                  <w:tcW w:w="947" w:type="dxa"/>
                  <w:vAlign w:val="center"/>
                </w:tcPr>
                <w:p w14:paraId="1B494D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w:t>
                  </w:r>
                </w:p>
              </w:tc>
              <w:tc>
                <w:tcPr>
                  <w:tcW w:w="4752" w:type="dxa"/>
                  <w:vAlign w:val="center"/>
                </w:tcPr>
                <w:p w14:paraId="41BDCAE7">
                  <w:pPr>
                    <w:keepNext w:val="0"/>
                    <w:keepLines w:val="0"/>
                    <w:widowControl/>
                    <w:suppressLineNumbers w:val="0"/>
                    <w:spacing w:before="0" w:beforeAutospacing="0" w:after="0" w:afterAutospacing="0"/>
                    <w:ind w:left="0" w:right="0"/>
                    <w:jc w:val="left"/>
                    <w:rPr>
                      <w:rFonts w:hint="default" w:ascii="Times New Roman" w:hAnsi="Times New Roman" w:eastAsia="宋体" w:cs="var(--dsw-font-markdown-table)"/>
                      <w:kern w:val="0"/>
                      <w:sz w:val="21"/>
                      <w:szCs w:val="24"/>
                      <w:lang w:val="en-US" w:eastAsia="zh-CN" w:bidi="ar"/>
                    </w:rPr>
                  </w:pPr>
                  <w:r>
                    <w:rPr>
                      <w:rFonts w:hint="eastAsia" w:ascii="宋体" w:hAnsi="宋体" w:eastAsia="宋体" w:cs="宋体"/>
                      <w:color w:val="000000"/>
                      <w:kern w:val="0"/>
                      <w:sz w:val="21"/>
                      <w:szCs w:val="21"/>
                      <w:lang w:val="en-US" w:eastAsia="zh-CN" w:bidi="ar"/>
                    </w:rPr>
                    <w:t>《印刷工业大气污染物排放标准》（</w:t>
                  </w:r>
                  <w:r>
                    <w:rPr>
                      <w:rFonts w:hint="default" w:ascii="Times New Roman" w:hAnsi="Times New Roman" w:eastAsia="宋体" w:cs="Times New Roman"/>
                      <w:color w:val="000000"/>
                      <w:kern w:val="0"/>
                      <w:sz w:val="21"/>
                      <w:szCs w:val="21"/>
                      <w:lang w:val="en-US" w:eastAsia="zh-CN" w:bidi="ar"/>
                    </w:rPr>
                    <w:t>GB41616-2022</w:t>
                  </w:r>
                  <w:r>
                    <w:rPr>
                      <w:rFonts w:hint="eastAsia" w:ascii="宋体" w:hAnsi="宋体" w:eastAsia="宋体" w:cs="宋体"/>
                      <w:color w:val="000000"/>
                      <w:kern w:val="0"/>
                      <w:sz w:val="21"/>
                      <w:szCs w:val="21"/>
                      <w:lang w:val="en-US" w:eastAsia="zh-CN" w:bidi="ar"/>
                    </w:rPr>
                    <w:t>）表</w:t>
                  </w:r>
                  <w:r>
                    <w:rPr>
                      <w:rFonts w:hint="default" w:ascii="Times New Roman" w:hAnsi="Times New Roman" w:eastAsia="宋体" w:cs="Times New Roman"/>
                      <w:color w:val="000000"/>
                      <w:kern w:val="0"/>
                      <w:sz w:val="21"/>
                      <w:szCs w:val="21"/>
                      <w:lang w:val="en-US" w:eastAsia="zh-CN" w:bidi="ar"/>
                    </w:rPr>
                    <w:t>1</w:t>
                  </w:r>
                  <w:r>
                    <w:rPr>
                      <w:rFonts w:hint="eastAsia" w:ascii="宋体" w:hAnsi="宋体" w:eastAsia="宋体" w:cs="宋体"/>
                      <w:color w:val="000000"/>
                      <w:kern w:val="0"/>
                      <w:sz w:val="21"/>
                      <w:szCs w:val="21"/>
                      <w:lang w:val="en-US" w:eastAsia="zh-CN" w:bidi="ar"/>
                    </w:rPr>
                    <w:t>大气污染物排放限值</w:t>
                  </w:r>
                </w:p>
              </w:tc>
            </w:tr>
            <w:tr w14:paraId="1D4D3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Merge w:val="continue"/>
                  <w:vAlign w:val="center"/>
                </w:tcPr>
                <w:p w14:paraId="18F78A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690" w:type="dxa"/>
                  <w:vMerge w:val="continue"/>
                  <w:vAlign w:val="center"/>
                </w:tcPr>
                <w:p w14:paraId="34BFB4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cs="var(--dsw-font-markdown-table)"/>
                      <w:color w:val="auto"/>
                      <w:kern w:val="0"/>
                      <w:sz w:val="21"/>
                      <w:szCs w:val="24"/>
                      <w:lang w:val="en-US" w:eastAsia="zh-CN" w:bidi="ar"/>
                    </w:rPr>
                  </w:pPr>
                </w:p>
              </w:tc>
              <w:tc>
                <w:tcPr>
                  <w:tcW w:w="843" w:type="dxa"/>
                  <w:vAlign w:val="center"/>
                </w:tcPr>
                <w:p w14:paraId="407D06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总VOCs</w:t>
                  </w:r>
                </w:p>
              </w:tc>
              <w:tc>
                <w:tcPr>
                  <w:tcW w:w="731" w:type="dxa"/>
                  <w:vMerge w:val="continue"/>
                  <w:vAlign w:val="center"/>
                </w:tcPr>
                <w:p w14:paraId="7D80D3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b/>
                      <w:bCs/>
                      <w:color w:val="auto"/>
                      <w:sz w:val="21"/>
                      <w:highlight w:val="none"/>
                      <w:vertAlign w:val="baseline"/>
                      <w:lang w:val="en-US" w:eastAsia="zh-CN"/>
                    </w:rPr>
                  </w:pPr>
                </w:p>
              </w:tc>
              <w:tc>
                <w:tcPr>
                  <w:tcW w:w="1162" w:type="dxa"/>
                  <w:vAlign w:val="center"/>
                </w:tcPr>
                <w:p w14:paraId="678E4F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40</w:t>
                  </w:r>
                </w:p>
              </w:tc>
              <w:tc>
                <w:tcPr>
                  <w:tcW w:w="947" w:type="dxa"/>
                  <w:vAlign w:val="center"/>
                </w:tcPr>
                <w:p w14:paraId="02D81B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2.6</w:t>
                  </w:r>
                </w:p>
              </w:tc>
              <w:tc>
                <w:tcPr>
                  <w:tcW w:w="4752" w:type="dxa"/>
                  <w:vAlign w:val="center"/>
                </w:tcPr>
                <w:p w14:paraId="01E1C036">
                  <w:pPr>
                    <w:keepNext w:val="0"/>
                    <w:keepLines w:val="0"/>
                    <w:widowControl/>
                    <w:suppressLineNumbers w:val="0"/>
                    <w:spacing w:before="0" w:beforeAutospacing="0" w:after="0" w:afterAutospacing="0"/>
                    <w:ind w:left="0" w:right="0"/>
                    <w:jc w:val="left"/>
                    <w:rPr>
                      <w:rFonts w:hint="default"/>
                    </w:rPr>
                  </w:pPr>
                  <w:r>
                    <w:rPr>
                      <w:rFonts w:hint="eastAsia" w:ascii="宋体" w:hAnsi="宋体" w:eastAsia="宋体" w:cs="宋体"/>
                      <w:color w:val="000000"/>
                      <w:kern w:val="0"/>
                      <w:sz w:val="21"/>
                      <w:szCs w:val="21"/>
                      <w:lang w:val="en-US" w:eastAsia="zh-CN" w:bidi="ar"/>
                    </w:rPr>
                    <w:t>《制鞋行业挥发性有机化合物排放标准》（</w:t>
                  </w:r>
                  <w:r>
                    <w:rPr>
                      <w:rFonts w:hint="default" w:ascii="Times New Roman" w:hAnsi="Times New Roman" w:eastAsia="宋体" w:cs="Times New Roman"/>
                      <w:color w:val="000000"/>
                      <w:kern w:val="0"/>
                      <w:sz w:val="21"/>
                      <w:szCs w:val="21"/>
                      <w:lang w:val="en-US" w:eastAsia="zh-CN" w:bidi="ar"/>
                    </w:rPr>
                    <w:t>DB44 817-2010</w:t>
                  </w:r>
                  <w:r>
                    <w:rPr>
                      <w:rFonts w:hint="eastAsia" w:ascii="宋体" w:hAnsi="宋体" w:eastAsia="宋体" w:cs="宋体"/>
                      <w:color w:val="000000"/>
                      <w:kern w:val="0"/>
                      <w:sz w:val="21"/>
                      <w:szCs w:val="21"/>
                      <w:lang w:val="en-US" w:eastAsia="zh-CN" w:bidi="ar"/>
                    </w:rPr>
                    <w:t>）表</w:t>
                  </w:r>
                  <w:r>
                    <w:rPr>
                      <w:rFonts w:hint="default" w:ascii="Times New Roman" w:hAnsi="Times New Roman" w:eastAsia="宋体" w:cs="Times New Roman"/>
                      <w:color w:val="000000"/>
                      <w:kern w:val="0"/>
                      <w:sz w:val="21"/>
                      <w:szCs w:val="21"/>
                      <w:lang w:val="en-US" w:eastAsia="zh-CN" w:bidi="ar"/>
                    </w:rPr>
                    <w:t>1</w:t>
                  </w:r>
                  <w:r>
                    <w:rPr>
                      <w:rFonts w:hint="eastAsia" w:ascii="宋体" w:hAnsi="宋体" w:eastAsia="宋体" w:cs="宋体"/>
                      <w:color w:val="000000"/>
                      <w:kern w:val="0"/>
                      <w:sz w:val="21"/>
                      <w:szCs w:val="21"/>
                      <w:lang w:val="en-US" w:eastAsia="zh-CN" w:bidi="ar"/>
                    </w:rPr>
                    <w:t>第</w:t>
                  </w:r>
                  <w:r>
                    <w:rPr>
                      <w:rFonts w:hint="default" w:ascii="Times New Roman" w:hAnsi="Times New Roman" w:eastAsia="宋体" w:cs="Times New Roman"/>
                      <w:color w:val="000000"/>
                      <w:kern w:val="0"/>
                      <w:sz w:val="21"/>
                      <w:szCs w:val="21"/>
                      <w:lang w:val="en-US" w:eastAsia="zh-CN" w:bidi="ar"/>
                    </w:rPr>
                    <w:t>II</w:t>
                  </w:r>
                  <w:r>
                    <w:rPr>
                      <w:rFonts w:hint="eastAsia" w:ascii="宋体" w:hAnsi="宋体" w:eastAsia="宋体" w:cs="宋体"/>
                      <w:color w:val="000000"/>
                      <w:kern w:val="0"/>
                      <w:sz w:val="21"/>
                      <w:szCs w:val="21"/>
                      <w:lang w:val="en-US" w:eastAsia="zh-CN" w:bidi="ar"/>
                    </w:rPr>
                    <w:t>时段排放限值要求与广东省地方标准《印刷行业挥发性有机</w:t>
                  </w:r>
                </w:p>
                <w:p w14:paraId="7C45CB58">
                  <w:pPr>
                    <w:keepNext w:val="0"/>
                    <w:keepLines w:val="0"/>
                    <w:widowControl/>
                    <w:suppressLineNumbers w:val="0"/>
                    <w:spacing w:before="0" w:beforeAutospacing="0" w:after="0" w:afterAutospacing="0"/>
                    <w:ind w:left="0" w:right="0"/>
                    <w:jc w:val="left"/>
                    <w:rPr>
                      <w:rFonts w:hint="default" w:ascii="Times New Roman" w:hAnsi="Times New Roman" w:eastAsia="宋体" w:cs="var(--dsw-font-markdown-table)"/>
                      <w:kern w:val="0"/>
                      <w:sz w:val="21"/>
                      <w:szCs w:val="24"/>
                      <w:lang w:val="en-US" w:eastAsia="zh-CN" w:bidi="ar"/>
                    </w:rPr>
                  </w:pPr>
                  <w:r>
                    <w:rPr>
                      <w:rFonts w:hint="eastAsia" w:ascii="宋体" w:hAnsi="宋体" w:eastAsia="宋体" w:cs="宋体"/>
                      <w:color w:val="000000"/>
                      <w:kern w:val="0"/>
                      <w:sz w:val="21"/>
                      <w:szCs w:val="21"/>
                      <w:lang w:val="en-US" w:eastAsia="zh-CN" w:bidi="ar"/>
                    </w:rPr>
                    <w:t>化合物排放标准》（</w:t>
                  </w:r>
                  <w:r>
                    <w:rPr>
                      <w:rFonts w:hint="default" w:ascii="Times New Roman" w:hAnsi="Times New Roman" w:eastAsia="宋体" w:cs="Times New Roman"/>
                      <w:color w:val="000000"/>
                      <w:kern w:val="0"/>
                      <w:sz w:val="21"/>
                      <w:szCs w:val="21"/>
                      <w:lang w:val="en-US" w:eastAsia="zh-CN" w:bidi="ar"/>
                    </w:rPr>
                    <w:t>DB44/815-2010</w:t>
                  </w:r>
                  <w:r>
                    <w:rPr>
                      <w:rFonts w:hint="eastAsia" w:ascii="宋体" w:hAnsi="宋体" w:eastAsia="宋体" w:cs="宋体"/>
                      <w:color w:val="000000"/>
                      <w:kern w:val="0"/>
                      <w:sz w:val="21"/>
                      <w:szCs w:val="21"/>
                      <w:lang w:val="en-US" w:eastAsia="zh-CN" w:bidi="ar"/>
                    </w:rPr>
                    <w:t>）表</w:t>
                  </w:r>
                  <w:r>
                    <w:rPr>
                      <w:rFonts w:hint="default" w:ascii="Times New Roman" w:hAnsi="Times New Roman" w:eastAsia="宋体" w:cs="Times New Roman"/>
                      <w:color w:val="000000"/>
                      <w:kern w:val="0"/>
                      <w:sz w:val="21"/>
                      <w:szCs w:val="21"/>
                      <w:lang w:val="en-US" w:eastAsia="zh-CN" w:bidi="ar"/>
                    </w:rPr>
                    <w:t>2</w:t>
                  </w:r>
                  <w:r>
                    <w:rPr>
                      <w:rFonts w:hint="eastAsia" w:ascii="宋体" w:hAnsi="宋体" w:eastAsia="宋体" w:cs="宋体"/>
                      <w:color w:val="000000"/>
                      <w:kern w:val="0"/>
                      <w:sz w:val="21"/>
                      <w:szCs w:val="21"/>
                      <w:lang w:val="en-US" w:eastAsia="zh-CN" w:bidi="ar"/>
                    </w:rPr>
                    <w:t>排气筒</w:t>
                  </w:r>
                  <w:r>
                    <w:rPr>
                      <w:rFonts w:hint="default" w:ascii="Times New Roman" w:hAnsi="Times New Roman" w:eastAsia="宋体" w:cs="Times New Roman"/>
                      <w:color w:val="000000"/>
                      <w:kern w:val="0"/>
                      <w:sz w:val="21"/>
                      <w:szCs w:val="21"/>
                      <w:lang w:val="en-US" w:eastAsia="zh-CN" w:bidi="ar"/>
                    </w:rPr>
                    <w:t>VOCs</w:t>
                  </w:r>
                  <w:r>
                    <w:rPr>
                      <w:rFonts w:hint="eastAsia" w:ascii="宋体" w:hAnsi="宋体" w:eastAsia="宋体" w:cs="宋体"/>
                      <w:color w:val="000000"/>
                      <w:kern w:val="0"/>
                      <w:sz w:val="21"/>
                      <w:szCs w:val="21"/>
                      <w:lang w:val="en-US" w:eastAsia="zh-CN" w:bidi="ar"/>
                    </w:rPr>
                    <w:t>排放限值（第</w:t>
                  </w:r>
                  <w:r>
                    <w:rPr>
                      <w:rFonts w:hint="default" w:ascii="新宋体" w:hAnsi="新宋体" w:eastAsia="新宋体" w:cs="新宋体"/>
                      <w:color w:val="000000"/>
                      <w:kern w:val="0"/>
                      <w:sz w:val="21"/>
                      <w:szCs w:val="21"/>
                      <w:lang w:val="en-US" w:eastAsia="zh-CN" w:bidi="ar"/>
                    </w:rPr>
                    <w:t>Ⅱ</w:t>
                  </w:r>
                  <w:r>
                    <w:rPr>
                      <w:rFonts w:hint="eastAsia" w:ascii="宋体" w:hAnsi="宋体" w:eastAsia="宋体" w:cs="宋体"/>
                      <w:color w:val="000000"/>
                      <w:kern w:val="0"/>
                      <w:sz w:val="21"/>
                      <w:szCs w:val="21"/>
                      <w:lang w:val="en-US" w:eastAsia="zh-CN" w:bidi="ar"/>
                    </w:rPr>
                    <w:t>时段）较严值</w:t>
                  </w:r>
                </w:p>
              </w:tc>
            </w:tr>
            <w:tr w14:paraId="5891B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Merge w:val="continue"/>
                  <w:vAlign w:val="center"/>
                </w:tcPr>
                <w:p w14:paraId="5EEE26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690" w:type="dxa"/>
                  <w:vMerge w:val="continue"/>
                  <w:vAlign w:val="center"/>
                </w:tcPr>
                <w:p w14:paraId="6A5B20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cs="var(--dsw-font-markdown-table)"/>
                      <w:color w:val="auto"/>
                      <w:kern w:val="0"/>
                      <w:sz w:val="21"/>
                      <w:szCs w:val="24"/>
                      <w:lang w:val="en-US" w:eastAsia="zh-CN" w:bidi="ar"/>
                    </w:rPr>
                  </w:pPr>
                </w:p>
              </w:tc>
              <w:tc>
                <w:tcPr>
                  <w:tcW w:w="843" w:type="dxa"/>
                  <w:vAlign w:val="center"/>
                </w:tcPr>
                <w:p w14:paraId="76F77A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臭气浓度</w:t>
                  </w:r>
                </w:p>
              </w:tc>
              <w:tc>
                <w:tcPr>
                  <w:tcW w:w="731" w:type="dxa"/>
                  <w:vMerge w:val="continue"/>
                  <w:vAlign w:val="center"/>
                </w:tcPr>
                <w:p w14:paraId="31064D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b/>
                      <w:bCs/>
                      <w:color w:val="auto"/>
                      <w:sz w:val="21"/>
                      <w:highlight w:val="none"/>
                      <w:vertAlign w:val="baseline"/>
                      <w:lang w:val="en-US" w:eastAsia="zh-CN"/>
                    </w:rPr>
                  </w:pPr>
                </w:p>
              </w:tc>
              <w:tc>
                <w:tcPr>
                  <w:tcW w:w="1162" w:type="dxa"/>
                  <w:vAlign w:val="center"/>
                </w:tcPr>
                <w:p w14:paraId="17C21D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40000（无量纲）</w:t>
                  </w:r>
                </w:p>
              </w:tc>
              <w:tc>
                <w:tcPr>
                  <w:tcW w:w="947" w:type="dxa"/>
                  <w:vAlign w:val="center"/>
                </w:tcPr>
                <w:p w14:paraId="78A590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4752" w:type="dxa"/>
                  <w:vAlign w:val="center"/>
                </w:tcPr>
                <w:p w14:paraId="5D643ACF">
                  <w:pPr>
                    <w:keepNext w:val="0"/>
                    <w:keepLines w:val="0"/>
                    <w:widowControl/>
                    <w:suppressLineNumbers w:val="0"/>
                    <w:spacing w:before="0" w:beforeAutospacing="0" w:after="0" w:afterAutospacing="0"/>
                    <w:ind w:left="0" w:right="0"/>
                    <w:jc w:val="left"/>
                    <w:rPr>
                      <w:rFonts w:hint="default" w:ascii="Times New Roman" w:hAnsi="Times New Roman" w:eastAsia="宋体" w:cs="var(--dsw-font-markdown-table)"/>
                      <w:kern w:val="0"/>
                      <w:sz w:val="21"/>
                      <w:szCs w:val="24"/>
                      <w:lang w:val="en-US" w:eastAsia="zh-CN" w:bidi="ar"/>
                    </w:rPr>
                  </w:pPr>
                  <w:r>
                    <w:rPr>
                      <w:rFonts w:hint="eastAsia" w:ascii="宋体" w:hAnsi="宋体" w:eastAsia="宋体" w:cs="宋体"/>
                      <w:color w:val="000000"/>
                      <w:kern w:val="0"/>
                      <w:sz w:val="21"/>
                      <w:szCs w:val="21"/>
                      <w:lang w:val="en-US" w:eastAsia="zh-CN" w:bidi="ar"/>
                    </w:rPr>
                    <w:t>《恶臭污染物排放标准》（</w:t>
                  </w:r>
                  <w:r>
                    <w:rPr>
                      <w:rFonts w:hint="default" w:ascii="Times New Roman" w:hAnsi="Times New Roman" w:eastAsia="宋体" w:cs="Times New Roman"/>
                      <w:color w:val="000000"/>
                      <w:kern w:val="0"/>
                      <w:sz w:val="21"/>
                      <w:szCs w:val="21"/>
                      <w:lang w:val="en-US" w:eastAsia="zh-CN" w:bidi="ar"/>
                    </w:rPr>
                    <w:t>GB14554-93</w:t>
                  </w:r>
                  <w:r>
                    <w:rPr>
                      <w:rFonts w:hint="eastAsia" w:ascii="宋体" w:hAnsi="宋体" w:eastAsia="宋体" w:cs="宋体"/>
                      <w:color w:val="000000"/>
                      <w:kern w:val="0"/>
                      <w:sz w:val="21"/>
                      <w:szCs w:val="21"/>
                      <w:lang w:val="en-US" w:eastAsia="zh-CN" w:bidi="ar"/>
                    </w:rPr>
                    <w:t>）表</w:t>
                  </w:r>
                  <w:r>
                    <w:rPr>
                      <w:rFonts w:hint="default" w:ascii="Times New Roman" w:hAnsi="Times New Roman" w:eastAsia="宋体" w:cs="Times New Roman"/>
                      <w:color w:val="000000"/>
                      <w:kern w:val="0"/>
                      <w:sz w:val="21"/>
                      <w:szCs w:val="21"/>
                      <w:lang w:val="en-US" w:eastAsia="zh-CN" w:bidi="ar"/>
                    </w:rPr>
                    <w:t>2</w:t>
                  </w:r>
                  <w:r>
                    <w:rPr>
                      <w:rFonts w:hint="eastAsia" w:ascii="宋体" w:hAnsi="宋体" w:eastAsia="宋体" w:cs="宋体"/>
                      <w:color w:val="000000"/>
                      <w:kern w:val="0"/>
                      <w:sz w:val="21"/>
                      <w:szCs w:val="21"/>
                      <w:lang w:val="en-US" w:eastAsia="zh-CN" w:bidi="ar"/>
                    </w:rPr>
                    <w:t>恶臭污染物排放标准值</w:t>
                  </w:r>
                </w:p>
              </w:tc>
            </w:tr>
            <w:tr w14:paraId="763D7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Merge w:val="restart"/>
                  <w:vAlign w:val="center"/>
                </w:tcPr>
                <w:p w14:paraId="240A23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厂界无组织废气</w:t>
                  </w:r>
                </w:p>
              </w:tc>
              <w:tc>
                <w:tcPr>
                  <w:tcW w:w="690" w:type="dxa"/>
                  <w:vMerge w:val="restart"/>
                  <w:vAlign w:val="center"/>
                </w:tcPr>
                <w:p w14:paraId="3F2282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w:t>
                  </w:r>
                </w:p>
              </w:tc>
              <w:tc>
                <w:tcPr>
                  <w:tcW w:w="843" w:type="dxa"/>
                  <w:vAlign w:val="center"/>
                </w:tcPr>
                <w:p w14:paraId="0F4C8C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b w:val="0"/>
                      <w:bCs w:val="0"/>
                      <w:color w:val="auto"/>
                      <w:kern w:val="0"/>
                      <w:sz w:val="21"/>
                      <w:szCs w:val="24"/>
                      <w:lang w:val="en-US" w:eastAsia="zh-CN" w:bidi="ar"/>
                    </w:rPr>
                    <w:t>非甲烷总烃</w:t>
                  </w:r>
                </w:p>
              </w:tc>
              <w:tc>
                <w:tcPr>
                  <w:tcW w:w="731" w:type="dxa"/>
                  <w:vMerge w:val="restart"/>
                  <w:vAlign w:val="center"/>
                </w:tcPr>
                <w:p w14:paraId="318A13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w:t>
                  </w:r>
                </w:p>
              </w:tc>
              <w:tc>
                <w:tcPr>
                  <w:tcW w:w="1162" w:type="dxa"/>
                  <w:vAlign w:val="center"/>
                </w:tcPr>
                <w:p w14:paraId="451AAC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eastAsia" w:cs="var(--dsw-font-markdown-table)"/>
                      <w:color w:val="auto"/>
                      <w:kern w:val="0"/>
                      <w:sz w:val="21"/>
                      <w:szCs w:val="24"/>
                      <w:lang w:val="en-US" w:eastAsia="zh-CN" w:bidi="ar"/>
                    </w:rPr>
                    <w:t>4</w:t>
                  </w:r>
                  <w:r>
                    <w:rPr>
                      <w:rFonts w:hint="default" w:ascii="Times New Roman" w:hAnsi="Times New Roman" w:eastAsia="宋体" w:cs="var(--dsw-font-markdown-table)"/>
                      <w:color w:val="auto"/>
                      <w:kern w:val="0"/>
                      <w:sz w:val="21"/>
                      <w:szCs w:val="24"/>
                      <w:lang w:val="en-US" w:eastAsia="zh-CN" w:bidi="ar"/>
                    </w:rPr>
                    <w:t>.0</w:t>
                  </w:r>
                </w:p>
              </w:tc>
              <w:tc>
                <w:tcPr>
                  <w:tcW w:w="947" w:type="dxa"/>
                  <w:vAlign w:val="center"/>
                </w:tcPr>
                <w:p w14:paraId="786E8A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w:t>
                  </w:r>
                </w:p>
              </w:tc>
              <w:tc>
                <w:tcPr>
                  <w:tcW w:w="4752" w:type="dxa"/>
                  <w:vAlign w:val="center"/>
                </w:tcPr>
                <w:p w14:paraId="33173692">
                  <w:pPr>
                    <w:keepNext w:val="0"/>
                    <w:keepLines w:val="0"/>
                    <w:widowControl/>
                    <w:suppressLineNumbers w:val="0"/>
                    <w:spacing w:before="0" w:beforeAutospacing="0" w:after="0" w:afterAutospacing="0"/>
                    <w:ind w:left="0" w:right="0"/>
                    <w:jc w:val="left"/>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kern w:val="0"/>
                      <w:sz w:val="21"/>
                      <w:szCs w:val="24"/>
                      <w:lang w:val="en-US" w:eastAsia="zh-CN" w:bidi="ar"/>
                    </w:rPr>
                    <w:t>《合成树脂工业污染物排放标准》（GB31572</w:t>
                  </w:r>
                  <w:r>
                    <w:rPr>
                      <w:rFonts w:hint="eastAsia" w:ascii="Times New Roman" w:hAnsi="Times New Roman" w:eastAsia="宋体" w:cs="var(--dsw-font-markdown-table)"/>
                      <w:kern w:val="0"/>
                      <w:sz w:val="21"/>
                      <w:szCs w:val="24"/>
                      <w:lang w:val="en-US" w:eastAsia="zh-CN" w:bidi="ar"/>
                    </w:rPr>
                    <w:t xml:space="preserve">- </w:t>
                  </w:r>
                  <w:r>
                    <w:rPr>
                      <w:rFonts w:hint="default" w:ascii="Times New Roman" w:hAnsi="Times New Roman" w:eastAsia="宋体" w:cs="var(--dsw-font-markdown-table)"/>
                      <w:kern w:val="0"/>
                      <w:sz w:val="21"/>
                      <w:szCs w:val="24"/>
                      <w:lang w:val="en-US" w:eastAsia="zh-CN" w:bidi="ar"/>
                    </w:rPr>
                    <w:t>2015）及其修改单中表9企业边界大气污染物浓度限值</w:t>
                  </w:r>
                  <w:r>
                    <w:rPr>
                      <w:rFonts w:hint="default" w:ascii="Times New Roman" w:hAnsi="Times New Roman" w:eastAsia="宋体" w:cs="var(--dsw-font-markdown-table)"/>
                      <w:b/>
                      <w:bCs/>
                      <w:kern w:val="0"/>
                      <w:sz w:val="21"/>
                      <w:szCs w:val="24"/>
                      <w:lang w:val="en-US" w:eastAsia="zh-CN" w:bidi="ar"/>
                    </w:rPr>
                    <w:t>与</w:t>
                  </w:r>
                  <w:r>
                    <w:rPr>
                      <w:rFonts w:hint="default" w:ascii="Times New Roman" w:hAnsi="Times New Roman" w:eastAsia="宋体" w:cs="var(--dsw-font-markdown-table)"/>
                      <w:kern w:val="0"/>
                      <w:sz w:val="21"/>
                      <w:szCs w:val="24"/>
                      <w:lang w:val="en-US" w:eastAsia="zh-CN" w:bidi="ar"/>
                    </w:rPr>
                    <w:t>广东省地方标准《大气污染物排放限值》（DB44/27</w:t>
                  </w:r>
                  <w:r>
                    <w:rPr>
                      <w:rFonts w:hint="eastAsia" w:ascii="Times New Roman" w:hAnsi="Times New Roman" w:eastAsia="宋体" w:cs="var(--dsw-font-markdown-table)"/>
                      <w:kern w:val="0"/>
                      <w:sz w:val="21"/>
                      <w:szCs w:val="24"/>
                      <w:lang w:val="en-US" w:eastAsia="zh-CN" w:bidi="ar"/>
                    </w:rPr>
                    <w:t xml:space="preserve">- </w:t>
                  </w:r>
                  <w:r>
                    <w:rPr>
                      <w:rFonts w:hint="default" w:ascii="Times New Roman" w:hAnsi="Times New Roman" w:eastAsia="宋体" w:cs="var(--dsw-font-markdown-table)"/>
                      <w:kern w:val="0"/>
                      <w:sz w:val="21"/>
                      <w:szCs w:val="24"/>
                      <w:lang w:val="en-US" w:eastAsia="zh-CN" w:bidi="ar"/>
                    </w:rPr>
                    <w:t>2001）第二时段无组织排放监控浓度限值</w:t>
                  </w:r>
                  <w:r>
                    <w:rPr>
                      <w:rFonts w:hint="default" w:ascii="Times New Roman" w:hAnsi="Times New Roman" w:eastAsia="宋体" w:cs="var(--dsw-font-markdown-table)"/>
                      <w:b/>
                      <w:bCs/>
                      <w:kern w:val="0"/>
                      <w:sz w:val="21"/>
                      <w:szCs w:val="24"/>
                      <w:lang w:val="en-US" w:eastAsia="zh-CN" w:bidi="ar"/>
                    </w:rPr>
                    <w:t>较严者</w:t>
                  </w:r>
                </w:p>
              </w:tc>
            </w:tr>
            <w:tr w14:paraId="168EF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Merge w:val="continue"/>
                  <w:vAlign w:val="center"/>
                </w:tcPr>
                <w:p w14:paraId="4B261FE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690" w:type="dxa"/>
                  <w:vMerge w:val="continue"/>
                  <w:vAlign w:val="center"/>
                </w:tcPr>
                <w:p w14:paraId="303ACD7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843" w:type="dxa"/>
                  <w:vAlign w:val="center"/>
                </w:tcPr>
                <w:p w14:paraId="7A4609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b w:val="0"/>
                      <w:bCs w:val="0"/>
                      <w:color w:val="auto"/>
                      <w:kern w:val="0"/>
                      <w:sz w:val="21"/>
                      <w:szCs w:val="24"/>
                      <w:lang w:val="en-US" w:eastAsia="zh-CN" w:bidi="ar"/>
                    </w:rPr>
                    <w:t>颗粒物</w:t>
                  </w:r>
                </w:p>
              </w:tc>
              <w:tc>
                <w:tcPr>
                  <w:tcW w:w="731" w:type="dxa"/>
                  <w:vMerge w:val="continue"/>
                  <w:vAlign w:val="center"/>
                </w:tcPr>
                <w:p w14:paraId="1EA0E71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1162" w:type="dxa"/>
                  <w:vAlign w:val="center"/>
                </w:tcPr>
                <w:p w14:paraId="2E4376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eastAsia" w:cs="var(--dsw-font-markdown-table)"/>
                      <w:color w:val="auto"/>
                      <w:kern w:val="0"/>
                      <w:sz w:val="21"/>
                      <w:szCs w:val="24"/>
                      <w:lang w:val="en-US" w:eastAsia="zh-CN" w:bidi="ar"/>
                    </w:rPr>
                    <w:t>1</w:t>
                  </w:r>
                  <w:r>
                    <w:rPr>
                      <w:rFonts w:hint="default" w:ascii="Times New Roman" w:hAnsi="Times New Roman" w:eastAsia="宋体" w:cs="var(--dsw-font-markdown-table)"/>
                      <w:color w:val="auto"/>
                      <w:kern w:val="0"/>
                      <w:sz w:val="21"/>
                      <w:szCs w:val="24"/>
                      <w:lang w:val="en-US" w:eastAsia="zh-CN" w:bidi="ar"/>
                    </w:rPr>
                    <w:t>.0</w:t>
                  </w:r>
                </w:p>
              </w:tc>
              <w:tc>
                <w:tcPr>
                  <w:tcW w:w="947" w:type="dxa"/>
                  <w:vAlign w:val="center"/>
                </w:tcPr>
                <w:p w14:paraId="167389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w:t>
                  </w:r>
                </w:p>
              </w:tc>
              <w:tc>
                <w:tcPr>
                  <w:tcW w:w="4752" w:type="dxa"/>
                  <w:vAlign w:val="center"/>
                </w:tcPr>
                <w:p w14:paraId="57569F50">
                  <w:pPr>
                    <w:keepNext w:val="0"/>
                    <w:keepLines w:val="0"/>
                    <w:widowControl/>
                    <w:suppressLineNumbers w:val="0"/>
                    <w:spacing w:before="0" w:beforeAutospacing="0" w:after="0" w:afterAutospacing="0"/>
                    <w:ind w:left="0" w:right="0"/>
                    <w:jc w:val="left"/>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kern w:val="0"/>
                      <w:sz w:val="21"/>
                      <w:szCs w:val="24"/>
                      <w:lang w:val="en-US" w:eastAsia="zh-CN" w:bidi="ar"/>
                    </w:rPr>
                    <w:t>广东省地方标准《大气污染物排放限值》（DB44/27</w:t>
                  </w:r>
                  <w:r>
                    <w:rPr>
                      <w:rFonts w:hint="eastAsia" w:ascii="Times New Roman" w:hAnsi="Times New Roman" w:eastAsia="宋体" w:cs="var(--dsw-font-markdown-table)"/>
                      <w:kern w:val="0"/>
                      <w:sz w:val="21"/>
                      <w:szCs w:val="24"/>
                      <w:lang w:val="en-US" w:eastAsia="zh-CN" w:bidi="ar"/>
                    </w:rPr>
                    <w:t xml:space="preserve">- </w:t>
                  </w:r>
                  <w:r>
                    <w:rPr>
                      <w:rFonts w:hint="default" w:ascii="Times New Roman" w:hAnsi="Times New Roman" w:eastAsia="宋体" w:cs="var(--dsw-font-markdown-table)"/>
                      <w:kern w:val="0"/>
                      <w:sz w:val="21"/>
                      <w:szCs w:val="24"/>
                      <w:lang w:val="en-US" w:eastAsia="zh-CN" w:bidi="ar"/>
                    </w:rPr>
                    <w:t>2001）第二时段无组织排放监控浓度限值</w:t>
                  </w:r>
                  <w:r>
                    <w:rPr>
                      <w:rFonts w:hint="default" w:ascii="Times New Roman" w:hAnsi="Times New Roman" w:eastAsia="宋体" w:cs="var(--dsw-font-markdown-table)"/>
                      <w:b/>
                      <w:bCs/>
                      <w:kern w:val="0"/>
                      <w:sz w:val="21"/>
                      <w:szCs w:val="24"/>
                      <w:lang w:val="en-US" w:eastAsia="zh-CN" w:bidi="ar"/>
                    </w:rPr>
                    <w:t>与</w:t>
                  </w:r>
                  <w:r>
                    <w:rPr>
                      <w:rFonts w:hint="default" w:ascii="Times New Roman" w:hAnsi="Times New Roman" w:eastAsia="宋体" w:cs="var(--dsw-font-markdown-table)"/>
                      <w:kern w:val="0"/>
                      <w:sz w:val="21"/>
                      <w:szCs w:val="24"/>
                      <w:lang w:val="en-US" w:eastAsia="zh-CN" w:bidi="ar"/>
                    </w:rPr>
                    <w:t>《合成树脂工业污染物排放标准》（GB31572</w:t>
                  </w:r>
                  <w:r>
                    <w:rPr>
                      <w:rFonts w:hint="eastAsia" w:ascii="Times New Roman" w:hAnsi="Times New Roman" w:eastAsia="宋体" w:cs="var(--dsw-font-markdown-table)"/>
                      <w:kern w:val="0"/>
                      <w:sz w:val="21"/>
                      <w:szCs w:val="24"/>
                      <w:lang w:val="en-US" w:eastAsia="zh-CN" w:bidi="ar"/>
                    </w:rPr>
                    <w:t xml:space="preserve">- </w:t>
                  </w:r>
                  <w:r>
                    <w:rPr>
                      <w:rFonts w:hint="default" w:ascii="Times New Roman" w:hAnsi="Times New Roman" w:eastAsia="宋体" w:cs="var(--dsw-font-markdown-table)"/>
                      <w:kern w:val="0"/>
                      <w:sz w:val="21"/>
                      <w:szCs w:val="24"/>
                      <w:lang w:val="en-US" w:eastAsia="zh-CN" w:bidi="ar"/>
                    </w:rPr>
                    <w:t>2015）及其修改单表9限值</w:t>
                  </w:r>
                  <w:r>
                    <w:rPr>
                      <w:rFonts w:hint="default" w:ascii="Times New Roman" w:hAnsi="Times New Roman" w:eastAsia="宋体" w:cs="var(--dsw-font-markdown-table)"/>
                      <w:b/>
                      <w:bCs/>
                      <w:kern w:val="0"/>
                      <w:sz w:val="21"/>
                      <w:szCs w:val="24"/>
                      <w:lang w:val="en-US" w:eastAsia="zh-CN" w:bidi="ar"/>
                    </w:rPr>
                    <w:t>较严者</w:t>
                  </w:r>
                </w:p>
              </w:tc>
            </w:tr>
            <w:tr w14:paraId="06BB6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Merge w:val="continue"/>
                  <w:vAlign w:val="center"/>
                </w:tcPr>
                <w:p w14:paraId="0EEE792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690" w:type="dxa"/>
                  <w:vMerge w:val="continue"/>
                  <w:vAlign w:val="center"/>
                </w:tcPr>
                <w:p w14:paraId="6716FF4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843" w:type="dxa"/>
                  <w:vAlign w:val="center"/>
                </w:tcPr>
                <w:p w14:paraId="41F243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b w:val="0"/>
                      <w:bCs w:val="0"/>
                      <w:color w:val="auto"/>
                      <w:kern w:val="0"/>
                      <w:sz w:val="21"/>
                      <w:szCs w:val="24"/>
                      <w:lang w:val="en-US" w:eastAsia="zh-CN" w:bidi="ar"/>
                    </w:rPr>
                    <w:t>总VOCs</w:t>
                  </w:r>
                </w:p>
              </w:tc>
              <w:tc>
                <w:tcPr>
                  <w:tcW w:w="731" w:type="dxa"/>
                  <w:vMerge w:val="continue"/>
                  <w:vAlign w:val="center"/>
                </w:tcPr>
                <w:p w14:paraId="210BD06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1162" w:type="dxa"/>
                  <w:vAlign w:val="center"/>
                </w:tcPr>
                <w:p w14:paraId="6B14AD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2.0</w:t>
                  </w:r>
                </w:p>
              </w:tc>
              <w:tc>
                <w:tcPr>
                  <w:tcW w:w="947" w:type="dxa"/>
                  <w:vAlign w:val="center"/>
                </w:tcPr>
                <w:p w14:paraId="72E80A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w:t>
                  </w:r>
                </w:p>
              </w:tc>
              <w:tc>
                <w:tcPr>
                  <w:tcW w:w="4752" w:type="dxa"/>
                  <w:vAlign w:val="center"/>
                </w:tcPr>
                <w:p w14:paraId="3719EE69">
                  <w:pPr>
                    <w:keepNext w:val="0"/>
                    <w:keepLines w:val="0"/>
                    <w:widowControl/>
                    <w:suppressLineNumbers w:val="0"/>
                    <w:spacing w:before="0" w:beforeAutospacing="0" w:after="0" w:afterAutospacing="0"/>
                    <w:ind w:left="0" w:right="0"/>
                    <w:jc w:val="left"/>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kern w:val="0"/>
                      <w:sz w:val="21"/>
                      <w:szCs w:val="24"/>
                      <w:lang w:val="en-US" w:eastAsia="zh-CN" w:bidi="ar"/>
                    </w:rPr>
                    <w:t>广东省《制鞋行业挥发性有机化合物排放标准》（DB44/817</w:t>
                  </w:r>
                  <w:r>
                    <w:rPr>
                      <w:rFonts w:hint="eastAsia" w:ascii="Times New Roman" w:hAnsi="Times New Roman" w:eastAsia="宋体" w:cs="var(--dsw-font-markdown-table)"/>
                      <w:kern w:val="0"/>
                      <w:sz w:val="21"/>
                      <w:szCs w:val="24"/>
                      <w:lang w:val="en-US" w:eastAsia="zh-CN" w:bidi="ar"/>
                    </w:rPr>
                    <w:t xml:space="preserve"> -</w:t>
                  </w:r>
                  <w:r>
                    <w:rPr>
                      <w:rFonts w:hint="default" w:ascii="Times New Roman" w:hAnsi="Times New Roman" w:eastAsia="宋体" w:cs="var(--dsw-font-markdown-table)"/>
                      <w:kern w:val="0"/>
                      <w:sz w:val="21"/>
                      <w:szCs w:val="24"/>
                      <w:lang w:val="en-US" w:eastAsia="zh-CN" w:bidi="ar"/>
                    </w:rPr>
                    <w:t>2010）表2无组织排放监控点浓度限值</w:t>
                  </w:r>
                  <w:r>
                    <w:rPr>
                      <w:rFonts w:hint="eastAsia" w:ascii="宋体" w:hAnsi="宋体" w:eastAsia="宋体" w:cs="宋体"/>
                      <w:b w:val="0"/>
                      <w:bCs w:val="0"/>
                      <w:color w:val="auto"/>
                      <w:kern w:val="0"/>
                      <w:sz w:val="21"/>
                      <w:szCs w:val="21"/>
                      <w:lang w:val="en-US" w:eastAsia="zh-CN" w:bidi="ar"/>
                    </w:rPr>
                    <w:t>与广东省地方标准《印刷行业挥发性有机化合物排放标准》（</w:t>
                  </w:r>
                  <w:r>
                    <w:rPr>
                      <w:rFonts w:hint="default" w:ascii="Times New Roman" w:hAnsi="Times New Roman" w:eastAsia="宋体" w:cs="Times New Roman"/>
                      <w:b w:val="0"/>
                      <w:bCs w:val="0"/>
                      <w:color w:val="auto"/>
                      <w:kern w:val="0"/>
                      <w:sz w:val="21"/>
                      <w:szCs w:val="21"/>
                      <w:lang w:val="en-US" w:eastAsia="zh-CN" w:bidi="ar"/>
                    </w:rPr>
                    <w:t>DB44/815</w:t>
                  </w:r>
                  <w:r>
                    <w:rPr>
                      <w:rFonts w:hint="eastAsia" w:cs="Times New Roman"/>
                      <w:b w:val="0"/>
                      <w:bCs w:val="0"/>
                      <w:color w:val="auto"/>
                      <w:kern w:val="0"/>
                      <w:sz w:val="21"/>
                      <w:szCs w:val="21"/>
                      <w:lang w:val="en-US" w:eastAsia="zh-CN" w:bidi="ar"/>
                    </w:rPr>
                    <w:t xml:space="preserve">- </w:t>
                  </w:r>
                  <w:r>
                    <w:rPr>
                      <w:rFonts w:hint="default" w:ascii="Times New Roman" w:hAnsi="Times New Roman" w:eastAsia="宋体" w:cs="Times New Roman"/>
                      <w:b w:val="0"/>
                      <w:bCs w:val="0"/>
                      <w:color w:val="auto"/>
                      <w:kern w:val="0"/>
                      <w:sz w:val="21"/>
                      <w:szCs w:val="21"/>
                      <w:lang w:val="en-US" w:eastAsia="zh-CN" w:bidi="ar"/>
                    </w:rPr>
                    <w:t>2010</w:t>
                  </w:r>
                  <w:r>
                    <w:rPr>
                      <w:rFonts w:hint="eastAsia" w:ascii="宋体" w:hAnsi="宋体" w:eastAsia="宋体" w:cs="宋体"/>
                      <w:b w:val="0"/>
                      <w:bCs w:val="0"/>
                      <w:color w:val="auto"/>
                      <w:kern w:val="0"/>
                      <w:sz w:val="21"/>
                      <w:szCs w:val="21"/>
                      <w:lang w:val="en-US" w:eastAsia="zh-CN" w:bidi="ar"/>
                    </w:rPr>
                    <w:t>）表</w:t>
                  </w:r>
                  <w:r>
                    <w:rPr>
                      <w:rFonts w:hint="default" w:ascii="Times New Roman" w:hAnsi="Times New Roman" w:eastAsia="宋体" w:cs="Times New Roman"/>
                      <w:b w:val="0"/>
                      <w:bCs w:val="0"/>
                      <w:color w:val="auto"/>
                      <w:kern w:val="0"/>
                      <w:sz w:val="21"/>
                      <w:szCs w:val="21"/>
                      <w:lang w:val="en-US" w:eastAsia="zh-CN" w:bidi="ar"/>
                    </w:rPr>
                    <w:t>3</w:t>
                  </w:r>
                  <w:r>
                    <w:rPr>
                      <w:rFonts w:hint="eastAsia" w:ascii="宋体" w:hAnsi="宋体" w:eastAsia="宋体" w:cs="宋体"/>
                      <w:b w:val="0"/>
                      <w:bCs w:val="0"/>
                      <w:color w:val="auto"/>
                      <w:kern w:val="0"/>
                      <w:sz w:val="21"/>
                      <w:szCs w:val="21"/>
                      <w:lang w:val="en-US" w:eastAsia="zh-CN" w:bidi="ar"/>
                    </w:rPr>
                    <w:t>无组织排放监控点浓度</w:t>
                  </w:r>
                  <w:r>
                    <w:rPr>
                      <w:rFonts w:hint="eastAsia" w:ascii="Times New Roman" w:hAnsi="Times New Roman" w:eastAsia="宋体" w:cs="Segoe UI"/>
                      <w:b w:val="0"/>
                      <w:bCs w:val="0"/>
                      <w:i w:val="0"/>
                      <w:iCs w:val="0"/>
                      <w:caps w:val="0"/>
                      <w:color w:val="auto"/>
                      <w:spacing w:val="0"/>
                      <w:sz w:val="21"/>
                      <w:szCs w:val="24"/>
                      <w:shd w:val="clear" w:fill="FFFFFF"/>
                      <w:lang w:val="en-US" w:eastAsia="zh-CN"/>
                    </w:rPr>
                    <w:t>较严值</w:t>
                  </w:r>
                </w:p>
              </w:tc>
            </w:tr>
            <w:tr w14:paraId="10D5B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Merge w:val="continue"/>
                  <w:vAlign w:val="center"/>
                </w:tcPr>
                <w:p w14:paraId="5BC278A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690" w:type="dxa"/>
                  <w:vMerge w:val="continue"/>
                  <w:vAlign w:val="center"/>
                </w:tcPr>
                <w:p w14:paraId="4C216C3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843" w:type="dxa"/>
                  <w:vAlign w:val="center"/>
                </w:tcPr>
                <w:p w14:paraId="565718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b w:val="0"/>
                      <w:bCs w:val="0"/>
                      <w:color w:val="auto"/>
                      <w:kern w:val="0"/>
                      <w:sz w:val="21"/>
                      <w:szCs w:val="24"/>
                      <w:lang w:val="en-US" w:eastAsia="zh-CN" w:bidi="ar"/>
                    </w:rPr>
                    <w:t>臭气浓度</w:t>
                  </w:r>
                </w:p>
              </w:tc>
              <w:tc>
                <w:tcPr>
                  <w:tcW w:w="731" w:type="dxa"/>
                  <w:vMerge w:val="continue"/>
                  <w:vAlign w:val="center"/>
                </w:tcPr>
                <w:p w14:paraId="719E621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b/>
                      <w:bCs/>
                      <w:color w:val="auto"/>
                      <w:sz w:val="21"/>
                      <w:highlight w:val="none"/>
                      <w:vertAlign w:val="baseline"/>
                    </w:rPr>
                  </w:pPr>
                </w:p>
              </w:tc>
              <w:tc>
                <w:tcPr>
                  <w:tcW w:w="1162" w:type="dxa"/>
                  <w:vAlign w:val="center"/>
                </w:tcPr>
                <w:p w14:paraId="6E1BCE4D">
                  <w:pPr>
                    <w:keepNext w:val="0"/>
                    <w:keepLines w:val="0"/>
                    <w:widowControl/>
                    <w:suppressLineNumbers w:val="0"/>
                    <w:spacing w:before="0" w:beforeAutospacing="0" w:after="0" w:afterAutospacing="0"/>
                    <w:ind w:left="0" w:right="0"/>
                    <w:jc w:val="left"/>
                    <w:rPr>
                      <w:rFonts w:hint="default" w:ascii="Times New Roman" w:hAnsi="Times New Roman" w:eastAsia="宋体"/>
                      <w:b/>
                      <w:bCs/>
                      <w:color w:val="auto"/>
                      <w:sz w:val="21"/>
                      <w:highlight w:val="none"/>
                      <w:vertAlign w:val="baseline"/>
                    </w:rPr>
                  </w:pPr>
                  <w:r>
                    <w:rPr>
                      <w:rFonts w:hint="default" w:ascii="Times New Roman" w:hAnsi="Times New Roman" w:eastAsia="宋体" w:cs="Times New Roman"/>
                      <w:color w:val="auto"/>
                      <w:kern w:val="0"/>
                      <w:sz w:val="21"/>
                      <w:szCs w:val="21"/>
                      <w:lang w:val="en-US" w:eastAsia="zh-CN" w:bidi="ar"/>
                    </w:rPr>
                    <w:t>20</w:t>
                  </w:r>
                  <w:r>
                    <w:rPr>
                      <w:rFonts w:hint="eastAsia" w:ascii="宋体" w:hAnsi="宋体" w:eastAsia="宋体" w:cs="宋体"/>
                      <w:color w:val="auto"/>
                      <w:kern w:val="0"/>
                      <w:sz w:val="21"/>
                      <w:szCs w:val="21"/>
                      <w:lang w:val="en-US" w:eastAsia="zh-CN" w:bidi="ar"/>
                    </w:rPr>
                    <w:t>（无量纲）</w:t>
                  </w:r>
                </w:p>
              </w:tc>
              <w:tc>
                <w:tcPr>
                  <w:tcW w:w="947" w:type="dxa"/>
                  <w:vAlign w:val="center"/>
                </w:tcPr>
                <w:p w14:paraId="4E8A5E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w:t>
                  </w:r>
                </w:p>
              </w:tc>
              <w:tc>
                <w:tcPr>
                  <w:tcW w:w="4752" w:type="dxa"/>
                  <w:vAlign w:val="center"/>
                </w:tcPr>
                <w:p w14:paraId="3F6E81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kern w:val="0"/>
                      <w:sz w:val="21"/>
                      <w:szCs w:val="24"/>
                      <w:lang w:val="en-US" w:eastAsia="zh-CN" w:bidi="ar"/>
                    </w:rPr>
                    <w:t>《恶臭污染物排放标准》（GB14554</w:t>
                  </w:r>
                  <w:r>
                    <w:rPr>
                      <w:rFonts w:hint="eastAsia" w:ascii="Times New Roman" w:hAnsi="Times New Roman" w:eastAsia="宋体" w:cs="var(--dsw-font-markdown-table)"/>
                      <w:kern w:val="0"/>
                      <w:sz w:val="21"/>
                      <w:szCs w:val="24"/>
                      <w:lang w:val="en-US" w:eastAsia="zh-CN" w:bidi="ar"/>
                    </w:rPr>
                    <w:t xml:space="preserve">- </w:t>
                  </w:r>
                  <w:r>
                    <w:rPr>
                      <w:rFonts w:hint="default" w:ascii="Times New Roman" w:hAnsi="Times New Roman" w:eastAsia="宋体" w:cs="var(--dsw-font-markdown-table)"/>
                      <w:kern w:val="0"/>
                      <w:sz w:val="21"/>
                      <w:szCs w:val="24"/>
                      <w:lang w:val="en-US" w:eastAsia="zh-CN" w:bidi="ar"/>
                    </w:rPr>
                    <w:t>93）表1恶臭污染物厂界标准值（二级新扩改建）</w:t>
                  </w:r>
                </w:p>
              </w:tc>
            </w:tr>
            <w:tr w14:paraId="088E2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Merge w:val="restart"/>
                  <w:vAlign w:val="center"/>
                </w:tcPr>
                <w:p w14:paraId="126FF6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厂区内无组织废气</w:t>
                  </w:r>
                </w:p>
              </w:tc>
              <w:tc>
                <w:tcPr>
                  <w:tcW w:w="690" w:type="dxa"/>
                  <w:vMerge w:val="restart"/>
                  <w:vAlign w:val="center"/>
                </w:tcPr>
                <w:p w14:paraId="7A1D99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w:t>
                  </w:r>
                </w:p>
              </w:tc>
              <w:tc>
                <w:tcPr>
                  <w:tcW w:w="843" w:type="dxa"/>
                  <w:vMerge w:val="restart"/>
                  <w:vAlign w:val="center"/>
                </w:tcPr>
                <w:p w14:paraId="471241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非甲烷总烃</w:t>
                  </w:r>
                </w:p>
              </w:tc>
              <w:tc>
                <w:tcPr>
                  <w:tcW w:w="731" w:type="dxa"/>
                  <w:vMerge w:val="restart"/>
                  <w:vAlign w:val="center"/>
                </w:tcPr>
                <w:p w14:paraId="414EE0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w:t>
                  </w:r>
                </w:p>
              </w:tc>
              <w:tc>
                <w:tcPr>
                  <w:tcW w:w="1162" w:type="dxa"/>
                  <w:vAlign w:val="center"/>
                </w:tcPr>
                <w:p w14:paraId="7A8E12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6（监控点处1h平均浓度值）</w:t>
                  </w:r>
                </w:p>
              </w:tc>
              <w:tc>
                <w:tcPr>
                  <w:tcW w:w="947" w:type="dxa"/>
                  <w:vMerge w:val="restart"/>
                  <w:vAlign w:val="center"/>
                </w:tcPr>
                <w:p w14:paraId="2CFCDB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color w:val="auto"/>
                      <w:kern w:val="0"/>
                      <w:sz w:val="21"/>
                      <w:szCs w:val="24"/>
                      <w:lang w:val="en-US" w:eastAsia="zh-CN" w:bidi="ar"/>
                    </w:rPr>
                    <w:t>/</w:t>
                  </w:r>
                </w:p>
              </w:tc>
              <w:tc>
                <w:tcPr>
                  <w:tcW w:w="4752" w:type="dxa"/>
                  <w:vMerge w:val="restart"/>
                  <w:vAlign w:val="center"/>
                </w:tcPr>
                <w:p w14:paraId="533B11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s="var(--dsw-font-markdown-table)"/>
                      <w:kern w:val="0"/>
                      <w:sz w:val="21"/>
                      <w:szCs w:val="24"/>
                      <w:lang w:val="en-US" w:eastAsia="zh-CN" w:bidi="ar"/>
                    </w:rPr>
                    <w:t>广东省地方标准《固定污染源挥发性有机物综合排放标准》（DB44/2367</w:t>
                  </w:r>
                  <w:r>
                    <w:rPr>
                      <w:rFonts w:hint="eastAsia" w:ascii="Times New Roman" w:hAnsi="Times New Roman" w:eastAsia="宋体" w:cs="var(--dsw-font-markdown-table)"/>
                      <w:kern w:val="0"/>
                      <w:sz w:val="21"/>
                      <w:szCs w:val="24"/>
                      <w:lang w:val="en-US" w:eastAsia="zh-CN" w:bidi="ar"/>
                    </w:rPr>
                    <w:t xml:space="preserve">- </w:t>
                  </w:r>
                  <w:r>
                    <w:rPr>
                      <w:rFonts w:hint="default" w:ascii="Times New Roman" w:hAnsi="Times New Roman" w:eastAsia="宋体" w:cs="var(--dsw-font-markdown-table)"/>
                      <w:kern w:val="0"/>
                      <w:sz w:val="21"/>
                      <w:szCs w:val="24"/>
                      <w:lang w:val="en-US" w:eastAsia="zh-CN" w:bidi="ar"/>
                    </w:rPr>
                    <w:t>2022）表3厂区内VOCs无组织排放限值</w:t>
                  </w:r>
                </w:p>
              </w:tc>
            </w:tr>
            <w:tr w14:paraId="0131B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790" w:type="dxa"/>
                  <w:vMerge w:val="continue"/>
                  <w:vAlign w:val="center"/>
                </w:tcPr>
                <w:p w14:paraId="4B26F9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p>
              </w:tc>
              <w:tc>
                <w:tcPr>
                  <w:tcW w:w="690" w:type="dxa"/>
                  <w:vMerge w:val="continue"/>
                  <w:vAlign w:val="center"/>
                </w:tcPr>
                <w:p w14:paraId="5CD79E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p>
              </w:tc>
              <w:tc>
                <w:tcPr>
                  <w:tcW w:w="843" w:type="dxa"/>
                  <w:vMerge w:val="continue"/>
                  <w:vAlign w:val="center"/>
                </w:tcPr>
                <w:p w14:paraId="6D39D7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p>
              </w:tc>
              <w:tc>
                <w:tcPr>
                  <w:tcW w:w="731" w:type="dxa"/>
                  <w:vMerge w:val="continue"/>
                  <w:vAlign w:val="center"/>
                </w:tcPr>
                <w:p w14:paraId="05FFB0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p>
              </w:tc>
              <w:tc>
                <w:tcPr>
                  <w:tcW w:w="1162" w:type="dxa"/>
                  <w:vAlign w:val="center"/>
                </w:tcPr>
                <w:p w14:paraId="2C7D7F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r>
                    <w:rPr>
                      <w:rFonts w:hint="default" w:ascii="Times New Roman" w:hAnsi="Times New Roman" w:eastAsia="宋体"/>
                      <w:color w:val="auto"/>
                      <w:sz w:val="21"/>
                      <w:highlight w:val="none"/>
                    </w:rPr>
                    <w:t>20（监控点处任意一次浓度值）</w:t>
                  </w:r>
                </w:p>
              </w:tc>
              <w:tc>
                <w:tcPr>
                  <w:tcW w:w="947" w:type="dxa"/>
                  <w:vMerge w:val="continue"/>
                  <w:vAlign w:val="center"/>
                </w:tcPr>
                <w:p w14:paraId="56CB7E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p>
              </w:tc>
              <w:tc>
                <w:tcPr>
                  <w:tcW w:w="4752" w:type="dxa"/>
                  <w:vMerge w:val="continue"/>
                  <w:vAlign w:val="center"/>
                </w:tcPr>
                <w:p w14:paraId="0DB33C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b/>
                      <w:bCs/>
                      <w:color w:val="auto"/>
                      <w:sz w:val="21"/>
                      <w:highlight w:val="none"/>
                      <w:vertAlign w:val="baseline"/>
                    </w:rPr>
                  </w:pPr>
                </w:p>
              </w:tc>
            </w:tr>
          </w:tbl>
          <w:p w14:paraId="0773C2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注：本项目排气筒均设置于各厂房楼顶。其中，1#厂房楼顶的为G1、G</w:t>
            </w:r>
            <w:r>
              <w:rPr>
                <w:rFonts w:hint="eastAsia" w:cs="Times New Roman"/>
                <w:color w:val="auto"/>
                <w:kern w:val="2"/>
                <w:sz w:val="21"/>
                <w:szCs w:val="24"/>
                <w:highlight w:val="none"/>
                <w:lang w:val="en-US" w:eastAsia="zh-CN" w:bidi="ar-SA"/>
              </w:rPr>
              <w:t>2</w:t>
            </w:r>
            <w:r>
              <w:rPr>
                <w:rFonts w:hint="default" w:ascii="Times New Roman" w:hAnsi="Times New Roman" w:eastAsia="宋体" w:cs="Times New Roman"/>
                <w:color w:val="auto"/>
                <w:kern w:val="2"/>
                <w:sz w:val="21"/>
                <w:szCs w:val="24"/>
                <w:highlight w:val="none"/>
                <w:lang w:val="en-US" w:eastAsia="zh-CN" w:bidi="ar-SA"/>
              </w:rPr>
              <w:t>、G</w:t>
            </w:r>
            <w:r>
              <w:rPr>
                <w:rFonts w:hint="eastAsia" w:cs="Times New Roman"/>
                <w:color w:val="auto"/>
                <w:kern w:val="2"/>
                <w:sz w:val="21"/>
                <w:szCs w:val="24"/>
                <w:highlight w:val="none"/>
                <w:lang w:val="en-US" w:eastAsia="zh-CN" w:bidi="ar-SA"/>
              </w:rPr>
              <w:t>3</w:t>
            </w:r>
            <w:r>
              <w:rPr>
                <w:rFonts w:hint="default" w:ascii="Times New Roman" w:hAnsi="Times New Roman" w:eastAsia="宋体" w:cs="Times New Roman"/>
                <w:color w:val="auto"/>
                <w:kern w:val="2"/>
                <w:sz w:val="21"/>
                <w:szCs w:val="24"/>
                <w:highlight w:val="none"/>
                <w:lang w:val="en-US" w:eastAsia="zh-CN" w:bidi="ar-SA"/>
              </w:rPr>
              <w:t>、G</w:t>
            </w:r>
            <w:r>
              <w:rPr>
                <w:rFonts w:hint="eastAsia" w:cs="Times New Roman"/>
                <w:color w:val="auto"/>
                <w:kern w:val="2"/>
                <w:sz w:val="21"/>
                <w:szCs w:val="24"/>
                <w:highlight w:val="none"/>
                <w:lang w:val="en-US" w:eastAsia="zh-CN" w:bidi="ar-SA"/>
              </w:rPr>
              <w:t>4</w:t>
            </w:r>
            <w:r>
              <w:rPr>
                <w:rFonts w:hint="default" w:ascii="Times New Roman" w:hAnsi="Times New Roman" w:eastAsia="宋体" w:cs="Times New Roman"/>
                <w:color w:val="auto"/>
                <w:kern w:val="2"/>
                <w:sz w:val="21"/>
                <w:szCs w:val="24"/>
                <w:highlight w:val="none"/>
                <w:lang w:val="en-US" w:eastAsia="zh-CN" w:bidi="ar-SA"/>
              </w:rPr>
              <w:t>、G</w:t>
            </w:r>
            <w:r>
              <w:rPr>
                <w:rFonts w:hint="eastAsia" w:cs="Times New Roman"/>
                <w:color w:val="auto"/>
                <w:kern w:val="2"/>
                <w:sz w:val="21"/>
                <w:szCs w:val="24"/>
                <w:highlight w:val="none"/>
                <w:lang w:val="en-US" w:eastAsia="zh-CN" w:bidi="ar-SA"/>
              </w:rPr>
              <w:t>5</w:t>
            </w:r>
            <w:r>
              <w:rPr>
                <w:rFonts w:hint="default" w:ascii="Times New Roman" w:hAnsi="Times New Roman" w:eastAsia="宋体" w:cs="Times New Roman"/>
                <w:color w:val="auto"/>
                <w:kern w:val="2"/>
                <w:sz w:val="21"/>
                <w:szCs w:val="24"/>
                <w:highlight w:val="none"/>
                <w:lang w:val="en-US" w:eastAsia="zh-CN" w:bidi="ar-SA"/>
              </w:rPr>
              <w:t>；2#厂房楼顶的为G</w:t>
            </w:r>
            <w:r>
              <w:rPr>
                <w:rFonts w:hint="eastAsia" w:cs="Times New Roman"/>
                <w:color w:val="auto"/>
                <w:kern w:val="2"/>
                <w:sz w:val="21"/>
                <w:szCs w:val="24"/>
                <w:highlight w:val="none"/>
                <w:lang w:val="en-US" w:eastAsia="zh-CN" w:bidi="ar-SA"/>
              </w:rPr>
              <w:t>6</w:t>
            </w:r>
            <w:r>
              <w:rPr>
                <w:rFonts w:hint="default" w:ascii="Times New Roman" w:hAnsi="Times New Roman" w:eastAsia="宋体" w:cs="Times New Roman"/>
                <w:color w:val="auto"/>
                <w:kern w:val="2"/>
                <w:sz w:val="21"/>
                <w:szCs w:val="24"/>
                <w:highlight w:val="none"/>
                <w:lang w:val="en-US" w:eastAsia="zh-CN" w:bidi="ar-SA"/>
              </w:rPr>
              <w:t>、G</w:t>
            </w:r>
            <w:r>
              <w:rPr>
                <w:rFonts w:hint="eastAsia" w:cs="Times New Roman"/>
                <w:color w:val="auto"/>
                <w:kern w:val="2"/>
                <w:sz w:val="21"/>
                <w:szCs w:val="24"/>
                <w:highlight w:val="none"/>
                <w:lang w:val="en-US" w:eastAsia="zh-CN" w:bidi="ar-SA"/>
              </w:rPr>
              <w:t>7、G9</w:t>
            </w:r>
            <w:r>
              <w:rPr>
                <w:rFonts w:hint="default" w:ascii="Times New Roman" w:hAnsi="Times New Roman" w:eastAsia="宋体" w:cs="Times New Roman"/>
                <w:color w:val="auto"/>
                <w:kern w:val="2"/>
                <w:sz w:val="21"/>
                <w:szCs w:val="24"/>
                <w:highlight w:val="none"/>
                <w:lang w:val="en-US" w:eastAsia="zh-CN" w:bidi="ar-SA"/>
              </w:rPr>
              <w:t>。本项目所有排气筒高度均为50m。</w:t>
            </w:r>
          </w:p>
          <w:p w14:paraId="17C379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经调查，项目周边200m半径范围内最高建筑物为东北方向隔路的中腾达工业园（10层，建筑高度约40m）。本项目排气筒离地高度50m，高出该最高建筑物约10m，满足广东省地方标准《大气污染物排放限值》（DB44/27</w:t>
            </w:r>
            <w:r>
              <w:rPr>
                <w:rFonts w:hint="eastAsia" w:cs="Times New Roman"/>
                <w:color w:val="auto"/>
                <w:kern w:val="2"/>
                <w:sz w:val="21"/>
                <w:szCs w:val="24"/>
                <w:highlight w:val="none"/>
                <w:lang w:val="en-US" w:eastAsia="zh-CN" w:bidi="ar-SA"/>
              </w:rPr>
              <w:t xml:space="preserve">- </w:t>
            </w:r>
            <w:r>
              <w:rPr>
                <w:rFonts w:hint="default" w:ascii="Times New Roman" w:hAnsi="Times New Roman" w:eastAsia="宋体" w:cs="Times New Roman"/>
                <w:color w:val="auto"/>
                <w:kern w:val="2"/>
                <w:sz w:val="21"/>
                <w:szCs w:val="24"/>
                <w:highlight w:val="none"/>
                <w:lang w:val="en-US" w:eastAsia="zh-CN" w:bidi="ar-SA"/>
              </w:rPr>
              <w:t>2001）第4.3.2.3条关于“排气筒应高出周围200m半径范围的建筑5m以上”的要求。同时，本项目排气筒高度也满足《合成树脂工业污染物排放标准》（GB31572</w:t>
            </w:r>
            <w:r>
              <w:rPr>
                <w:rFonts w:hint="eastAsia" w:cs="Times New Roman"/>
                <w:color w:val="auto"/>
                <w:kern w:val="2"/>
                <w:sz w:val="21"/>
                <w:szCs w:val="24"/>
                <w:highlight w:val="none"/>
                <w:lang w:val="en-US" w:eastAsia="zh-CN" w:bidi="ar-SA"/>
              </w:rPr>
              <w:t xml:space="preserve">- </w:t>
            </w:r>
            <w:r>
              <w:rPr>
                <w:rFonts w:hint="default" w:ascii="Times New Roman" w:hAnsi="Times New Roman" w:eastAsia="宋体" w:cs="Times New Roman"/>
                <w:color w:val="auto"/>
                <w:kern w:val="2"/>
                <w:sz w:val="21"/>
                <w:szCs w:val="24"/>
                <w:highlight w:val="none"/>
                <w:lang w:val="en-US" w:eastAsia="zh-CN" w:bidi="ar-SA"/>
              </w:rPr>
              <w:t>2015）中排气筒高度不低于15m的要求，以及广东省《制鞋行业挥发性有机化合物排放标准》（DB44/817</w:t>
            </w:r>
            <w:r>
              <w:rPr>
                <w:rFonts w:hint="eastAsia" w:cs="Times New Roman"/>
                <w:color w:val="auto"/>
                <w:kern w:val="2"/>
                <w:sz w:val="21"/>
                <w:szCs w:val="24"/>
                <w:highlight w:val="none"/>
                <w:lang w:val="en-US" w:eastAsia="zh-CN" w:bidi="ar-SA"/>
              </w:rPr>
              <w:t xml:space="preserve">- </w:t>
            </w:r>
            <w:r>
              <w:rPr>
                <w:rFonts w:hint="default" w:ascii="Times New Roman" w:hAnsi="Times New Roman" w:eastAsia="宋体" w:cs="Times New Roman"/>
                <w:color w:val="auto"/>
                <w:kern w:val="2"/>
                <w:sz w:val="21"/>
                <w:szCs w:val="24"/>
                <w:highlight w:val="none"/>
                <w:lang w:val="en-US" w:eastAsia="zh-CN" w:bidi="ar-SA"/>
              </w:rPr>
              <w:t>2010）中排气筒高度不低于15m的要求。</w:t>
            </w:r>
          </w:p>
          <w:p w14:paraId="204981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综上，本项目排气筒高度设置合理，符合各执行标准对排气筒高度的相关要求。</w:t>
            </w:r>
          </w:p>
          <w:p w14:paraId="7D6465C5">
            <w:pPr>
              <w:keepNext w:val="0"/>
              <w:keepLines w:val="0"/>
              <w:widowControl/>
              <w:suppressLineNumbers w:val="0"/>
              <w:spacing w:before="0" w:beforeAutospacing="0" w:after="0" w:afterAutospacing="0" w:line="360" w:lineRule="auto"/>
              <w:ind w:left="0" w:right="0" w:firstLine="422" w:firstLineChars="200"/>
              <w:jc w:val="left"/>
              <w:rPr>
                <w:rFonts w:hint="default" w:ascii="Times New Roman" w:hAnsi="Times New Roman" w:eastAsia="宋体"/>
                <w:b/>
                <w:bCs/>
                <w:color w:val="auto"/>
                <w:sz w:val="21"/>
                <w:highlight w:val="none"/>
              </w:rPr>
            </w:pPr>
            <w:r>
              <w:rPr>
                <w:rFonts w:hint="default" w:ascii="Times New Roman" w:hAnsi="Times New Roman" w:eastAsia="宋体"/>
                <w:b/>
                <w:bCs/>
                <w:color w:val="auto"/>
                <w:sz w:val="21"/>
                <w:highlight w:val="none"/>
              </w:rPr>
              <w:t>2、水污染物排放限值</w:t>
            </w:r>
          </w:p>
          <w:p w14:paraId="0FA127C9">
            <w:pPr>
              <w:pStyle w:val="9"/>
              <w:numPr>
                <w:ilvl w:val="0"/>
                <w:numId w:val="8"/>
              </w:numPr>
              <w:suppressLineNumbers w:val="0"/>
              <w:spacing w:before="0" w:beforeAutospacing="0" w:after="0" w:afterAutospacing="0" w:line="240" w:lineRule="auto"/>
              <w:ind w:right="0"/>
              <w:jc w:val="center"/>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生活污水污染物排放限值</w:t>
            </w:r>
          </w:p>
          <w:tbl>
            <w:tblPr>
              <w:tblStyle w:val="48"/>
              <w:tblW w:w="99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2549"/>
              <w:gridCol w:w="2732"/>
              <w:gridCol w:w="2821"/>
            </w:tblGrid>
            <w:tr w14:paraId="6F76E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931" w:type="pct"/>
                  <w:shd w:val="clear" w:color="auto" w:fill="BEBEBE"/>
                  <w:vAlign w:val="center"/>
                </w:tcPr>
                <w:p w14:paraId="34800F2E">
                  <w:pPr>
                    <w:pStyle w:val="111"/>
                    <w:keepNext w:val="0"/>
                    <w:keepLines w:val="0"/>
                    <w:suppressLineNumbers w:val="0"/>
                    <w:spacing w:before="0" w:beforeAutospacing="0" w:after="0" w:afterAutospacing="0"/>
                    <w:ind w:left="422" w:right="0" w:hanging="422"/>
                    <w:rPr>
                      <w:rFonts w:hint="eastAsia" w:ascii="Times New Roman" w:hAnsi="Times New Roman" w:eastAsia="宋体" w:cs="宋体"/>
                      <w:b/>
                      <w:bCs/>
                      <w:color w:val="auto"/>
                      <w:sz w:val="21"/>
                      <w:highlight w:val="none"/>
                    </w:rPr>
                  </w:pPr>
                  <w:r>
                    <w:rPr>
                      <w:rFonts w:hint="eastAsia" w:ascii="Times New Roman" w:hAnsi="Times New Roman" w:eastAsia="宋体" w:cs="宋体"/>
                      <w:b/>
                      <w:bCs/>
                      <w:color w:val="auto"/>
                      <w:sz w:val="21"/>
                      <w:highlight w:val="none"/>
                    </w:rPr>
                    <w:t>废水类型</w:t>
                  </w:r>
                </w:p>
              </w:tc>
              <w:tc>
                <w:tcPr>
                  <w:tcW w:w="1279" w:type="pct"/>
                  <w:shd w:val="clear" w:color="auto" w:fill="BEBEBE"/>
                  <w:vAlign w:val="center"/>
                </w:tcPr>
                <w:p w14:paraId="2FD3244A">
                  <w:pPr>
                    <w:pStyle w:val="111"/>
                    <w:keepNext w:val="0"/>
                    <w:keepLines w:val="0"/>
                    <w:suppressLineNumbers w:val="0"/>
                    <w:spacing w:before="0" w:beforeAutospacing="0" w:after="0" w:afterAutospacing="0"/>
                    <w:ind w:left="422" w:right="0" w:hanging="422"/>
                    <w:rPr>
                      <w:rFonts w:hint="eastAsia" w:ascii="Times New Roman" w:hAnsi="Times New Roman" w:eastAsia="宋体" w:cs="宋体"/>
                      <w:b/>
                      <w:bCs/>
                      <w:color w:val="auto"/>
                      <w:sz w:val="21"/>
                      <w:highlight w:val="none"/>
                    </w:rPr>
                  </w:pPr>
                  <w:r>
                    <w:rPr>
                      <w:rFonts w:hint="eastAsia" w:ascii="Times New Roman" w:hAnsi="Times New Roman" w:eastAsia="宋体" w:cs="宋体"/>
                      <w:b/>
                      <w:bCs/>
                      <w:color w:val="auto"/>
                      <w:sz w:val="21"/>
                      <w:highlight w:val="none"/>
                    </w:rPr>
                    <w:t>污染因子</w:t>
                  </w:r>
                </w:p>
              </w:tc>
              <w:tc>
                <w:tcPr>
                  <w:tcW w:w="1371" w:type="pct"/>
                  <w:shd w:val="clear" w:color="auto" w:fill="BEBEBE"/>
                  <w:vAlign w:val="center"/>
                </w:tcPr>
                <w:p w14:paraId="5223F6C9">
                  <w:pPr>
                    <w:pStyle w:val="111"/>
                    <w:keepNext w:val="0"/>
                    <w:keepLines w:val="0"/>
                    <w:suppressLineNumbers w:val="0"/>
                    <w:spacing w:before="0" w:beforeAutospacing="0" w:after="0" w:afterAutospacing="0"/>
                    <w:ind w:left="422" w:right="0" w:hanging="422"/>
                    <w:rPr>
                      <w:rFonts w:hint="eastAsia" w:ascii="Times New Roman" w:hAnsi="Times New Roman" w:eastAsia="宋体" w:cs="宋体"/>
                      <w:b/>
                      <w:bCs/>
                      <w:color w:val="auto"/>
                      <w:sz w:val="21"/>
                      <w:highlight w:val="none"/>
                    </w:rPr>
                  </w:pPr>
                  <w:r>
                    <w:rPr>
                      <w:rFonts w:hint="eastAsia" w:ascii="Times New Roman" w:hAnsi="Times New Roman" w:eastAsia="宋体" w:cs="宋体"/>
                      <w:b/>
                      <w:bCs/>
                      <w:color w:val="auto"/>
                      <w:sz w:val="21"/>
                      <w:highlight w:val="none"/>
                    </w:rPr>
                    <w:t>排放限值</w:t>
                  </w:r>
                </w:p>
              </w:tc>
              <w:tc>
                <w:tcPr>
                  <w:tcW w:w="1416" w:type="pct"/>
                  <w:shd w:val="clear" w:color="auto" w:fill="BEBEBE"/>
                  <w:vAlign w:val="center"/>
                </w:tcPr>
                <w:p w14:paraId="48BF56EF">
                  <w:pPr>
                    <w:pStyle w:val="111"/>
                    <w:keepNext w:val="0"/>
                    <w:keepLines w:val="0"/>
                    <w:suppressLineNumbers w:val="0"/>
                    <w:spacing w:before="0" w:beforeAutospacing="0" w:after="0" w:afterAutospacing="0"/>
                    <w:ind w:left="422" w:right="0" w:hanging="422"/>
                    <w:rPr>
                      <w:rFonts w:hint="eastAsia" w:ascii="Times New Roman" w:hAnsi="Times New Roman" w:eastAsia="宋体" w:cs="宋体"/>
                      <w:b/>
                      <w:bCs/>
                      <w:color w:val="auto"/>
                      <w:sz w:val="21"/>
                      <w:highlight w:val="none"/>
                    </w:rPr>
                  </w:pPr>
                  <w:r>
                    <w:rPr>
                      <w:rFonts w:hint="eastAsia" w:ascii="Times New Roman" w:hAnsi="Times New Roman" w:eastAsia="宋体" w:cs="宋体"/>
                      <w:b/>
                      <w:bCs/>
                      <w:color w:val="auto"/>
                      <w:sz w:val="21"/>
                      <w:highlight w:val="none"/>
                    </w:rPr>
                    <w:t>排放标准</w:t>
                  </w:r>
                </w:p>
              </w:tc>
            </w:tr>
            <w:tr w14:paraId="2F0E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931" w:type="pct"/>
                  <w:vMerge w:val="restart"/>
                  <w:vAlign w:val="center"/>
                </w:tcPr>
                <w:p w14:paraId="3F9A9580">
                  <w:pPr>
                    <w:pStyle w:val="111"/>
                    <w:keepNext w:val="0"/>
                    <w:keepLines w:val="0"/>
                    <w:suppressLineNumbers w:val="0"/>
                    <w:spacing w:before="0" w:beforeAutospacing="0" w:after="0" w:afterAutospacing="0"/>
                    <w:ind w:left="420" w:right="0" w:hanging="420"/>
                    <w:rPr>
                      <w:rFonts w:hint="default" w:ascii="Times New Roman" w:hAnsi="Times New Roman" w:eastAsia="宋体"/>
                      <w:color w:val="auto"/>
                      <w:sz w:val="21"/>
                      <w:highlight w:val="none"/>
                    </w:rPr>
                  </w:pPr>
                  <w:r>
                    <w:rPr>
                      <w:rFonts w:hint="eastAsia" w:ascii="Times New Roman" w:hAnsi="Times New Roman" w:eastAsia="宋体" w:cs="宋体"/>
                      <w:color w:val="auto"/>
                      <w:sz w:val="21"/>
                      <w:highlight w:val="none"/>
                    </w:rPr>
                    <w:t>生活污水</w:t>
                  </w:r>
                </w:p>
              </w:tc>
              <w:tc>
                <w:tcPr>
                  <w:tcW w:w="1279" w:type="pct"/>
                  <w:vAlign w:val="center"/>
                </w:tcPr>
                <w:p w14:paraId="28661E40">
                  <w:pPr>
                    <w:pStyle w:val="111"/>
                    <w:keepNext w:val="0"/>
                    <w:keepLines w:val="0"/>
                    <w:suppressLineNumbers w:val="0"/>
                    <w:spacing w:before="0" w:beforeAutospacing="0" w:after="0" w:afterAutospacing="0"/>
                    <w:ind w:left="420" w:right="0" w:hanging="42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pH</w:t>
                  </w:r>
                </w:p>
              </w:tc>
              <w:tc>
                <w:tcPr>
                  <w:tcW w:w="1371" w:type="pct"/>
                  <w:vAlign w:val="center"/>
                </w:tcPr>
                <w:p w14:paraId="70A3536A">
                  <w:pPr>
                    <w:pStyle w:val="62"/>
                    <w:keepNext w:val="0"/>
                    <w:keepLines w:val="0"/>
                    <w:suppressLineNumbers w:val="0"/>
                    <w:spacing w:before="0" w:beforeAutospacing="0" w:after="0" w:afterAutospacing="0"/>
                    <w:ind w:left="0" w:right="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6~9</w:t>
                  </w:r>
                </w:p>
              </w:tc>
              <w:tc>
                <w:tcPr>
                  <w:tcW w:w="1416" w:type="pct"/>
                  <w:vMerge w:val="restart"/>
                  <w:vAlign w:val="center"/>
                </w:tcPr>
                <w:p w14:paraId="44C4055D">
                  <w:pPr>
                    <w:pStyle w:val="62"/>
                    <w:keepNext w:val="0"/>
                    <w:keepLines w:val="0"/>
                    <w:suppressLineNumbers w:val="0"/>
                    <w:spacing w:before="0" w:beforeAutospacing="0" w:after="0" w:afterAutospacing="0"/>
                    <w:ind w:left="0" w:right="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广东省地方标准《水污染物排放限值》（DB44/26</w:t>
                  </w:r>
                  <w:r>
                    <w:rPr>
                      <w:rFonts w:hint="eastAsia" w:hAnsi="Times New Roman"/>
                      <w:color w:val="auto"/>
                      <w:sz w:val="21"/>
                      <w:highlight w:val="none"/>
                      <w:lang w:eastAsia="zh-CN"/>
                    </w:rPr>
                    <w:t xml:space="preserve"> </w:t>
                  </w:r>
                  <w:r>
                    <w:rPr>
                      <w:rFonts w:hint="eastAsia" w:hAnsi="Times New Roman"/>
                      <w:color w:val="auto"/>
                      <w:sz w:val="21"/>
                      <w:highlight w:val="none"/>
                      <w:lang w:val="en-US" w:eastAsia="zh-CN"/>
                    </w:rPr>
                    <w:t>-</w:t>
                  </w:r>
                  <w:r>
                    <w:rPr>
                      <w:rFonts w:hint="default" w:ascii="Times New Roman" w:hAnsi="Times New Roman" w:eastAsia="宋体"/>
                      <w:color w:val="auto"/>
                      <w:sz w:val="21"/>
                      <w:highlight w:val="none"/>
                    </w:rPr>
                    <w:t>2001）第二时段三级标准</w:t>
                  </w:r>
                </w:p>
              </w:tc>
            </w:tr>
            <w:tr w14:paraId="241C9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931" w:type="pct"/>
                  <w:vMerge w:val="continue"/>
                  <w:vAlign w:val="center"/>
                </w:tcPr>
                <w:p w14:paraId="5FC46CFC">
                  <w:pPr>
                    <w:pStyle w:val="111"/>
                    <w:keepNext w:val="0"/>
                    <w:keepLines w:val="0"/>
                    <w:suppressLineNumbers w:val="0"/>
                    <w:spacing w:before="0" w:beforeAutospacing="0" w:after="0" w:afterAutospacing="0"/>
                    <w:ind w:left="420" w:right="0" w:hanging="420"/>
                    <w:rPr>
                      <w:rFonts w:hint="default" w:ascii="Times New Roman" w:hAnsi="Times New Roman" w:eastAsia="宋体"/>
                      <w:color w:val="auto"/>
                      <w:sz w:val="21"/>
                      <w:highlight w:val="none"/>
                    </w:rPr>
                  </w:pPr>
                </w:p>
              </w:tc>
              <w:tc>
                <w:tcPr>
                  <w:tcW w:w="1279" w:type="pct"/>
                  <w:vAlign w:val="center"/>
                </w:tcPr>
                <w:p w14:paraId="0D95DA4A">
                  <w:pPr>
                    <w:pStyle w:val="111"/>
                    <w:keepNext w:val="0"/>
                    <w:keepLines w:val="0"/>
                    <w:suppressLineNumbers w:val="0"/>
                    <w:spacing w:before="0" w:beforeAutospacing="0" w:after="0" w:afterAutospacing="0"/>
                    <w:ind w:left="420" w:right="0" w:hanging="42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COD</w:t>
                  </w:r>
                  <w:r>
                    <w:rPr>
                      <w:rFonts w:hint="default" w:ascii="Times New Roman" w:hAnsi="Times New Roman" w:eastAsia="宋体"/>
                      <w:color w:val="auto"/>
                      <w:sz w:val="21"/>
                      <w:highlight w:val="none"/>
                      <w:vertAlign w:val="subscript"/>
                    </w:rPr>
                    <w:t>Cr</w:t>
                  </w:r>
                </w:p>
              </w:tc>
              <w:tc>
                <w:tcPr>
                  <w:tcW w:w="1371" w:type="pct"/>
                  <w:vAlign w:val="center"/>
                </w:tcPr>
                <w:p w14:paraId="48E3FB16">
                  <w:pPr>
                    <w:pStyle w:val="62"/>
                    <w:keepNext w:val="0"/>
                    <w:keepLines w:val="0"/>
                    <w:suppressLineNumbers w:val="0"/>
                    <w:spacing w:before="0" w:beforeAutospacing="0" w:after="0" w:afterAutospacing="0"/>
                    <w:ind w:left="0" w:right="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≤500</w:t>
                  </w:r>
                </w:p>
              </w:tc>
              <w:tc>
                <w:tcPr>
                  <w:tcW w:w="1416" w:type="pct"/>
                  <w:vMerge w:val="continue"/>
                  <w:vAlign w:val="center"/>
                </w:tcPr>
                <w:p w14:paraId="6D24494A">
                  <w:pPr>
                    <w:pStyle w:val="62"/>
                    <w:keepNext w:val="0"/>
                    <w:keepLines w:val="0"/>
                    <w:suppressLineNumbers w:val="0"/>
                    <w:spacing w:before="0" w:beforeAutospacing="0" w:after="0" w:afterAutospacing="0"/>
                    <w:ind w:left="0" w:right="0"/>
                    <w:rPr>
                      <w:rFonts w:hint="default" w:ascii="Times New Roman" w:hAnsi="Times New Roman" w:eastAsia="宋体"/>
                      <w:color w:val="auto"/>
                      <w:sz w:val="21"/>
                      <w:highlight w:val="none"/>
                    </w:rPr>
                  </w:pPr>
                </w:p>
              </w:tc>
            </w:tr>
            <w:tr w14:paraId="7A069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931" w:type="pct"/>
                  <w:vMerge w:val="continue"/>
                  <w:vAlign w:val="center"/>
                </w:tcPr>
                <w:p w14:paraId="778BB5F2">
                  <w:pPr>
                    <w:pStyle w:val="111"/>
                    <w:keepNext w:val="0"/>
                    <w:keepLines w:val="0"/>
                    <w:suppressLineNumbers w:val="0"/>
                    <w:spacing w:before="0" w:beforeAutospacing="0" w:after="0" w:afterAutospacing="0"/>
                    <w:ind w:left="420" w:right="0" w:hanging="420"/>
                    <w:rPr>
                      <w:rFonts w:hint="default" w:ascii="Times New Roman" w:hAnsi="Times New Roman" w:eastAsia="宋体"/>
                      <w:color w:val="auto"/>
                      <w:sz w:val="21"/>
                      <w:highlight w:val="none"/>
                    </w:rPr>
                  </w:pPr>
                </w:p>
              </w:tc>
              <w:tc>
                <w:tcPr>
                  <w:tcW w:w="1279" w:type="pct"/>
                  <w:vAlign w:val="center"/>
                </w:tcPr>
                <w:p w14:paraId="45D00C89">
                  <w:pPr>
                    <w:pStyle w:val="111"/>
                    <w:keepNext w:val="0"/>
                    <w:keepLines w:val="0"/>
                    <w:suppressLineNumbers w:val="0"/>
                    <w:spacing w:before="0" w:beforeAutospacing="0" w:after="0" w:afterAutospacing="0"/>
                    <w:ind w:left="420" w:right="0" w:hanging="42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BOD</w:t>
                  </w:r>
                  <w:r>
                    <w:rPr>
                      <w:rFonts w:hint="default" w:ascii="Times New Roman" w:hAnsi="Times New Roman" w:eastAsia="宋体"/>
                      <w:color w:val="auto"/>
                      <w:sz w:val="21"/>
                      <w:highlight w:val="none"/>
                      <w:vertAlign w:val="subscript"/>
                    </w:rPr>
                    <w:t>5</w:t>
                  </w:r>
                </w:p>
              </w:tc>
              <w:tc>
                <w:tcPr>
                  <w:tcW w:w="1371" w:type="pct"/>
                  <w:vAlign w:val="center"/>
                </w:tcPr>
                <w:p w14:paraId="597DB4EA">
                  <w:pPr>
                    <w:pStyle w:val="111"/>
                    <w:keepNext w:val="0"/>
                    <w:keepLines w:val="0"/>
                    <w:suppressLineNumbers w:val="0"/>
                    <w:spacing w:before="0" w:beforeAutospacing="0" w:after="0" w:afterAutospacing="0"/>
                    <w:ind w:left="420" w:right="0" w:hanging="42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≤300</w:t>
                  </w:r>
                </w:p>
              </w:tc>
              <w:tc>
                <w:tcPr>
                  <w:tcW w:w="1416" w:type="pct"/>
                  <w:vMerge w:val="continue"/>
                  <w:vAlign w:val="center"/>
                </w:tcPr>
                <w:p w14:paraId="46926A58">
                  <w:pPr>
                    <w:pStyle w:val="111"/>
                    <w:keepNext w:val="0"/>
                    <w:keepLines w:val="0"/>
                    <w:suppressLineNumbers w:val="0"/>
                    <w:spacing w:before="0" w:beforeAutospacing="0" w:after="0" w:afterAutospacing="0"/>
                    <w:ind w:left="420" w:right="0" w:hanging="420"/>
                    <w:rPr>
                      <w:rFonts w:hint="default" w:ascii="Times New Roman" w:hAnsi="Times New Roman" w:eastAsia="宋体"/>
                      <w:color w:val="auto"/>
                      <w:sz w:val="21"/>
                      <w:highlight w:val="none"/>
                    </w:rPr>
                  </w:pPr>
                </w:p>
              </w:tc>
            </w:tr>
            <w:tr w14:paraId="45A98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931" w:type="pct"/>
                  <w:vMerge w:val="continue"/>
                  <w:vAlign w:val="center"/>
                </w:tcPr>
                <w:p w14:paraId="6AC37820">
                  <w:pPr>
                    <w:pStyle w:val="111"/>
                    <w:keepNext w:val="0"/>
                    <w:keepLines w:val="0"/>
                    <w:suppressLineNumbers w:val="0"/>
                    <w:spacing w:before="0" w:beforeAutospacing="0" w:after="0" w:afterAutospacing="0"/>
                    <w:ind w:left="420" w:right="0" w:hanging="420"/>
                    <w:rPr>
                      <w:rFonts w:hint="default" w:ascii="Times New Roman" w:hAnsi="Times New Roman" w:eastAsia="宋体"/>
                      <w:color w:val="auto"/>
                      <w:sz w:val="21"/>
                      <w:highlight w:val="none"/>
                    </w:rPr>
                  </w:pPr>
                </w:p>
              </w:tc>
              <w:tc>
                <w:tcPr>
                  <w:tcW w:w="1279" w:type="pct"/>
                  <w:vAlign w:val="center"/>
                </w:tcPr>
                <w:p w14:paraId="67E44840">
                  <w:pPr>
                    <w:pStyle w:val="111"/>
                    <w:keepNext w:val="0"/>
                    <w:keepLines w:val="0"/>
                    <w:suppressLineNumbers w:val="0"/>
                    <w:spacing w:before="0" w:beforeAutospacing="0" w:after="0" w:afterAutospacing="0"/>
                    <w:ind w:left="420" w:right="0" w:hanging="42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SS</w:t>
                  </w:r>
                </w:p>
              </w:tc>
              <w:tc>
                <w:tcPr>
                  <w:tcW w:w="1371" w:type="pct"/>
                  <w:vAlign w:val="center"/>
                </w:tcPr>
                <w:p w14:paraId="3BB4BD48">
                  <w:pPr>
                    <w:pStyle w:val="111"/>
                    <w:keepNext w:val="0"/>
                    <w:keepLines w:val="0"/>
                    <w:suppressLineNumbers w:val="0"/>
                    <w:spacing w:before="0" w:beforeAutospacing="0" w:after="0" w:afterAutospacing="0"/>
                    <w:ind w:left="420" w:right="0" w:hanging="42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≤400</w:t>
                  </w:r>
                </w:p>
              </w:tc>
              <w:tc>
                <w:tcPr>
                  <w:tcW w:w="1416" w:type="pct"/>
                  <w:vMerge w:val="continue"/>
                  <w:vAlign w:val="center"/>
                </w:tcPr>
                <w:p w14:paraId="1FCE3A91">
                  <w:pPr>
                    <w:pStyle w:val="111"/>
                    <w:keepNext w:val="0"/>
                    <w:keepLines w:val="0"/>
                    <w:suppressLineNumbers w:val="0"/>
                    <w:spacing w:before="0" w:beforeAutospacing="0" w:after="0" w:afterAutospacing="0"/>
                    <w:ind w:left="420" w:right="0" w:hanging="420"/>
                    <w:rPr>
                      <w:rFonts w:hint="default" w:ascii="Times New Roman" w:hAnsi="Times New Roman" w:eastAsia="宋体"/>
                      <w:color w:val="auto"/>
                      <w:sz w:val="21"/>
                      <w:highlight w:val="none"/>
                    </w:rPr>
                  </w:pPr>
                </w:p>
              </w:tc>
            </w:tr>
            <w:tr w14:paraId="54121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931" w:type="pct"/>
                  <w:vMerge w:val="continue"/>
                  <w:vAlign w:val="center"/>
                </w:tcPr>
                <w:p w14:paraId="133E82FD">
                  <w:pPr>
                    <w:pStyle w:val="111"/>
                    <w:keepNext w:val="0"/>
                    <w:keepLines w:val="0"/>
                    <w:suppressLineNumbers w:val="0"/>
                    <w:spacing w:before="0" w:beforeAutospacing="0" w:after="0" w:afterAutospacing="0"/>
                    <w:ind w:left="420" w:right="0" w:hanging="420"/>
                    <w:rPr>
                      <w:rFonts w:hint="default" w:ascii="Times New Roman" w:hAnsi="Times New Roman" w:eastAsia="宋体"/>
                      <w:color w:val="auto"/>
                      <w:sz w:val="21"/>
                      <w:highlight w:val="none"/>
                    </w:rPr>
                  </w:pPr>
                </w:p>
              </w:tc>
              <w:tc>
                <w:tcPr>
                  <w:tcW w:w="1279" w:type="pct"/>
                  <w:vAlign w:val="center"/>
                </w:tcPr>
                <w:p w14:paraId="6033E2B3">
                  <w:pPr>
                    <w:pStyle w:val="111"/>
                    <w:keepNext w:val="0"/>
                    <w:keepLines w:val="0"/>
                    <w:suppressLineNumbers w:val="0"/>
                    <w:spacing w:before="0" w:beforeAutospacing="0" w:after="0" w:afterAutospacing="0"/>
                    <w:ind w:left="420" w:right="0" w:hanging="42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NH</w:t>
                  </w:r>
                  <w:r>
                    <w:rPr>
                      <w:rFonts w:hint="default" w:ascii="Times New Roman" w:hAnsi="Times New Roman" w:eastAsia="宋体"/>
                      <w:color w:val="auto"/>
                      <w:sz w:val="21"/>
                      <w:highlight w:val="none"/>
                      <w:vertAlign w:val="subscript"/>
                    </w:rPr>
                    <w:t>3</w:t>
                  </w:r>
                  <w:r>
                    <w:rPr>
                      <w:rFonts w:hint="eastAsia" w:eastAsia="宋体"/>
                      <w:color w:val="auto"/>
                      <w:sz w:val="21"/>
                      <w:highlight w:val="none"/>
                      <w:lang w:eastAsia="zh-CN"/>
                    </w:rPr>
                    <w:t xml:space="preserve"> </w:t>
                  </w:r>
                  <w:r>
                    <w:rPr>
                      <w:rFonts w:hint="default" w:ascii="Times New Roman" w:hAnsi="Times New Roman" w:eastAsia="宋体"/>
                      <w:color w:val="auto"/>
                      <w:sz w:val="21"/>
                      <w:highlight w:val="none"/>
                    </w:rPr>
                    <w:t>N</w:t>
                  </w:r>
                </w:p>
              </w:tc>
              <w:tc>
                <w:tcPr>
                  <w:tcW w:w="1371" w:type="pct"/>
                  <w:vAlign w:val="center"/>
                </w:tcPr>
                <w:p w14:paraId="418CCF1C">
                  <w:pPr>
                    <w:pStyle w:val="111"/>
                    <w:keepNext w:val="0"/>
                    <w:keepLines w:val="0"/>
                    <w:suppressLineNumbers w:val="0"/>
                    <w:spacing w:before="0" w:beforeAutospacing="0" w:after="0" w:afterAutospacing="0"/>
                    <w:ind w:left="420" w:right="0" w:hanging="42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w:t>
                  </w:r>
                </w:p>
              </w:tc>
              <w:tc>
                <w:tcPr>
                  <w:tcW w:w="1416" w:type="pct"/>
                  <w:vMerge w:val="continue"/>
                  <w:vAlign w:val="center"/>
                </w:tcPr>
                <w:p w14:paraId="51F23618">
                  <w:pPr>
                    <w:pStyle w:val="111"/>
                    <w:keepNext w:val="0"/>
                    <w:keepLines w:val="0"/>
                    <w:suppressLineNumbers w:val="0"/>
                    <w:spacing w:before="0" w:beforeAutospacing="0" w:after="0" w:afterAutospacing="0"/>
                    <w:ind w:left="420" w:right="0" w:hanging="420"/>
                    <w:rPr>
                      <w:rFonts w:hint="default" w:ascii="Times New Roman" w:hAnsi="Times New Roman" w:eastAsia="宋体"/>
                      <w:color w:val="auto"/>
                      <w:sz w:val="21"/>
                      <w:highlight w:val="none"/>
                    </w:rPr>
                  </w:pPr>
                </w:p>
              </w:tc>
            </w:tr>
            <w:tr w14:paraId="37968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931" w:type="pct"/>
                  <w:vMerge w:val="continue"/>
                  <w:vAlign w:val="center"/>
                </w:tcPr>
                <w:p w14:paraId="66F51039">
                  <w:pPr>
                    <w:pStyle w:val="111"/>
                    <w:keepNext w:val="0"/>
                    <w:keepLines w:val="0"/>
                    <w:suppressLineNumbers w:val="0"/>
                    <w:spacing w:before="0" w:beforeAutospacing="0" w:after="0" w:afterAutospacing="0"/>
                    <w:ind w:left="420" w:right="0" w:hanging="420"/>
                    <w:rPr>
                      <w:rFonts w:hint="default" w:ascii="Times New Roman" w:hAnsi="Times New Roman" w:eastAsia="宋体"/>
                      <w:color w:val="auto"/>
                      <w:sz w:val="21"/>
                      <w:highlight w:val="none"/>
                    </w:rPr>
                  </w:pPr>
                </w:p>
              </w:tc>
              <w:tc>
                <w:tcPr>
                  <w:tcW w:w="1279" w:type="pct"/>
                  <w:vAlign w:val="center"/>
                </w:tcPr>
                <w:p w14:paraId="319B6225">
                  <w:pPr>
                    <w:pStyle w:val="111"/>
                    <w:keepNext w:val="0"/>
                    <w:keepLines w:val="0"/>
                    <w:suppressLineNumbers w:val="0"/>
                    <w:spacing w:before="0" w:beforeAutospacing="0" w:after="0" w:afterAutospacing="0"/>
                    <w:ind w:left="420" w:right="0" w:hanging="420"/>
                    <w:rPr>
                      <w:rFonts w:hint="default" w:ascii="Times New Roman" w:hAnsi="Times New Roman" w:eastAsia="宋体"/>
                      <w:color w:val="auto"/>
                      <w:sz w:val="21"/>
                      <w:highlight w:val="none"/>
                      <w:lang w:val="en-US" w:eastAsia="zh-CN"/>
                    </w:rPr>
                  </w:pPr>
                  <w:r>
                    <w:rPr>
                      <w:rFonts w:hint="eastAsia" w:eastAsia="宋体"/>
                      <w:color w:val="auto"/>
                      <w:sz w:val="21"/>
                      <w:highlight w:val="none"/>
                      <w:lang w:val="en-US" w:eastAsia="zh-CN"/>
                    </w:rPr>
                    <w:t>总磷</w:t>
                  </w:r>
                </w:p>
              </w:tc>
              <w:tc>
                <w:tcPr>
                  <w:tcW w:w="1371" w:type="pct"/>
                  <w:vAlign w:val="center"/>
                </w:tcPr>
                <w:p w14:paraId="24380082">
                  <w:pPr>
                    <w:pStyle w:val="111"/>
                    <w:keepNext w:val="0"/>
                    <w:keepLines w:val="0"/>
                    <w:suppressLineNumbers w:val="0"/>
                    <w:spacing w:before="0" w:beforeAutospacing="0" w:after="0" w:afterAutospacing="0"/>
                    <w:ind w:left="420" w:right="0" w:hanging="42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w:t>
                  </w:r>
                </w:p>
              </w:tc>
              <w:tc>
                <w:tcPr>
                  <w:tcW w:w="1416" w:type="pct"/>
                  <w:vMerge w:val="continue"/>
                  <w:vAlign w:val="center"/>
                </w:tcPr>
                <w:p w14:paraId="0EA0805E">
                  <w:pPr>
                    <w:pStyle w:val="111"/>
                    <w:keepNext w:val="0"/>
                    <w:keepLines w:val="0"/>
                    <w:suppressLineNumbers w:val="0"/>
                    <w:spacing w:before="0" w:beforeAutospacing="0" w:after="0" w:afterAutospacing="0"/>
                    <w:ind w:left="420" w:right="0" w:hanging="420"/>
                    <w:rPr>
                      <w:rFonts w:hint="default" w:ascii="Times New Roman" w:hAnsi="Times New Roman" w:eastAsia="宋体"/>
                      <w:color w:val="auto"/>
                      <w:sz w:val="21"/>
                      <w:highlight w:val="none"/>
                    </w:rPr>
                  </w:pPr>
                </w:p>
              </w:tc>
            </w:tr>
          </w:tbl>
          <w:p w14:paraId="550F043D">
            <w:pPr>
              <w:keepNext w:val="0"/>
              <w:keepLines w:val="0"/>
              <w:widowControl/>
              <w:suppressLineNumbers w:val="0"/>
              <w:spacing w:before="0" w:beforeAutospacing="0" w:after="0" w:afterAutospacing="0" w:line="360" w:lineRule="auto"/>
              <w:ind w:left="0" w:right="0" w:firstLine="422" w:firstLineChars="200"/>
              <w:jc w:val="left"/>
              <w:rPr>
                <w:rFonts w:hint="default" w:ascii="Times New Roman" w:hAnsi="Times New Roman" w:eastAsia="宋体"/>
                <w:color w:val="auto"/>
                <w:sz w:val="21"/>
                <w:highlight w:val="none"/>
              </w:rPr>
            </w:pPr>
            <w:r>
              <w:rPr>
                <w:rFonts w:hint="default" w:ascii="Times New Roman" w:hAnsi="Times New Roman" w:eastAsia="宋体"/>
                <w:b/>
                <w:bCs/>
                <w:color w:val="auto"/>
                <w:kern w:val="0"/>
                <w:sz w:val="21"/>
                <w:highlight w:val="none"/>
              </w:rPr>
              <w:t>3、噪声排放标准</w:t>
            </w:r>
          </w:p>
          <w:p w14:paraId="3C228688">
            <w:pPr>
              <w:keepNext w:val="0"/>
              <w:keepLines w:val="0"/>
              <w:suppressLineNumbers w:val="0"/>
              <w:spacing w:before="0" w:beforeAutospacing="0" w:after="0" w:afterAutospacing="0" w:line="360" w:lineRule="auto"/>
              <w:ind w:left="0" w:right="0" w:firstLine="420" w:firstLineChars="20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项目运营期厂界噪声执行《工业企业厂界环境噪声排放标准》（GB 12348</w:t>
            </w:r>
            <w:r>
              <w:rPr>
                <w:rFonts w:hint="eastAsia"/>
                <w:color w:val="auto"/>
                <w:sz w:val="21"/>
                <w:highlight w:val="none"/>
                <w:lang w:eastAsia="zh-CN"/>
              </w:rPr>
              <w:t xml:space="preserve"> </w:t>
            </w:r>
            <w:r>
              <w:rPr>
                <w:rFonts w:hint="eastAsia"/>
                <w:color w:val="auto"/>
                <w:sz w:val="21"/>
                <w:highlight w:val="none"/>
                <w:lang w:val="en-US" w:eastAsia="zh-CN"/>
              </w:rPr>
              <w:t>-</w:t>
            </w:r>
            <w:r>
              <w:rPr>
                <w:rFonts w:hint="default" w:ascii="Times New Roman" w:hAnsi="Times New Roman" w:eastAsia="宋体"/>
                <w:color w:val="auto"/>
                <w:sz w:val="21"/>
                <w:highlight w:val="none"/>
              </w:rPr>
              <w:t>2008）</w:t>
            </w:r>
            <w:r>
              <w:rPr>
                <w:rFonts w:hint="eastAsia" w:ascii="Times New Roman" w:hAnsi="Times New Roman" w:eastAsia="宋体"/>
                <w:color w:val="auto"/>
                <w:sz w:val="21"/>
                <w:highlight w:val="none"/>
                <w:lang w:val="en-US" w:eastAsia="zh-CN"/>
              </w:rPr>
              <w:t>3</w:t>
            </w:r>
            <w:r>
              <w:rPr>
                <w:rFonts w:hint="eastAsia" w:ascii="Times New Roman" w:hAnsi="Times New Roman" w:eastAsia="宋体"/>
                <w:color w:val="auto"/>
                <w:sz w:val="21"/>
                <w:highlight w:val="none"/>
              </w:rPr>
              <w:t>类标准</w:t>
            </w:r>
            <w:r>
              <w:rPr>
                <w:rFonts w:hint="default" w:ascii="Times New Roman" w:hAnsi="Times New Roman" w:eastAsia="宋体"/>
                <w:color w:val="auto"/>
                <w:sz w:val="21"/>
                <w:highlight w:val="none"/>
              </w:rPr>
              <w:t>：即昼间≤6</w:t>
            </w:r>
            <w:r>
              <w:rPr>
                <w:rFonts w:hint="eastAsia" w:ascii="Times New Roman" w:hAnsi="Times New Roman" w:eastAsia="宋体"/>
                <w:color w:val="auto"/>
                <w:sz w:val="21"/>
                <w:highlight w:val="none"/>
                <w:lang w:val="en-US" w:eastAsia="zh-CN"/>
              </w:rPr>
              <w:t>5</w:t>
            </w:r>
            <w:r>
              <w:rPr>
                <w:rFonts w:hint="default" w:ascii="Times New Roman" w:hAnsi="Times New Roman" w:eastAsia="宋体"/>
                <w:color w:val="auto"/>
                <w:sz w:val="21"/>
                <w:highlight w:val="none"/>
              </w:rPr>
              <w:t>dB（A）。</w:t>
            </w:r>
          </w:p>
          <w:p w14:paraId="138FD83D">
            <w:pPr>
              <w:keepNext w:val="0"/>
              <w:keepLines w:val="0"/>
              <w:widowControl/>
              <w:suppressLineNumbers w:val="0"/>
              <w:spacing w:before="0" w:beforeAutospacing="0" w:after="0" w:afterAutospacing="0" w:line="360" w:lineRule="auto"/>
              <w:ind w:left="0" w:right="0" w:firstLine="422" w:firstLineChars="200"/>
              <w:jc w:val="left"/>
              <w:rPr>
                <w:rFonts w:hint="default" w:ascii="Times New Roman" w:hAnsi="Times New Roman" w:eastAsia="宋体"/>
                <w:color w:val="auto"/>
                <w:sz w:val="21"/>
                <w:highlight w:val="none"/>
              </w:rPr>
            </w:pPr>
            <w:r>
              <w:rPr>
                <w:rFonts w:hint="default" w:ascii="Times New Roman" w:hAnsi="Times New Roman" w:eastAsia="宋体"/>
                <w:b/>
                <w:bCs/>
                <w:color w:val="auto"/>
                <w:kern w:val="0"/>
                <w:sz w:val="21"/>
                <w:highlight w:val="none"/>
              </w:rPr>
              <w:t>4、固体废物</w:t>
            </w:r>
          </w:p>
          <w:p w14:paraId="106764EB">
            <w:pPr>
              <w:keepNext w:val="0"/>
              <w:keepLines w:val="0"/>
              <w:suppressLineNumbers w:val="0"/>
              <w:spacing w:before="0" w:beforeAutospacing="0" w:after="0" w:afterAutospacing="0" w:line="360" w:lineRule="auto"/>
              <w:ind w:left="0" w:right="0" w:firstLine="420" w:firstLineChars="20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项目危险废物贮存设施执行《危险废物贮存污染控制标准》（GB18597</w:t>
            </w:r>
            <w:r>
              <w:rPr>
                <w:rFonts w:hint="eastAsia"/>
                <w:color w:val="auto"/>
                <w:sz w:val="21"/>
                <w:highlight w:val="none"/>
                <w:lang w:eastAsia="zh-CN"/>
              </w:rPr>
              <w:t xml:space="preserve"> </w:t>
            </w:r>
            <w:r>
              <w:rPr>
                <w:rFonts w:hint="eastAsia"/>
                <w:color w:val="auto"/>
                <w:sz w:val="21"/>
                <w:highlight w:val="none"/>
                <w:lang w:val="en-US" w:eastAsia="zh-CN"/>
              </w:rPr>
              <w:t>-</w:t>
            </w:r>
            <w:r>
              <w:rPr>
                <w:rFonts w:hint="default" w:ascii="Times New Roman" w:hAnsi="Times New Roman" w:eastAsia="宋体"/>
                <w:color w:val="auto"/>
                <w:sz w:val="21"/>
                <w:highlight w:val="none"/>
              </w:rPr>
              <w:t>2023）要求</w:t>
            </w:r>
            <w:r>
              <w:rPr>
                <w:rFonts w:hint="eastAsia" w:ascii="Times New Roman" w:hAnsi="Times New Roman" w:eastAsia="宋体"/>
                <w:color w:val="auto"/>
                <w:sz w:val="21"/>
                <w:highlight w:val="none"/>
              </w:rPr>
              <w:t>，一般工业固体废物在厂内贮存</w:t>
            </w:r>
            <w:r>
              <w:rPr>
                <w:rFonts w:hint="default" w:ascii="Times New Roman" w:hAnsi="Times New Roman" w:eastAsia="宋体"/>
                <w:color w:val="auto"/>
                <w:sz w:val="21"/>
                <w:highlight w:val="none"/>
              </w:rPr>
              <w:t>过程应满足相应防渗漏、防雨淋、防扬尘等环境保护要求。</w:t>
            </w:r>
          </w:p>
        </w:tc>
      </w:tr>
      <w:tr w14:paraId="3A7C2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8" w:hRule="atLeast"/>
        </w:trPr>
        <w:tc>
          <w:tcPr>
            <w:tcW w:w="410" w:type="dxa"/>
            <w:vAlign w:val="center"/>
          </w:tcPr>
          <w:p w14:paraId="6C77E3CD">
            <w:pPr>
              <w:keepNext w:val="0"/>
              <w:keepLines w:val="0"/>
              <w:suppressLineNumbers w:val="0"/>
              <w:spacing w:before="0" w:beforeAutospacing="0" w:after="0" w:afterAutospacing="0"/>
              <w:ind w:left="0" w:right="0" w:firstLine="600"/>
              <w:rPr>
                <w:rFonts w:hint="eastAsia" w:ascii="Times New Roman" w:hAnsi="Times New Roman" w:eastAsia="宋体" w:cs="宋体"/>
                <w:color w:val="auto"/>
                <w:sz w:val="21"/>
                <w:highlight w:val="none"/>
              </w:rPr>
            </w:pPr>
            <w:r>
              <w:rPr>
                <w:rFonts w:hint="eastAsia" w:ascii="Times New Roman" w:hAnsi="Times New Roman" w:eastAsia="宋体" w:cs="宋体"/>
                <w:color w:val="auto"/>
                <w:sz w:val="21"/>
                <w:highlight w:val="none"/>
              </w:rPr>
              <w:t>总量控制指标</w:t>
            </w:r>
          </w:p>
        </w:tc>
        <w:tc>
          <w:tcPr>
            <w:tcW w:w="10131" w:type="dxa"/>
          </w:tcPr>
          <w:p w14:paraId="4E6B1B5E">
            <w:pPr>
              <w:pStyle w:val="72"/>
              <w:keepNext w:val="0"/>
              <w:keepLines w:val="0"/>
              <w:suppressLineNumbers w:val="0"/>
              <w:spacing w:before="0" w:beforeAutospacing="0" w:after="0" w:afterAutospacing="0"/>
              <w:ind w:left="0" w:right="0" w:firstLine="420" w:firstLineChars="200"/>
              <w:jc w:val="both"/>
              <w:rPr>
                <w:rFonts w:hint="eastAsia" w:ascii="Times New Roman" w:hAnsi="Times New Roman" w:eastAsia="宋体" w:cs="宋体"/>
                <w:color w:val="auto"/>
                <w:sz w:val="21"/>
                <w:highlight w:val="none"/>
              </w:rPr>
            </w:pPr>
            <w:r>
              <w:rPr>
                <w:rFonts w:hint="eastAsia" w:ascii="Times New Roman" w:hAnsi="Times New Roman" w:eastAsia="宋体" w:cs="宋体"/>
                <w:color w:val="auto"/>
                <w:sz w:val="21"/>
                <w:highlight w:val="none"/>
              </w:rPr>
              <w:t>1、大气</w:t>
            </w:r>
          </w:p>
          <w:p w14:paraId="7E05D490">
            <w:pPr>
              <w:pStyle w:val="72"/>
              <w:keepNext w:val="0"/>
              <w:keepLines w:val="0"/>
              <w:suppressLineNumbers w:val="0"/>
              <w:spacing w:before="0" w:beforeAutospacing="0" w:after="0" w:afterAutospacing="0"/>
              <w:ind w:left="0" w:right="0" w:firstLine="420" w:firstLineChars="200"/>
              <w:jc w:val="both"/>
              <w:rPr>
                <w:rFonts w:hint="eastAsia" w:ascii="Times New Roman" w:hAnsi="Times New Roman" w:eastAsia="宋体" w:cs="宋体"/>
                <w:color w:val="auto"/>
                <w:sz w:val="21"/>
                <w:highlight w:val="none"/>
              </w:rPr>
            </w:pPr>
            <w:r>
              <w:rPr>
                <w:rFonts w:hint="eastAsia" w:ascii="Times New Roman" w:hAnsi="Times New Roman" w:eastAsia="宋体" w:cs="宋体"/>
                <w:color w:val="auto"/>
                <w:kern w:val="0"/>
                <w:sz w:val="21"/>
                <w:highlight w:val="none"/>
              </w:rPr>
              <w:t>本项目</w:t>
            </w:r>
            <w:r>
              <w:rPr>
                <w:rFonts w:hint="eastAsia" w:ascii="Times New Roman" w:hAnsi="Times New Roman" w:eastAsia="宋体" w:cs="宋体"/>
                <w:color w:val="auto"/>
                <w:kern w:val="0"/>
                <w:sz w:val="21"/>
                <w:highlight w:val="none"/>
                <w:lang w:val="zh-CN"/>
              </w:rPr>
              <w:t>挥发性有机物排放量</w:t>
            </w:r>
            <w:r>
              <w:rPr>
                <w:rFonts w:hint="eastAsia" w:cs="宋体"/>
                <w:color w:val="auto"/>
                <w:sz w:val="21"/>
                <w:highlight w:val="none"/>
                <w:lang w:eastAsia="zh-CN"/>
              </w:rPr>
              <w:t>0.69</w:t>
            </w:r>
            <w:r>
              <w:rPr>
                <w:rFonts w:hint="eastAsia" w:cs="宋体"/>
                <w:color w:val="auto"/>
                <w:sz w:val="21"/>
                <w:highlight w:val="none"/>
                <w:lang w:val="en-US" w:eastAsia="zh-CN"/>
              </w:rPr>
              <w:t>6</w:t>
            </w:r>
            <w:r>
              <w:rPr>
                <w:rFonts w:hint="eastAsia" w:ascii="Times New Roman" w:hAnsi="Times New Roman" w:eastAsia="宋体" w:cs="宋体"/>
                <w:color w:val="auto"/>
                <w:sz w:val="21"/>
                <w:highlight w:val="none"/>
              </w:rPr>
              <w:t>t/a。</w:t>
            </w:r>
          </w:p>
          <w:p w14:paraId="40B89C56">
            <w:pPr>
              <w:pStyle w:val="72"/>
              <w:keepNext w:val="0"/>
              <w:keepLines w:val="0"/>
              <w:suppressLineNumbers w:val="0"/>
              <w:spacing w:before="0" w:beforeAutospacing="0" w:after="0" w:afterAutospacing="0"/>
              <w:ind w:left="0" w:right="0" w:firstLine="420" w:firstLineChars="200"/>
              <w:jc w:val="both"/>
              <w:rPr>
                <w:rFonts w:hint="eastAsia" w:ascii="Times New Roman" w:hAnsi="Times New Roman" w:eastAsia="宋体" w:cs="宋体"/>
                <w:color w:val="auto"/>
                <w:sz w:val="21"/>
                <w:highlight w:val="none"/>
              </w:rPr>
            </w:pPr>
            <w:r>
              <w:rPr>
                <w:rFonts w:hint="eastAsia" w:ascii="Times New Roman" w:hAnsi="Times New Roman" w:eastAsia="宋体" w:cs="宋体"/>
                <w:color w:val="auto"/>
                <w:sz w:val="21"/>
                <w:highlight w:val="none"/>
              </w:rPr>
              <w:t>2、水</w:t>
            </w:r>
          </w:p>
          <w:p w14:paraId="05526B2F">
            <w:pPr>
              <w:pStyle w:val="72"/>
              <w:keepNext w:val="0"/>
              <w:keepLines w:val="0"/>
              <w:suppressLineNumbers w:val="0"/>
              <w:spacing w:before="0" w:beforeAutospacing="0" w:after="0" w:afterAutospacing="0"/>
              <w:ind w:left="0" w:right="0" w:firstLine="420" w:firstLineChars="200"/>
              <w:jc w:val="both"/>
              <w:rPr>
                <w:rFonts w:hint="eastAsia" w:ascii="Times New Roman" w:hAnsi="Times New Roman" w:eastAsia="宋体" w:cs="宋体"/>
                <w:color w:val="auto"/>
                <w:sz w:val="21"/>
                <w:highlight w:val="none"/>
              </w:rPr>
            </w:pPr>
            <w:r>
              <w:rPr>
                <w:rFonts w:hint="eastAsia" w:ascii="Times New Roman" w:hAnsi="Times New Roman" w:eastAsia="宋体" w:cs="宋体"/>
                <w:color w:val="auto"/>
                <w:sz w:val="21"/>
                <w:highlight w:val="none"/>
              </w:rPr>
              <w:t>本项目生活污水经三级化粪池处理后排入市政管网，进入中山市污水处理有限公司处理，生产废水</w:t>
            </w:r>
            <w:r>
              <w:rPr>
                <w:rFonts w:hint="eastAsia" w:ascii="Times New Roman" w:hAnsi="Times New Roman" w:eastAsia="宋体" w:cs="宋体"/>
                <w:color w:val="auto"/>
                <w:spacing w:val="6"/>
                <w:sz w:val="21"/>
                <w:highlight w:val="none"/>
              </w:rPr>
              <w:t>收集后委托给有处理能力的废水处理机构处理</w:t>
            </w:r>
            <w:r>
              <w:rPr>
                <w:rFonts w:hint="eastAsia" w:ascii="Times New Roman" w:hAnsi="Times New Roman" w:eastAsia="宋体" w:cs="宋体"/>
                <w:color w:val="auto"/>
                <w:sz w:val="21"/>
                <w:highlight w:val="none"/>
              </w:rPr>
              <w:t>，不需要另外申请COD</w:t>
            </w:r>
            <w:r>
              <w:rPr>
                <w:rFonts w:hint="eastAsia" w:ascii="Times New Roman" w:hAnsi="Times New Roman" w:eastAsia="宋体" w:cs="宋体"/>
                <w:color w:val="auto"/>
                <w:sz w:val="21"/>
                <w:highlight w:val="none"/>
                <w:vertAlign w:val="subscript"/>
              </w:rPr>
              <w:t>Cr</w:t>
            </w:r>
            <w:r>
              <w:rPr>
                <w:rFonts w:hint="eastAsia" w:ascii="Times New Roman" w:hAnsi="Times New Roman" w:eastAsia="宋体" w:cs="宋体"/>
                <w:color w:val="auto"/>
                <w:sz w:val="21"/>
                <w:highlight w:val="none"/>
              </w:rPr>
              <w:t>、氨氮控制指标。</w:t>
            </w:r>
          </w:p>
          <w:p w14:paraId="45E698AE">
            <w:pPr>
              <w:keepNext w:val="0"/>
              <w:keepLines w:val="0"/>
              <w:suppressLineNumbers w:val="0"/>
              <w:spacing w:before="0" w:beforeAutospacing="0" w:after="0" w:afterAutospacing="0" w:line="360" w:lineRule="auto"/>
              <w:ind w:left="0" w:right="0" w:firstLine="420" w:firstLineChars="200"/>
              <w:rPr>
                <w:rFonts w:hint="eastAsia" w:ascii="Times New Roman" w:hAnsi="Times New Roman" w:eastAsia="宋体" w:cs="宋体"/>
                <w:color w:val="auto"/>
                <w:sz w:val="21"/>
                <w:highlight w:val="none"/>
              </w:rPr>
            </w:pPr>
            <w:r>
              <w:rPr>
                <w:rFonts w:hint="eastAsia" w:ascii="Times New Roman" w:hAnsi="Times New Roman" w:eastAsia="宋体" w:cs="宋体"/>
                <w:color w:val="auto"/>
                <w:sz w:val="21"/>
                <w:highlight w:val="none"/>
              </w:rPr>
              <w:t>注：每年按工作300天计。</w:t>
            </w:r>
          </w:p>
        </w:tc>
      </w:tr>
    </w:tbl>
    <w:p w14:paraId="478976B0">
      <w:pPr>
        <w:rPr>
          <w:color w:val="auto"/>
          <w:highlight w:val="none"/>
        </w:rPr>
      </w:pPr>
      <w:r>
        <w:rPr>
          <w:color w:val="auto"/>
          <w:highlight w:val="none"/>
        </w:rPr>
        <w:br w:type="page"/>
      </w:r>
    </w:p>
    <w:p w14:paraId="7F9B1A2C">
      <w:pPr>
        <w:pStyle w:val="2"/>
        <w:ind w:firstLine="562"/>
        <w:rPr>
          <w:rFonts w:ascii="Times New Roman" w:hAnsi="Times New Roman" w:eastAsia="宋体"/>
          <w:color w:val="auto"/>
          <w:sz w:val="21"/>
          <w:highlight w:val="none"/>
        </w:rPr>
      </w:pPr>
      <w:bookmarkStart w:id="36" w:name="_Toc13629"/>
      <w:bookmarkStart w:id="37" w:name="_Toc20251"/>
      <w:r>
        <w:rPr>
          <w:color w:val="auto"/>
          <w:highlight w:val="none"/>
        </w:rPr>
        <w:t>四、主要环境影响和保护措施</w:t>
      </w:r>
      <w:bookmarkEnd w:id="36"/>
      <w:bookmarkEnd w:id="37"/>
    </w:p>
    <w:tbl>
      <w:tblPr>
        <w:tblStyle w:val="48"/>
        <w:tblpPr w:leftFromText="180" w:rightFromText="180" w:vertAnchor="text" w:tblpX="16" w:tblpY="5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
        <w:gridCol w:w="10182"/>
      </w:tblGrid>
      <w:tr w14:paraId="5B428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2" w:type="dxa"/>
          </w:tcPr>
          <w:p w14:paraId="11D805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olor w:val="auto"/>
                <w:sz w:val="21"/>
                <w:highlight w:val="none"/>
              </w:rPr>
            </w:pPr>
            <w:r>
              <w:rPr>
                <w:rFonts w:hint="eastAsia" w:ascii="Times New Roman" w:hAnsi="Times New Roman" w:eastAsia="宋体" w:cs="宋体"/>
                <w:color w:val="auto"/>
                <w:kern w:val="0"/>
                <w:sz w:val="21"/>
                <w:szCs w:val="24"/>
                <w:lang w:val="en-US" w:eastAsia="zh-CN" w:bidi="ar"/>
              </w:rPr>
              <w:t>施工期环境保护措施</w:t>
            </w:r>
          </w:p>
        </w:tc>
        <w:tc>
          <w:tcPr>
            <w:tcW w:w="10182" w:type="dxa"/>
            <w:vAlign w:val="center"/>
          </w:tcPr>
          <w:p w14:paraId="2C7688C8">
            <w:pPr>
              <w:keepNext w:val="0"/>
              <w:keepLines w:val="0"/>
              <w:widowControl/>
              <w:suppressLineNumbers w:val="0"/>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kern w:val="0"/>
                <w:sz w:val="21"/>
                <w:highlight w:val="none"/>
              </w:rPr>
              <w:t>本项目已建厂房进行生产，故不再对施工期环境影响进行分析。</w:t>
            </w:r>
          </w:p>
        </w:tc>
      </w:tr>
      <w:tr w14:paraId="27049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57" w:hRule="atLeast"/>
        </w:trPr>
        <w:tc>
          <w:tcPr>
            <w:tcW w:w="372" w:type="dxa"/>
            <w:vAlign w:val="center"/>
          </w:tcPr>
          <w:p w14:paraId="739C4314">
            <w:pPr>
              <w:pStyle w:val="4"/>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b w:val="0"/>
                <w:bCs w:val="0"/>
                <w:color w:val="auto"/>
                <w:sz w:val="21"/>
                <w:highlight w:val="none"/>
              </w:rPr>
            </w:pPr>
            <w:bookmarkStart w:id="38" w:name="_Toc32286"/>
            <w:bookmarkStart w:id="39" w:name="_Toc27730"/>
            <w:r>
              <w:rPr>
                <w:rFonts w:hint="default" w:ascii="Times New Roman" w:hAnsi="Times New Roman" w:eastAsia="宋体"/>
                <w:color w:val="auto"/>
                <w:sz w:val="21"/>
                <w:highlight w:val="none"/>
              </w:rPr>
              <w:t>运营期环境影响和保护措施</w:t>
            </w:r>
            <w:bookmarkEnd w:id="38"/>
            <w:bookmarkEnd w:id="39"/>
          </w:p>
        </w:tc>
        <w:tc>
          <w:tcPr>
            <w:tcW w:w="10182" w:type="dxa"/>
          </w:tcPr>
          <w:p w14:paraId="48FD8CE1">
            <w:pPr>
              <w:pStyle w:val="4"/>
              <w:keepNext w:val="0"/>
              <w:keepLines w:val="0"/>
              <w:widowControl/>
              <w:suppressLineNumbers w:val="0"/>
              <w:spacing w:before="0" w:beforeAutospacing="0" w:after="0" w:afterAutospacing="0" w:line="240" w:lineRule="auto"/>
              <w:ind w:left="0" w:right="0" w:firstLine="0"/>
              <w:jc w:val="both"/>
              <w:rPr>
                <w:rFonts w:hint="default" w:ascii="Times New Roman" w:hAnsi="Times New Roman" w:eastAsia="宋体" w:cs="Segoe UI"/>
                <w:b/>
                <w:i w:val="0"/>
                <w:iCs w:val="0"/>
                <w:caps w:val="0"/>
                <w:strike w:val="0"/>
                <w:color w:val="auto"/>
                <w:spacing w:val="0"/>
                <w:sz w:val="21"/>
                <w:u w:val="none"/>
              </w:rPr>
            </w:pPr>
            <w:bookmarkStart w:id="40" w:name="_Toc14347"/>
            <w:bookmarkStart w:id="41" w:name="_Toc4863"/>
            <w:r>
              <w:rPr>
                <w:rFonts w:hint="default" w:ascii="Times New Roman" w:hAnsi="Times New Roman" w:eastAsia="宋体" w:cs="Segoe UI"/>
                <w:b/>
                <w:i w:val="0"/>
                <w:iCs w:val="0"/>
                <w:caps w:val="0"/>
                <w:strike w:val="0"/>
                <w:color w:val="auto"/>
                <w:spacing w:val="0"/>
                <w:sz w:val="21"/>
                <w:u w:val="none"/>
              </w:rPr>
              <w:t>一、废气</w:t>
            </w:r>
            <w:bookmarkEnd w:id="40"/>
            <w:bookmarkEnd w:id="41"/>
          </w:p>
          <w:p w14:paraId="01A4CF9A">
            <w:pPr>
              <w:pStyle w:val="5"/>
              <w:keepNext w:val="0"/>
              <w:keepLines w:val="0"/>
              <w:widowControl/>
              <w:suppressLineNumbers w:val="0"/>
              <w:spacing w:before="0" w:beforeAutospacing="0" w:after="0" w:afterAutospacing="0" w:line="360" w:lineRule="auto"/>
              <w:ind w:left="0" w:right="0" w:firstLine="0"/>
              <w:jc w:val="both"/>
              <w:rPr>
                <w:rFonts w:hint="default" w:ascii="Times New Roman" w:hAnsi="Times New Roman" w:eastAsia="宋体" w:cs="Segoe UI"/>
                <w:b/>
                <w:i w:val="0"/>
                <w:iCs w:val="0"/>
                <w:caps w:val="0"/>
                <w:strike w:val="0"/>
                <w:color w:val="auto"/>
                <w:spacing w:val="0"/>
                <w:sz w:val="21"/>
                <w:szCs w:val="24"/>
                <w:u w:val="none"/>
              </w:rPr>
            </w:pPr>
            <w:r>
              <w:rPr>
                <w:rFonts w:hint="default" w:ascii="Times New Roman" w:hAnsi="Times New Roman" w:eastAsia="宋体" w:cs="Segoe UI"/>
                <w:b/>
                <w:i w:val="0"/>
                <w:iCs w:val="0"/>
                <w:caps w:val="0"/>
                <w:strike w:val="0"/>
                <w:color w:val="auto"/>
                <w:spacing w:val="0"/>
                <w:sz w:val="21"/>
                <w:szCs w:val="24"/>
                <w:u w:val="none"/>
              </w:rPr>
              <w:t>1、废气产排情况</w:t>
            </w:r>
          </w:p>
          <w:p w14:paraId="619848D6">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Segoe UI"/>
                <w:b w:val="0"/>
                <w:i w:val="0"/>
                <w:iCs w:val="0"/>
                <w:caps w:val="0"/>
                <w:strike w:val="0"/>
                <w:color w:val="auto"/>
                <w:spacing w:val="0"/>
                <w:sz w:val="21"/>
                <w:szCs w:val="24"/>
                <w:u w:val="none"/>
              </w:rPr>
            </w:pPr>
            <w:r>
              <w:rPr>
                <w:rFonts w:hint="default" w:ascii="Times New Roman" w:hAnsi="Times New Roman" w:eastAsia="宋体" w:cs="Segoe UI"/>
                <w:b w:val="0"/>
                <w:i w:val="0"/>
                <w:iCs w:val="0"/>
                <w:caps w:val="0"/>
                <w:strike w:val="0"/>
                <w:color w:val="auto"/>
                <w:spacing w:val="0"/>
                <w:sz w:val="21"/>
                <w:szCs w:val="24"/>
                <w:u w:val="none"/>
              </w:rPr>
              <w:t>本项目运营期产生的废气主要包括</w:t>
            </w:r>
            <w:r>
              <w:rPr>
                <w:rFonts w:hint="default" w:ascii="Times New Roman" w:hAnsi="Times New Roman" w:eastAsia="宋体" w:cs="Segoe UI"/>
                <w:b w:val="0"/>
                <w:bCs/>
                <w:i w:val="0"/>
                <w:iCs w:val="0"/>
                <w:caps w:val="0"/>
                <w:strike w:val="0"/>
                <w:color w:val="auto"/>
                <w:spacing w:val="0"/>
                <w:sz w:val="21"/>
                <w:szCs w:val="24"/>
                <w:u w:val="none"/>
              </w:rPr>
              <w:t>鞋底制造工序废气</w:t>
            </w:r>
            <w:r>
              <w:rPr>
                <w:rFonts w:hint="default" w:ascii="Times New Roman" w:hAnsi="Times New Roman" w:eastAsia="宋体" w:cs="Segoe UI"/>
                <w:b w:val="0"/>
                <w:i w:val="0"/>
                <w:iCs w:val="0"/>
                <w:caps w:val="0"/>
                <w:strike w:val="0"/>
                <w:color w:val="auto"/>
                <w:spacing w:val="0"/>
                <w:sz w:val="21"/>
                <w:szCs w:val="24"/>
                <w:u w:val="none"/>
              </w:rPr>
              <w:t>、</w:t>
            </w:r>
            <w:r>
              <w:rPr>
                <w:rFonts w:hint="default" w:ascii="Times New Roman" w:hAnsi="Times New Roman" w:eastAsia="宋体" w:cs="Segoe UI"/>
                <w:b w:val="0"/>
                <w:bCs/>
                <w:i w:val="0"/>
                <w:iCs w:val="0"/>
                <w:caps w:val="0"/>
                <w:strike w:val="0"/>
                <w:color w:val="auto"/>
                <w:spacing w:val="0"/>
                <w:sz w:val="21"/>
                <w:szCs w:val="24"/>
                <w:u w:val="none"/>
              </w:rPr>
              <w:t>鞋面制造工序废气</w:t>
            </w:r>
            <w:r>
              <w:rPr>
                <w:rFonts w:hint="default" w:ascii="Times New Roman" w:hAnsi="Times New Roman" w:eastAsia="宋体" w:cs="Segoe UI"/>
                <w:b w:val="0"/>
                <w:i w:val="0"/>
                <w:iCs w:val="0"/>
                <w:caps w:val="0"/>
                <w:strike w:val="0"/>
                <w:color w:val="auto"/>
                <w:spacing w:val="0"/>
                <w:sz w:val="21"/>
                <w:szCs w:val="24"/>
                <w:u w:val="none"/>
              </w:rPr>
              <w:t>和</w:t>
            </w:r>
            <w:r>
              <w:rPr>
                <w:rFonts w:hint="default" w:ascii="Times New Roman" w:hAnsi="Times New Roman" w:eastAsia="宋体" w:cs="Segoe UI"/>
                <w:b w:val="0"/>
                <w:bCs/>
                <w:i w:val="0"/>
                <w:iCs w:val="0"/>
                <w:caps w:val="0"/>
                <w:strike w:val="0"/>
                <w:color w:val="auto"/>
                <w:spacing w:val="0"/>
                <w:sz w:val="21"/>
                <w:szCs w:val="24"/>
                <w:u w:val="none"/>
              </w:rPr>
              <w:t>成品组装（成型贴合）工序废气</w:t>
            </w:r>
            <w:r>
              <w:rPr>
                <w:rFonts w:hint="default" w:ascii="Times New Roman" w:hAnsi="Times New Roman" w:eastAsia="宋体" w:cs="Segoe UI"/>
                <w:b w:val="0"/>
                <w:i w:val="0"/>
                <w:iCs w:val="0"/>
                <w:caps w:val="0"/>
                <w:strike w:val="0"/>
                <w:color w:val="auto"/>
                <w:spacing w:val="0"/>
                <w:sz w:val="21"/>
                <w:szCs w:val="24"/>
                <w:u w:val="none"/>
              </w:rPr>
              <w:t>。</w:t>
            </w:r>
          </w:p>
          <w:p w14:paraId="14F8548F">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2" w:firstLineChars="200"/>
              <w:jc w:val="both"/>
              <w:textAlignment w:val="auto"/>
              <w:rPr>
                <w:rFonts w:hint="default" w:ascii="Times New Roman" w:hAnsi="Times New Roman" w:eastAsia="宋体" w:cs="Segoe UI"/>
                <w:b/>
                <w:i w:val="0"/>
                <w:iCs w:val="0"/>
                <w:caps w:val="0"/>
                <w:strike w:val="0"/>
                <w:color w:val="auto"/>
                <w:spacing w:val="0"/>
                <w:sz w:val="21"/>
                <w:szCs w:val="24"/>
                <w:u w:val="none"/>
              </w:rPr>
            </w:pPr>
            <w:r>
              <w:rPr>
                <w:rFonts w:hint="default" w:ascii="Times New Roman" w:hAnsi="Times New Roman" w:eastAsia="宋体" w:cs="Segoe UI"/>
                <w:b/>
                <w:bCs/>
                <w:i w:val="0"/>
                <w:iCs w:val="0"/>
                <w:caps w:val="0"/>
                <w:strike w:val="0"/>
                <w:color w:val="auto"/>
                <w:spacing w:val="0"/>
                <w:sz w:val="21"/>
                <w:szCs w:val="24"/>
                <w:u w:val="none"/>
              </w:rPr>
              <w:t>（一）鞋底制造工序废气</w:t>
            </w:r>
          </w:p>
          <w:p w14:paraId="6A0F430A">
            <w:pPr>
              <w:pStyle w:val="44"/>
              <w:keepNext w:val="0"/>
              <w:keepLines w:val="0"/>
              <w:pageBreakBefore w:val="0"/>
              <w:widowControl/>
              <w:numPr>
                <w:ilvl w:val="0"/>
                <w:numId w:val="23"/>
              </w:numPr>
              <w:suppressLineNumbers w:val="0"/>
              <w:kinsoku/>
              <w:wordWrap/>
              <w:overflowPunct/>
              <w:topLinePunct w:val="0"/>
              <w:autoSpaceDE/>
              <w:autoSpaceDN/>
              <w:bidi w:val="0"/>
              <w:snapToGrid/>
              <w:spacing w:before="0" w:beforeAutospacing="0" w:after="0" w:afterAutospacing="0" w:line="360" w:lineRule="auto"/>
              <w:ind w:left="1055" w:leftChars="0" w:right="0" w:hanging="425" w:firstLineChars="0"/>
              <w:jc w:val="both"/>
              <w:textAlignment w:val="auto"/>
              <w:rPr>
                <w:rFonts w:hint="default" w:ascii="Times New Roman" w:hAnsi="Times New Roman" w:eastAsia="宋体" w:cs="Segoe UI"/>
                <w:i w:val="0"/>
                <w:iCs w:val="0"/>
                <w:caps w:val="0"/>
                <w:color w:val="auto"/>
                <w:spacing w:val="0"/>
                <w:sz w:val="21"/>
              </w:rPr>
            </w:pPr>
            <w:r>
              <w:rPr>
                <w:rFonts w:hint="default" w:ascii="Times New Roman" w:hAnsi="Times New Roman" w:eastAsia="宋体" w:cs="Segoe UI"/>
                <w:i w:val="0"/>
                <w:iCs w:val="0"/>
                <w:caps w:val="0"/>
                <w:color w:val="auto"/>
                <w:spacing w:val="0"/>
                <w:sz w:val="21"/>
                <w:shd w:val="clear" w:fill="FFFFFF"/>
              </w:rPr>
              <w:t>拌料工序</w:t>
            </w:r>
          </w:p>
          <w:p w14:paraId="2D77306A">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Segoe UI"/>
                <w:b w:val="0"/>
                <w:i w:val="0"/>
                <w:iCs w:val="0"/>
                <w:caps w:val="0"/>
                <w:strike w:val="0"/>
                <w:color w:val="auto"/>
                <w:spacing w:val="0"/>
                <w:sz w:val="21"/>
                <w:szCs w:val="24"/>
                <w:u w:val="none"/>
              </w:rPr>
            </w:pPr>
            <w:r>
              <w:rPr>
                <w:rFonts w:hint="default" w:ascii="Times New Roman" w:hAnsi="Times New Roman" w:eastAsia="宋体" w:cs="Segoe UI"/>
                <w:i w:val="0"/>
                <w:iCs w:val="0"/>
                <w:caps w:val="0"/>
                <w:color w:val="auto"/>
                <w:spacing w:val="0"/>
                <w:sz w:val="21"/>
                <w:szCs w:val="24"/>
                <w:shd w:val="clear" w:fill="FFFFFF"/>
              </w:rPr>
              <w:t>拌料是将EVA胶粒、AC发泡剂、滑石粉等粉状/颗粒状原料按比例混合的过程。粉状原料（发泡剂、滑石粉）在投料和搅拌过程中会产生粉尘逸散</w:t>
            </w:r>
            <w:r>
              <w:rPr>
                <w:rFonts w:hint="default" w:ascii="Times New Roman" w:hAnsi="Times New Roman" w:eastAsia="宋体" w:cs="Segoe UI"/>
                <w:b w:val="0"/>
                <w:i w:val="0"/>
                <w:iCs w:val="0"/>
                <w:caps w:val="0"/>
                <w:strike w:val="0"/>
                <w:color w:val="auto"/>
                <w:spacing w:val="0"/>
                <w:sz w:val="21"/>
                <w:szCs w:val="24"/>
                <w:u w:val="none"/>
              </w:rPr>
              <w:t>，主要污染物为颗粒物。根据企业经验系数，</w:t>
            </w:r>
            <w:r>
              <w:rPr>
                <w:rFonts w:hint="eastAsia" w:ascii="Times New Roman" w:hAnsi="Times New Roman" w:eastAsia="宋体" w:cs="Segoe UI"/>
                <w:b w:val="0"/>
                <w:i w:val="0"/>
                <w:iCs w:val="0"/>
                <w:caps w:val="0"/>
                <w:strike w:val="0"/>
                <w:color w:val="auto"/>
                <w:spacing w:val="0"/>
                <w:sz w:val="21"/>
                <w:szCs w:val="24"/>
                <w:u w:val="none"/>
                <w:lang w:val="en-US" w:eastAsia="zh-CN"/>
              </w:rPr>
              <w:t>拌料</w:t>
            </w:r>
            <w:r>
              <w:rPr>
                <w:rFonts w:hint="default" w:ascii="Times New Roman" w:hAnsi="Times New Roman" w:eastAsia="宋体" w:cs="Segoe UI"/>
                <w:b w:val="0"/>
                <w:i w:val="0"/>
                <w:iCs w:val="0"/>
                <w:caps w:val="0"/>
                <w:strike w:val="0"/>
                <w:color w:val="auto"/>
                <w:spacing w:val="0"/>
                <w:sz w:val="21"/>
                <w:szCs w:val="24"/>
                <w:u w:val="none"/>
              </w:rPr>
              <w:t>工序产生的粉尘按粉状原料1%计，本项目EVA鞋底使用粉末原料为滑石粉</w:t>
            </w:r>
            <w:r>
              <w:rPr>
                <w:rFonts w:hint="eastAsia" w:ascii="Times New Roman" w:hAnsi="Times New Roman" w:eastAsia="宋体" w:cs="Segoe UI"/>
                <w:b w:val="0"/>
                <w:i w:val="0"/>
                <w:iCs w:val="0"/>
                <w:caps w:val="0"/>
                <w:strike w:val="0"/>
                <w:color w:val="auto"/>
                <w:spacing w:val="0"/>
                <w:sz w:val="21"/>
                <w:szCs w:val="24"/>
                <w:u w:val="none"/>
                <w:lang w:val="en-US" w:eastAsia="zh-CN"/>
              </w:rPr>
              <w:t>32</w:t>
            </w:r>
            <w:r>
              <w:rPr>
                <w:rFonts w:hint="default" w:ascii="Times New Roman" w:hAnsi="Times New Roman" w:eastAsia="宋体" w:cs="Segoe UI"/>
                <w:b w:val="0"/>
                <w:i w:val="0"/>
                <w:iCs w:val="0"/>
                <w:caps w:val="0"/>
                <w:strike w:val="0"/>
                <w:color w:val="auto"/>
                <w:spacing w:val="0"/>
                <w:sz w:val="21"/>
                <w:szCs w:val="24"/>
                <w:u w:val="none"/>
              </w:rPr>
              <w:t>t/a、AC发泡剂</w:t>
            </w:r>
            <w:r>
              <w:rPr>
                <w:rFonts w:hint="eastAsia" w:ascii="Times New Roman" w:hAnsi="Times New Roman" w:eastAsia="宋体" w:cs="Segoe UI"/>
                <w:b w:val="0"/>
                <w:i w:val="0"/>
                <w:iCs w:val="0"/>
                <w:caps w:val="0"/>
                <w:strike w:val="0"/>
                <w:color w:val="auto"/>
                <w:spacing w:val="0"/>
                <w:sz w:val="21"/>
                <w:szCs w:val="24"/>
                <w:u w:val="none"/>
                <w:lang w:val="en-US" w:eastAsia="zh-CN"/>
              </w:rPr>
              <w:t>8</w:t>
            </w:r>
            <w:r>
              <w:rPr>
                <w:rFonts w:hint="default" w:ascii="Times New Roman" w:hAnsi="Times New Roman" w:eastAsia="宋体" w:cs="Segoe UI"/>
                <w:b w:val="0"/>
                <w:i w:val="0"/>
                <w:iCs w:val="0"/>
                <w:caps w:val="0"/>
                <w:strike w:val="0"/>
                <w:color w:val="auto"/>
                <w:spacing w:val="0"/>
                <w:sz w:val="21"/>
                <w:szCs w:val="24"/>
                <w:u w:val="none"/>
              </w:rPr>
              <w:t>t/a（粉状），合计</w:t>
            </w:r>
            <w:r>
              <w:rPr>
                <w:rFonts w:hint="eastAsia" w:ascii="Times New Roman" w:hAnsi="Times New Roman" w:eastAsia="宋体" w:cs="Segoe UI"/>
                <w:b w:val="0"/>
                <w:i w:val="0"/>
                <w:iCs w:val="0"/>
                <w:caps w:val="0"/>
                <w:strike w:val="0"/>
                <w:color w:val="auto"/>
                <w:spacing w:val="0"/>
                <w:sz w:val="21"/>
                <w:szCs w:val="24"/>
                <w:u w:val="none"/>
                <w:lang w:val="en-US" w:eastAsia="zh-CN"/>
              </w:rPr>
              <w:t>40</w:t>
            </w:r>
            <w:r>
              <w:rPr>
                <w:rFonts w:hint="default" w:ascii="Times New Roman" w:hAnsi="Times New Roman" w:eastAsia="宋体" w:cs="Segoe UI"/>
                <w:b w:val="0"/>
                <w:i w:val="0"/>
                <w:iCs w:val="0"/>
                <w:caps w:val="0"/>
                <w:strike w:val="0"/>
                <w:color w:val="auto"/>
                <w:spacing w:val="0"/>
                <w:sz w:val="21"/>
                <w:szCs w:val="24"/>
                <w:u w:val="none"/>
              </w:rPr>
              <w:t>t/a，则</w:t>
            </w:r>
            <w:r>
              <w:rPr>
                <w:rFonts w:hint="eastAsia" w:ascii="Times New Roman" w:hAnsi="Times New Roman" w:eastAsia="宋体" w:cs="Segoe UI"/>
                <w:b w:val="0"/>
                <w:i w:val="0"/>
                <w:iCs w:val="0"/>
                <w:caps w:val="0"/>
                <w:strike w:val="0"/>
                <w:color w:val="auto"/>
                <w:spacing w:val="0"/>
                <w:sz w:val="21"/>
                <w:szCs w:val="24"/>
                <w:u w:val="none"/>
                <w:lang w:val="en-US" w:eastAsia="zh-CN"/>
              </w:rPr>
              <w:t>拌</w:t>
            </w:r>
            <w:r>
              <w:rPr>
                <w:rFonts w:hint="default" w:ascii="Times New Roman" w:hAnsi="Times New Roman" w:eastAsia="宋体" w:cs="Segoe UI"/>
                <w:b w:val="0"/>
                <w:i w:val="0"/>
                <w:iCs w:val="0"/>
                <w:caps w:val="0"/>
                <w:strike w:val="0"/>
                <w:color w:val="auto"/>
                <w:spacing w:val="0"/>
                <w:sz w:val="21"/>
                <w:szCs w:val="24"/>
                <w:u w:val="none"/>
              </w:rPr>
              <w:t>料工序颗粒物产生量为</w:t>
            </w:r>
            <w:r>
              <w:rPr>
                <w:rFonts w:hint="eastAsia" w:ascii="Times New Roman" w:hAnsi="Times New Roman" w:eastAsia="宋体" w:cs="Segoe UI"/>
                <w:b/>
                <w:bCs/>
                <w:i w:val="0"/>
                <w:iCs w:val="0"/>
                <w:caps w:val="0"/>
                <w:strike w:val="0"/>
                <w:color w:val="auto"/>
                <w:spacing w:val="0"/>
                <w:sz w:val="21"/>
                <w:szCs w:val="24"/>
                <w:u w:val="none"/>
                <w:lang w:val="en-US" w:eastAsia="zh-CN"/>
              </w:rPr>
              <w:t>0.4</w:t>
            </w:r>
            <w:r>
              <w:rPr>
                <w:rFonts w:hint="default" w:ascii="Times New Roman" w:hAnsi="Times New Roman" w:eastAsia="宋体" w:cs="Segoe UI"/>
                <w:b/>
                <w:bCs/>
                <w:i w:val="0"/>
                <w:iCs w:val="0"/>
                <w:caps w:val="0"/>
                <w:strike w:val="0"/>
                <w:color w:val="auto"/>
                <w:spacing w:val="0"/>
                <w:sz w:val="21"/>
                <w:szCs w:val="24"/>
                <w:u w:val="none"/>
              </w:rPr>
              <w:t>t/a</w:t>
            </w:r>
            <w:r>
              <w:rPr>
                <w:rFonts w:hint="default" w:ascii="Times New Roman" w:hAnsi="Times New Roman" w:eastAsia="宋体" w:cs="Segoe UI"/>
                <w:b w:val="0"/>
                <w:i w:val="0"/>
                <w:iCs w:val="0"/>
                <w:caps w:val="0"/>
                <w:strike w:val="0"/>
                <w:color w:val="auto"/>
                <w:spacing w:val="0"/>
                <w:sz w:val="21"/>
                <w:szCs w:val="24"/>
                <w:u w:val="none"/>
              </w:rPr>
              <w:t>。</w:t>
            </w:r>
          </w:p>
          <w:p w14:paraId="07E554B3">
            <w:pPr>
              <w:pStyle w:val="44"/>
              <w:keepNext w:val="0"/>
              <w:keepLines w:val="0"/>
              <w:pageBreakBefore w:val="0"/>
              <w:widowControl/>
              <w:numPr>
                <w:ilvl w:val="0"/>
                <w:numId w:val="23"/>
              </w:numPr>
              <w:suppressLineNumbers w:val="0"/>
              <w:kinsoku/>
              <w:wordWrap/>
              <w:overflowPunct/>
              <w:topLinePunct w:val="0"/>
              <w:autoSpaceDE/>
              <w:autoSpaceDN/>
              <w:bidi w:val="0"/>
              <w:snapToGrid/>
              <w:spacing w:before="0" w:beforeAutospacing="0" w:after="0" w:afterAutospacing="0" w:line="360" w:lineRule="auto"/>
              <w:ind w:left="1055" w:leftChars="0" w:right="0" w:hanging="425" w:firstLineChars="0"/>
              <w:jc w:val="both"/>
              <w:textAlignment w:val="auto"/>
              <w:rPr>
                <w:rFonts w:hint="default" w:ascii="Times New Roman" w:hAnsi="Times New Roman" w:eastAsia="宋体" w:cs="Segoe UI"/>
                <w:i w:val="0"/>
                <w:iCs w:val="0"/>
                <w:caps w:val="0"/>
                <w:color w:val="auto"/>
                <w:spacing w:val="0"/>
                <w:sz w:val="21"/>
                <w:shd w:val="clear" w:fill="FFFFFF"/>
              </w:rPr>
            </w:pPr>
            <w:r>
              <w:rPr>
                <w:rFonts w:hint="default" w:ascii="Times New Roman" w:hAnsi="Times New Roman" w:eastAsia="宋体" w:cs="Segoe UI"/>
                <w:i w:val="0"/>
                <w:iCs w:val="0"/>
                <w:caps w:val="0"/>
                <w:color w:val="auto"/>
                <w:spacing w:val="0"/>
                <w:sz w:val="21"/>
                <w:shd w:val="clear" w:fill="FFFFFF"/>
              </w:rPr>
              <w:t>发泡</w:t>
            </w:r>
            <w:r>
              <w:rPr>
                <w:rFonts w:hint="eastAsia" w:ascii="Times New Roman" w:hAnsi="Times New Roman" w:eastAsia="宋体" w:cs="Segoe UI"/>
                <w:i w:val="0"/>
                <w:iCs w:val="0"/>
                <w:caps w:val="0"/>
                <w:color w:val="auto"/>
                <w:spacing w:val="0"/>
                <w:sz w:val="21"/>
                <w:shd w:val="clear" w:fill="FFFFFF"/>
                <w:lang w:val="en-US" w:eastAsia="zh-CN"/>
              </w:rPr>
              <w:t>成型</w:t>
            </w:r>
            <w:r>
              <w:rPr>
                <w:rFonts w:hint="default" w:ascii="Times New Roman" w:hAnsi="Times New Roman" w:eastAsia="宋体" w:cs="Segoe UI"/>
                <w:i w:val="0"/>
                <w:iCs w:val="0"/>
                <w:caps w:val="0"/>
                <w:color w:val="auto"/>
                <w:spacing w:val="0"/>
                <w:sz w:val="21"/>
                <w:shd w:val="clear" w:fill="FFFFFF"/>
              </w:rPr>
              <w:t>工序</w:t>
            </w:r>
          </w:p>
          <w:p w14:paraId="3E313C32">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Segoe UI"/>
                <w:b w:val="0"/>
                <w:i w:val="0"/>
                <w:iCs w:val="0"/>
                <w:caps w:val="0"/>
                <w:strike w:val="0"/>
                <w:color w:val="auto"/>
                <w:spacing w:val="0"/>
                <w:sz w:val="21"/>
                <w:szCs w:val="24"/>
                <w:u w:val="none"/>
              </w:rPr>
            </w:pPr>
            <w:r>
              <w:rPr>
                <w:rFonts w:hint="default" w:ascii="Times New Roman" w:hAnsi="Times New Roman" w:eastAsia="宋体" w:cs="Segoe UI"/>
                <w:i w:val="0"/>
                <w:iCs w:val="0"/>
                <w:caps w:val="0"/>
                <w:color w:val="auto"/>
                <w:spacing w:val="0"/>
                <w:sz w:val="21"/>
                <w:shd w:val="clear" w:fill="FFFFFF"/>
              </w:rPr>
              <w:t>发泡</w:t>
            </w:r>
            <w:r>
              <w:rPr>
                <w:rFonts w:hint="eastAsia" w:ascii="Times New Roman" w:hAnsi="Times New Roman" w:eastAsia="宋体" w:cs="Segoe UI"/>
                <w:i w:val="0"/>
                <w:iCs w:val="0"/>
                <w:caps w:val="0"/>
                <w:color w:val="auto"/>
                <w:spacing w:val="0"/>
                <w:sz w:val="21"/>
                <w:shd w:val="clear" w:fill="FFFFFF"/>
                <w:lang w:val="en-US" w:eastAsia="zh-CN"/>
              </w:rPr>
              <w:t>成型</w:t>
            </w:r>
            <w:r>
              <w:rPr>
                <w:rFonts w:hint="default" w:ascii="Times New Roman" w:hAnsi="Times New Roman" w:eastAsia="宋体" w:cs="Segoe UI"/>
                <w:b w:val="0"/>
                <w:i w:val="0"/>
                <w:iCs w:val="0"/>
                <w:caps w:val="0"/>
                <w:strike w:val="0"/>
                <w:color w:val="auto"/>
                <w:spacing w:val="0"/>
                <w:sz w:val="21"/>
                <w:szCs w:val="24"/>
                <w:u w:val="none"/>
              </w:rPr>
              <w:t>工序工作温度160~180℃，低于EVA分解温度230℃，会产生少量有机废气（非甲烷总烃）和臭气浓度。参考《排放源统计调查产排污核算方法和系数手册》中2922塑料板、管、型材行业挤出工序挥发性有机物产污系数1.5kg/t</w:t>
            </w:r>
            <w:r>
              <w:rPr>
                <w:rFonts w:hint="eastAsia" w:ascii="Times New Roman" w:hAnsi="Times New Roman" w:cs="Segoe UI"/>
                <w:b w:val="0"/>
                <w:i w:val="0"/>
                <w:iCs w:val="0"/>
                <w:caps w:val="0"/>
                <w:strike w:val="0"/>
                <w:color w:val="auto"/>
                <w:spacing w:val="0"/>
                <w:sz w:val="21"/>
                <w:szCs w:val="24"/>
                <w:u w:val="none"/>
                <w:lang w:eastAsia="zh-CN"/>
              </w:rPr>
              <w:t xml:space="preserve"> </w:t>
            </w:r>
            <w:r>
              <w:rPr>
                <w:rFonts w:hint="default" w:ascii="Times New Roman" w:hAnsi="Times New Roman" w:eastAsia="宋体" w:cs="Segoe UI"/>
                <w:b w:val="0"/>
                <w:i w:val="0"/>
                <w:iCs w:val="0"/>
                <w:caps w:val="0"/>
                <w:strike w:val="0"/>
                <w:color w:val="auto"/>
                <w:spacing w:val="0"/>
                <w:sz w:val="21"/>
                <w:szCs w:val="24"/>
                <w:u w:val="none"/>
              </w:rPr>
              <w:t>产品计，本项目EVA鞋底年产量约</w:t>
            </w:r>
            <w:r>
              <w:rPr>
                <w:rFonts w:hint="eastAsia" w:ascii="Times New Roman" w:hAnsi="Times New Roman" w:eastAsia="宋体" w:cs="Segoe UI"/>
                <w:b w:val="0"/>
                <w:i w:val="0"/>
                <w:iCs w:val="0"/>
                <w:caps w:val="0"/>
                <w:strike w:val="0"/>
                <w:color w:val="auto"/>
                <w:spacing w:val="0"/>
                <w:sz w:val="21"/>
                <w:szCs w:val="24"/>
                <w:u w:val="none"/>
                <w:lang w:val="en-US" w:eastAsia="zh-CN"/>
              </w:rPr>
              <w:t>187.5</w:t>
            </w:r>
            <w:r>
              <w:rPr>
                <w:rFonts w:hint="default" w:ascii="Times New Roman" w:hAnsi="Times New Roman" w:eastAsia="宋体" w:cs="Segoe UI"/>
                <w:b w:val="0"/>
                <w:i w:val="0"/>
                <w:iCs w:val="0"/>
                <w:caps w:val="0"/>
                <w:strike w:val="0"/>
                <w:color w:val="auto"/>
                <w:spacing w:val="0"/>
                <w:sz w:val="21"/>
                <w:szCs w:val="24"/>
                <w:u w:val="none"/>
              </w:rPr>
              <w:t>t/a，则发泡工序非甲烷总烃产生量约</w:t>
            </w:r>
            <w:r>
              <w:rPr>
                <w:rFonts w:hint="eastAsia" w:ascii="Times New Roman" w:hAnsi="Times New Roman" w:eastAsia="宋体" w:cs="Segoe UI"/>
                <w:b/>
                <w:bCs/>
                <w:i w:val="0"/>
                <w:iCs w:val="0"/>
                <w:caps w:val="0"/>
                <w:strike w:val="0"/>
                <w:color w:val="auto"/>
                <w:spacing w:val="0"/>
                <w:sz w:val="21"/>
                <w:szCs w:val="24"/>
                <w:u w:val="none"/>
                <w:lang w:val="en-US" w:eastAsia="zh-CN"/>
              </w:rPr>
              <w:t>0.28</w:t>
            </w:r>
            <w:r>
              <w:rPr>
                <w:rFonts w:hint="default" w:ascii="Times New Roman" w:hAnsi="Times New Roman" w:eastAsia="宋体" w:cs="Segoe UI"/>
                <w:b/>
                <w:bCs/>
                <w:i w:val="0"/>
                <w:iCs w:val="0"/>
                <w:caps w:val="0"/>
                <w:strike w:val="0"/>
                <w:color w:val="auto"/>
                <w:spacing w:val="0"/>
                <w:sz w:val="21"/>
                <w:szCs w:val="24"/>
                <w:u w:val="none"/>
              </w:rPr>
              <w:t>t/a</w:t>
            </w:r>
            <w:r>
              <w:rPr>
                <w:rFonts w:hint="default" w:ascii="Times New Roman" w:hAnsi="Times New Roman" w:eastAsia="宋体" w:cs="Segoe UI"/>
                <w:b w:val="0"/>
                <w:i w:val="0"/>
                <w:iCs w:val="0"/>
                <w:caps w:val="0"/>
                <w:strike w:val="0"/>
                <w:color w:val="auto"/>
                <w:spacing w:val="0"/>
                <w:sz w:val="21"/>
                <w:szCs w:val="24"/>
                <w:u w:val="none"/>
              </w:rPr>
              <w:t>（</w:t>
            </w:r>
            <w:r>
              <w:rPr>
                <w:rFonts w:hint="eastAsia" w:ascii="Times New Roman" w:hAnsi="Times New Roman" w:eastAsia="宋体" w:cs="Segoe UI"/>
                <w:b w:val="0"/>
                <w:i w:val="0"/>
                <w:iCs w:val="0"/>
                <w:caps w:val="0"/>
                <w:strike w:val="0"/>
                <w:color w:val="auto"/>
                <w:spacing w:val="0"/>
                <w:sz w:val="21"/>
                <w:szCs w:val="24"/>
                <w:u w:val="none"/>
                <w:lang w:val="en-US" w:eastAsia="zh-CN"/>
              </w:rPr>
              <w:t>187.5</w:t>
            </w:r>
            <w:r>
              <w:rPr>
                <w:rFonts w:hint="default" w:ascii="Times New Roman" w:hAnsi="Times New Roman" w:eastAsia="宋体" w:cs="Segoe UI"/>
                <w:b w:val="0"/>
                <w:i w:val="0"/>
                <w:iCs w:val="0"/>
                <w:caps w:val="0"/>
                <w:strike w:val="0"/>
                <w:color w:val="auto"/>
                <w:spacing w:val="0"/>
                <w:sz w:val="21"/>
                <w:szCs w:val="24"/>
                <w:u w:val="none"/>
              </w:rPr>
              <w:t>t×1.5kg/t）。</w:t>
            </w:r>
          </w:p>
          <w:p w14:paraId="7F4A3DAD">
            <w:pPr>
              <w:pStyle w:val="44"/>
              <w:keepNext w:val="0"/>
              <w:keepLines w:val="0"/>
              <w:pageBreakBefore w:val="0"/>
              <w:widowControl/>
              <w:numPr>
                <w:ilvl w:val="0"/>
                <w:numId w:val="23"/>
              </w:numPr>
              <w:suppressLineNumbers w:val="0"/>
              <w:kinsoku/>
              <w:wordWrap/>
              <w:overflowPunct/>
              <w:topLinePunct w:val="0"/>
              <w:autoSpaceDE/>
              <w:autoSpaceDN/>
              <w:bidi w:val="0"/>
              <w:snapToGrid/>
              <w:spacing w:before="0" w:beforeAutospacing="0" w:after="0" w:afterAutospacing="0" w:line="360" w:lineRule="auto"/>
              <w:ind w:left="1055" w:leftChars="0" w:right="0" w:hanging="425" w:firstLineChars="0"/>
              <w:jc w:val="both"/>
              <w:textAlignment w:val="auto"/>
              <w:rPr>
                <w:rFonts w:hint="default" w:ascii="Times New Roman" w:hAnsi="Times New Roman" w:eastAsia="宋体" w:cs="Segoe UI"/>
                <w:i w:val="0"/>
                <w:iCs w:val="0"/>
                <w:caps w:val="0"/>
                <w:color w:val="auto"/>
                <w:spacing w:val="0"/>
                <w:sz w:val="21"/>
                <w:shd w:val="clear" w:fill="FFFFFF"/>
              </w:rPr>
            </w:pPr>
            <w:bookmarkStart w:id="42" w:name="_Toc10608"/>
            <w:r>
              <w:rPr>
                <w:rFonts w:hint="default" w:ascii="Times New Roman" w:hAnsi="Times New Roman" w:eastAsia="宋体" w:cs="Segoe UI"/>
                <w:i w:val="0"/>
                <w:iCs w:val="0"/>
                <w:caps w:val="0"/>
                <w:color w:val="auto"/>
                <w:spacing w:val="0"/>
                <w:sz w:val="21"/>
                <w:shd w:val="clear" w:fill="FFFFFF"/>
              </w:rPr>
              <w:t>打粗工序</w:t>
            </w:r>
            <w:bookmarkEnd w:id="42"/>
          </w:p>
          <w:p w14:paraId="231C3E96">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Segoe UI"/>
                <w:b w:val="0"/>
                <w:i w:val="0"/>
                <w:iCs w:val="0"/>
                <w:caps w:val="0"/>
                <w:strike w:val="0"/>
                <w:color w:val="auto"/>
                <w:spacing w:val="0"/>
                <w:sz w:val="21"/>
                <w:szCs w:val="24"/>
                <w:u w:val="none"/>
              </w:rPr>
            </w:pPr>
            <w:r>
              <w:rPr>
                <w:rFonts w:hint="default" w:ascii="Times New Roman" w:hAnsi="Times New Roman" w:eastAsia="宋体" w:cs="Segoe UI"/>
                <w:b w:val="0"/>
                <w:i w:val="0"/>
                <w:iCs w:val="0"/>
                <w:caps w:val="0"/>
                <w:strike w:val="0"/>
                <w:color w:val="auto"/>
                <w:spacing w:val="0"/>
                <w:sz w:val="21"/>
                <w:szCs w:val="24"/>
                <w:u w:val="none"/>
              </w:rPr>
              <w:t>打粗是对EVA</w:t>
            </w:r>
            <w:r>
              <w:rPr>
                <w:rFonts w:hint="eastAsia" w:ascii="Times New Roman" w:hAnsi="Times New Roman" w:cs="Segoe UI"/>
                <w:b w:val="0"/>
                <w:i w:val="0"/>
                <w:iCs w:val="0"/>
                <w:caps w:val="0"/>
                <w:strike w:val="0"/>
                <w:color w:val="auto"/>
                <w:spacing w:val="0"/>
                <w:sz w:val="21"/>
                <w:szCs w:val="24"/>
                <w:u w:val="none"/>
                <w:lang w:val="en-US" w:eastAsia="zh-CN"/>
              </w:rPr>
              <w:t>鞋底和橡胶片</w:t>
            </w:r>
            <w:r>
              <w:rPr>
                <w:rFonts w:hint="default" w:ascii="Times New Roman" w:hAnsi="Times New Roman" w:eastAsia="宋体" w:cs="Segoe UI"/>
                <w:b w:val="0"/>
                <w:i w:val="0"/>
                <w:iCs w:val="0"/>
                <w:caps w:val="0"/>
                <w:strike w:val="0"/>
                <w:color w:val="auto"/>
                <w:spacing w:val="0"/>
                <w:sz w:val="21"/>
                <w:szCs w:val="24"/>
                <w:u w:val="none"/>
              </w:rPr>
              <w:t>贴合面进行打磨粗糙处理，增大表面摩擦力，提高后续胶水粘合强度。打磨过程中会产生细小的EVA粉尘。</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根据《2021年中国鞋业环保技术指南》（中国皮革协会发布），EVA鞋底打磨的粉尘产污系数为1.5</w:t>
            </w:r>
            <w:r>
              <w:rPr>
                <w:rFonts w:hint="eastAsia" w:ascii="Times New Roman" w:hAnsi="Times New Roman" w:cs="Segoe UI"/>
                <w:b w:val="0"/>
                <w:i w:val="0"/>
                <w:iCs w:val="0"/>
                <w:caps w:val="0"/>
                <w:strike w:val="0"/>
                <w:color w:val="auto"/>
                <w:spacing w:val="0"/>
                <w:kern w:val="0"/>
                <w:sz w:val="21"/>
                <w:szCs w:val="24"/>
                <w:u w:val="none"/>
                <w:lang w:val="en-US" w:eastAsia="zh-CN" w:bidi="ar-SA"/>
              </w:rPr>
              <w:t>～</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3kg/吨（鞋底）</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，本项目取中间值2.25</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kg/吨（鞋底）</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w:t>
            </w:r>
            <w:r>
              <w:rPr>
                <w:rFonts w:hint="default" w:ascii="Times New Roman" w:hAnsi="Times New Roman" w:eastAsia="宋体" w:cs="Segoe UI"/>
                <w:b w:val="0"/>
                <w:i w:val="0"/>
                <w:iCs w:val="0"/>
                <w:caps w:val="0"/>
                <w:strike w:val="0"/>
                <w:color w:val="auto"/>
                <w:spacing w:val="0"/>
                <w:sz w:val="21"/>
                <w:szCs w:val="24"/>
                <w:u w:val="none"/>
              </w:rPr>
              <w:t>则</w:t>
            </w:r>
            <w:r>
              <w:rPr>
                <w:rFonts w:hint="eastAsia" w:ascii="Times New Roman" w:hAnsi="Times New Roman" w:cs="Segoe UI"/>
                <w:b w:val="0"/>
                <w:i w:val="0"/>
                <w:iCs w:val="0"/>
                <w:caps w:val="0"/>
                <w:strike w:val="0"/>
                <w:color w:val="auto"/>
                <w:spacing w:val="0"/>
                <w:sz w:val="21"/>
                <w:szCs w:val="24"/>
                <w:u w:val="none"/>
                <w:lang w:val="en-US" w:eastAsia="zh-CN"/>
              </w:rPr>
              <w:t>400万双</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EVA鞋底</w:t>
            </w:r>
            <w:r>
              <w:rPr>
                <w:rFonts w:hint="eastAsia" w:ascii="Times New Roman" w:hAnsi="Times New Roman" w:eastAsia="宋体" w:cs="Segoe UI"/>
                <w:b w:val="0"/>
                <w:i w:val="0"/>
                <w:iCs w:val="0"/>
                <w:caps w:val="0"/>
                <w:strike w:val="0"/>
                <w:color w:val="auto"/>
                <w:spacing w:val="0"/>
                <w:sz w:val="21"/>
                <w:szCs w:val="24"/>
                <w:u w:val="none"/>
                <w:lang w:val="en-US" w:eastAsia="zh-CN"/>
              </w:rPr>
              <w:t>打粗</w:t>
            </w:r>
            <w:r>
              <w:rPr>
                <w:rFonts w:hint="default" w:ascii="Times New Roman" w:hAnsi="Times New Roman" w:eastAsia="宋体" w:cs="Segoe UI"/>
                <w:b w:val="0"/>
                <w:i w:val="0"/>
                <w:iCs w:val="0"/>
                <w:caps w:val="0"/>
                <w:strike w:val="0"/>
                <w:color w:val="auto"/>
                <w:spacing w:val="0"/>
                <w:sz w:val="21"/>
                <w:szCs w:val="24"/>
                <w:u w:val="none"/>
              </w:rPr>
              <w:t>工序颗粒物产生量</w:t>
            </w:r>
            <w:r>
              <w:rPr>
                <w:rFonts w:hint="eastAsia" w:ascii="Times New Roman" w:hAnsi="Times New Roman" w:eastAsia="宋体" w:cs="Segoe UI"/>
                <w:b w:val="0"/>
                <w:i w:val="0"/>
                <w:iCs w:val="0"/>
                <w:caps w:val="0"/>
                <w:strike w:val="0"/>
                <w:color w:val="auto"/>
                <w:spacing w:val="0"/>
                <w:sz w:val="21"/>
                <w:szCs w:val="24"/>
                <w:u w:val="none"/>
                <w:lang w:val="en-US" w:eastAsia="zh-CN"/>
              </w:rPr>
              <w:t>约</w:t>
            </w:r>
            <w:r>
              <w:rPr>
                <w:rFonts w:hint="default" w:ascii="Times New Roman" w:hAnsi="Times New Roman" w:eastAsia="宋体" w:cs="Segoe UI"/>
                <w:b w:val="0"/>
                <w:i w:val="0"/>
                <w:iCs w:val="0"/>
                <w:caps w:val="0"/>
                <w:strike w:val="0"/>
                <w:color w:val="auto"/>
                <w:spacing w:val="0"/>
                <w:sz w:val="21"/>
                <w:szCs w:val="24"/>
                <w:u w:val="none"/>
              </w:rPr>
              <w:t>为</w:t>
            </w:r>
            <w:r>
              <w:rPr>
                <w:rFonts w:hint="eastAsia" w:ascii="Times New Roman" w:hAnsi="Times New Roman" w:eastAsia="宋体" w:cs="Segoe UI"/>
                <w:b w:val="0"/>
                <w:i w:val="0"/>
                <w:iCs w:val="0"/>
                <w:caps w:val="0"/>
                <w:strike w:val="0"/>
                <w:color w:val="auto"/>
                <w:spacing w:val="0"/>
                <w:sz w:val="21"/>
                <w:szCs w:val="24"/>
                <w:u w:val="none"/>
                <w:lang w:val="en-US" w:eastAsia="zh-CN"/>
              </w:rPr>
              <w:t>187.5</w:t>
            </w:r>
            <w:r>
              <w:rPr>
                <w:rFonts w:hint="default" w:ascii="Times New Roman" w:hAnsi="Times New Roman" w:eastAsia="宋体" w:cs="Segoe UI"/>
                <w:b w:val="0"/>
                <w:i w:val="0"/>
                <w:iCs w:val="0"/>
                <w:caps w:val="0"/>
                <w:strike w:val="0"/>
                <w:color w:val="auto"/>
                <w:spacing w:val="0"/>
                <w:sz w:val="21"/>
                <w:szCs w:val="24"/>
                <w:u w:val="none"/>
              </w:rPr>
              <w:t>t</w:t>
            </w:r>
            <w:r>
              <w:rPr>
                <w:rFonts w:hint="default" w:ascii="Arial" w:hAnsi="Arial" w:eastAsia="宋体" w:cs="Arial"/>
                <w:b w:val="0"/>
                <w:i w:val="0"/>
                <w:iCs w:val="0"/>
                <w:caps w:val="0"/>
                <w:strike w:val="0"/>
                <w:color w:val="auto"/>
                <w:spacing w:val="0"/>
                <w:sz w:val="21"/>
                <w:szCs w:val="24"/>
                <w:u w:val="none"/>
              </w:rPr>
              <w:t>×</w:t>
            </w:r>
            <w:r>
              <w:rPr>
                <w:rFonts w:hint="eastAsia" w:ascii="Times New Roman" w:hAnsi="Times New Roman" w:cs="Segoe UI"/>
                <w:b w:val="0"/>
                <w:i w:val="0"/>
                <w:iCs w:val="0"/>
                <w:caps w:val="0"/>
                <w:strike w:val="0"/>
                <w:color w:val="auto"/>
                <w:spacing w:val="0"/>
                <w:sz w:val="21"/>
                <w:szCs w:val="24"/>
                <w:u w:val="none"/>
                <w:lang w:eastAsia="zh-CN"/>
              </w:rPr>
              <w:t>（</w:t>
            </w:r>
            <w:r>
              <w:rPr>
                <w:rFonts w:hint="eastAsia" w:ascii="Times New Roman" w:hAnsi="Times New Roman" w:cs="Segoe UI"/>
                <w:b w:val="0"/>
                <w:i w:val="0"/>
                <w:iCs w:val="0"/>
                <w:caps w:val="0"/>
                <w:strike w:val="0"/>
                <w:color w:val="auto"/>
                <w:spacing w:val="0"/>
                <w:sz w:val="21"/>
                <w:szCs w:val="24"/>
                <w:u w:val="none"/>
                <w:lang w:val="en-US" w:eastAsia="zh-CN"/>
              </w:rPr>
              <w:t>400</w:t>
            </w:r>
            <w:r>
              <w:rPr>
                <w:rFonts w:hint="default" w:ascii="Arial" w:hAnsi="Arial" w:cs="Arial"/>
                <w:b w:val="0"/>
                <w:i w:val="0"/>
                <w:iCs w:val="0"/>
                <w:caps w:val="0"/>
                <w:strike w:val="0"/>
                <w:color w:val="auto"/>
                <w:spacing w:val="0"/>
                <w:sz w:val="21"/>
                <w:szCs w:val="24"/>
                <w:u w:val="none"/>
                <w:lang w:val="en-US" w:eastAsia="zh-CN"/>
              </w:rPr>
              <w:t>÷</w:t>
            </w:r>
            <w:r>
              <w:rPr>
                <w:rFonts w:hint="eastAsia" w:ascii="Times New Roman" w:hAnsi="Times New Roman" w:cs="Segoe UI"/>
                <w:b w:val="0"/>
                <w:i w:val="0"/>
                <w:iCs w:val="0"/>
                <w:caps w:val="0"/>
                <w:strike w:val="0"/>
                <w:color w:val="auto"/>
                <w:spacing w:val="0"/>
                <w:sz w:val="21"/>
                <w:szCs w:val="24"/>
                <w:u w:val="none"/>
                <w:lang w:val="en-US" w:eastAsia="zh-CN"/>
              </w:rPr>
              <w:t>500</w:t>
            </w:r>
            <w:r>
              <w:rPr>
                <w:rFonts w:hint="eastAsia" w:ascii="Times New Roman" w:hAnsi="Times New Roman" w:cs="Segoe UI"/>
                <w:b w:val="0"/>
                <w:i w:val="0"/>
                <w:iCs w:val="0"/>
                <w:caps w:val="0"/>
                <w:strike w:val="0"/>
                <w:color w:val="auto"/>
                <w:spacing w:val="0"/>
                <w:sz w:val="21"/>
                <w:szCs w:val="24"/>
                <w:u w:val="none"/>
                <w:lang w:eastAsia="zh-CN"/>
              </w:rPr>
              <w:t>）</w:t>
            </w:r>
            <w:r>
              <w:rPr>
                <w:rFonts w:hint="default" w:ascii="Times New Roman" w:hAnsi="Times New Roman" w:eastAsia="宋体" w:cs="Segoe UI"/>
                <w:b w:val="0"/>
                <w:i w:val="0"/>
                <w:iCs w:val="0"/>
                <w:caps w:val="0"/>
                <w:strike w:val="0"/>
                <w:color w:val="auto"/>
                <w:spacing w:val="0"/>
                <w:sz w:val="21"/>
                <w:szCs w:val="24"/>
                <w:u w:val="none"/>
              </w:rPr>
              <w:t>×</w:t>
            </w:r>
            <w:r>
              <w:rPr>
                <w:rFonts w:hint="eastAsia" w:ascii="Times New Roman" w:hAnsi="Times New Roman" w:cs="Segoe UI"/>
                <w:b w:val="0"/>
                <w:i w:val="0"/>
                <w:iCs w:val="0"/>
                <w:caps w:val="0"/>
                <w:strike w:val="0"/>
                <w:color w:val="auto"/>
                <w:spacing w:val="0"/>
                <w:sz w:val="21"/>
                <w:szCs w:val="24"/>
                <w:u w:val="none"/>
                <w:lang w:val="en-US" w:eastAsia="zh-CN"/>
              </w:rPr>
              <w:t>2.25</w:t>
            </w:r>
            <w:r>
              <w:rPr>
                <w:rFonts w:hint="default" w:ascii="Times New Roman" w:hAnsi="Times New Roman" w:eastAsia="宋体" w:cs="Segoe UI"/>
                <w:b w:val="0"/>
                <w:i w:val="0"/>
                <w:iCs w:val="0"/>
                <w:caps w:val="0"/>
                <w:strike w:val="0"/>
                <w:color w:val="auto"/>
                <w:spacing w:val="0"/>
                <w:sz w:val="21"/>
                <w:szCs w:val="24"/>
                <w:u w:val="none"/>
              </w:rPr>
              <w:t>kg/t</w:t>
            </w:r>
            <w:r>
              <w:rPr>
                <w:rFonts w:hint="default" w:ascii="Arial" w:hAnsi="Arial" w:eastAsia="宋体" w:cs="Arial"/>
                <w:b w:val="0"/>
                <w:i w:val="0"/>
                <w:iCs w:val="0"/>
                <w:caps w:val="0"/>
                <w:strike w:val="0"/>
                <w:color w:val="auto"/>
                <w:spacing w:val="0"/>
                <w:sz w:val="21"/>
                <w:szCs w:val="24"/>
                <w:u w:val="none"/>
              </w:rPr>
              <w:t>÷</w:t>
            </w:r>
            <w:r>
              <w:rPr>
                <w:rFonts w:hint="eastAsia" w:ascii="Times New Roman" w:hAnsi="Times New Roman" w:cs="Segoe UI"/>
                <w:b w:val="0"/>
                <w:i w:val="0"/>
                <w:iCs w:val="0"/>
                <w:caps w:val="0"/>
                <w:strike w:val="0"/>
                <w:color w:val="auto"/>
                <w:spacing w:val="0"/>
                <w:sz w:val="21"/>
                <w:szCs w:val="24"/>
                <w:u w:val="none"/>
                <w:lang w:val="en-US" w:eastAsia="zh-CN"/>
              </w:rPr>
              <w:t>1000=</w:t>
            </w:r>
            <w:r>
              <w:rPr>
                <w:rFonts w:hint="default" w:ascii="Times New Roman" w:hAnsi="Times New Roman" w:eastAsia="宋体" w:cs="Segoe UI"/>
                <w:b/>
                <w:bCs/>
                <w:i w:val="0"/>
                <w:iCs w:val="0"/>
                <w:caps w:val="0"/>
                <w:strike w:val="0"/>
                <w:color w:val="auto"/>
                <w:spacing w:val="0"/>
                <w:sz w:val="21"/>
                <w:szCs w:val="24"/>
                <w:u w:val="none"/>
              </w:rPr>
              <w:t>0</w:t>
            </w:r>
            <w:r>
              <w:rPr>
                <w:rFonts w:hint="eastAsia" w:ascii="Times New Roman" w:hAnsi="Times New Roman" w:eastAsia="宋体" w:cs="Segoe UI"/>
                <w:b/>
                <w:bCs/>
                <w:i w:val="0"/>
                <w:iCs w:val="0"/>
                <w:caps w:val="0"/>
                <w:strike w:val="0"/>
                <w:color w:val="auto"/>
                <w:spacing w:val="0"/>
                <w:sz w:val="21"/>
                <w:szCs w:val="24"/>
                <w:u w:val="none"/>
                <w:lang w:val="en-US" w:eastAsia="zh-CN"/>
              </w:rPr>
              <w:t>.</w:t>
            </w:r>
            <w:r>
              <w:rPr>
                <w:rFonts w:hint="eastAsia" w:ascii="Times New Roman" w:hAnsi="Times New Roman" w:cs="Segoe UI"/>
                <w:b/>
                <w:bCs/>
                <w:i w:val="0"/>
                <w:iCs w:val="0"/>
                <w:caps w:val="0"/>
                <w:strike w:val="0"/>
                <w:color w:val="auto"/>
                <w:spacing w:val="0"/>
                <w:sz w:val="21"/>
                <w:szCs w:val="24"/>
                <w:u w:val="none"/>
                <w:lang w:val="en-US" w:eastAsia="zh-CN"/>
              </w:rPr>
              <w:t>34</w:t>
            </w:r>
            <w:r>
              <w:rPr>
                <w:rFonts w:hint="default" w:ascii="Times New Roman" w:hAnsi="Times New Roman" w:eastAsia="宋体" w:cs="Segoe UI"/>
                <w:b/>
                <w:bCs/>
                <w:i w:val="0"/>
                <w:iCs w:val="0"/>
                <w:caps w:val="0"/>
                <w:strike w:val="0"/>
                <w:color w:val="auto"/>
                <w:spacing w:val="0"/>
                <w:sz w:val="21"/>
                <w:szCs w:val="24"/>
                <w:u w:val="none"/>
              </w:rPr>
              <w:t>t/a</w:t>
            </w:r>
            <w:r>
              <w:rPr>
                <w:rFonts w:hint="eastAsia" w:ascii="Times New Roman" w:hAnsi="Times New Roman" w:cs="Segoe UI"/>
                <w:b w:val="0"/>
                <w:i w:val="0"/>
                <w:iCs w:val="0"/>
                <w:caps w:val="0"/>
                <w:strike w:val="0"/>
                <w:color w:val="auto"/>
                <w:spacing w:val="0"/>
                <w:sz w:val="21"/>
                <w:szCs w:val="24"/>
                <w:u w:val="none"/>
                <w:lang w:eastAsia="zh-CN"/>
              </w:rPr>
              <w:t>；</w:t>
            </w:r>
            <w:r>
              <w:rPr>
                <w:rFonts w:hint="eastAsia" w:ascii="Times New Roman" w:hAnsi="Times New Roman" w:cs="Segoe UI"/>
                <w:b w:val="0"/>
                <w:i w:val="0"/>
                <w:iCs w:val="0"/>
                <w:caps w:val="0"/>
                <w:strike w:val="0"/>
                <w:color w:val="auto"/>
                <w:spacing w:val="0"/>
                <w:sz w:val="21"/>
                <w:szCs w:val="24"/>
                <w:u w:val="none"/>
                <w:lang w:val="en-US" w:eastAsia="zh-CN"/>
              </w:rPr>
              <w:t>参</w:t>
            </w:r>
            <w:r>
              <w:rPr>
                <w:rFonts w:hint="eastAsia" w:ascii="Times New Roman" w:hAnsi="Times New Roman" w:cs="Segoe UI"/>
                <w:b w:val="0"/>
                <w:i w:val="0"/>
                <w:iCs w:val="0"/>
                <w:caps w:val="0"/>
                <w:strike w:val="0"/>
                <w:color w:val="auto"/>
                <w:spacing w:val="0"/>
                <w:sz w:val="21"/>
                <w:szCs w:val="24"/>
                <w:u w:val="none"/>
                <w:lang w:eastAsia="zh-CN"/>
              </w:rPr>
              <w:t>考《橡胶制品生产过程中废气污染物的排放系数》(施晓亮，吴高强，郑磊，李明)中，参考打磨粉尘产生系数为545mg/kg-橡胶原料，项目橡胶</w:t>
            </w:r>
            <w:r>
              <w:rPr>
                <w:rFonts w:hint="eastAsia" w:ascii="Times New Roman" w:hAnsi="Times New Roman" w:cs="Segoe UI"/>
                <w:b w:val="0"/>
                <w:i w:val="0"/>
                <w:iCs w:val="0"/>
                <w:caps w:val="0"/>
                <w:strike w:val="0"/>
                <w:color w:val="auto"/>
                <w:spacing w:val="0"/>
                <w:sz w:val="21"/>
                <w:szCs w:val="24"/>
                <w:u w:val="none"/>
                <w:lang w:val="en-US" w:eastAsia="zh-CN"/>
              </w:rPr>
              <w:t>片</w:t>
            </w:r>
            <w:r>
              <w:rPr>
                <w:rFonts w:hint="eastAsia" w:ascii="Times New Roman" w:hAnsi="Times New Roman" w:cs="Segoe UI"/>
                <w:b w:val="0"/>
                <w:i w:val="0"/>
                <w:iCs w:val="0"/>
                <w:caps w:val="0"/>
                <w:strike w:val="0"/>
                <w:color w:val="auto"/>
                <w:spacing w:val="0"/>
                <w:sz w:val="21"/>
                <w:szCs w:val="24"/>
                <w:u w:val="none"/>
                <w:lang w:eastAsia="zh-CN"/>
              </w:rPr>
              <w:t>用量为</w:t>
            </w:r>
            <w:r>
              <w:rPr>
                <w:rFonts w:hint="eastAsia" w:ascii="Times New Roman" w:hAnsi="Times New Roman" w:cs="Segoe UI"/>
                <w:b w:val="0"/>
                <w:i w:val="0"/>
                <w:iCs w:val="0"/>
                <w:caps w:val="0"/>
                <w:strike w:val="0"/>
                <w:color w:val="auto"/>
                <w:spacing w:val="0"/>
                <w:sz w:val="21"/>
                <w:szCs w:val="24"/>
                <w:u w:val="none"/>
                <w:lang w:val="en-US" w:eastAsia="zh-CN"/>
              </w:rPr>
              <w:t>400万</w:t>
            </w:r>
            <w:r>
              <w:rPr>
                <w:rFonts w:hint="default" w:ascii="Times New Roman" w:hAnsi="Times New Roman" w:eastAsia="宋体" w:cs="Segoe UI"/>
                <w:b w:val="0"/>
                <w:i w:val="0"/>
                <w:iCs w:val="0"/>
                <w:caps w:val="0"/>
                <w:strike w:val="0"/>
                <w:color w:val="auto"/>
                <w:spacing w:val="0"/>
                <w:sz w:val="21"/>
                <w:szCs w:val="24"/>
                <w:u w:val="none"/>
              </w:rPr>
              <w:t>×</w:t>
            </w:r>
            <w:r>
              <w:rPr>
                <w:rFonts w:hint="eastAsia" w:ascii="Times New Roman" w:hAnsi="Times New Roman" w:cs="Segoe UI"/>
                <w:b w:val="0"/>
                <w:i w:val="0"/>
                <w:iCs w:val="0"/>
                <w:caps w:val="0"/>
                <w:strike w:val="0"/>
                <w:color w:val="auto"/>
                <w:spacing w:val="0"/>
                <w:sz w:val="21"/>
                <w:szCs w:val="24"/>
                <w:u w:val="none"/>
                <w:lang w:val="en-US" w:eastAsia="zh-CN"/>
              </w:rPr>
              <w:t>97.5g(取中值）=390</w:t>
            </w:r>
            <w:r>
              <w:rPr>
                <w:rFonts w:hint="eastAsia" w:ascii="Times New Roman" w:hAnsi="Times New Roman" w:cs="Segoe UI"/>
                <w:b w:val="0"/>
                <w:i w:val="0"/>
                <w:iCs w:val="0"/>
                <w:caps w:val="0"/>
                <w:strike w:val="0"/>
                <w:color w:val="auto"/>
                <w:spacing w:val="0"/>
                <w:sz w:val="21"/>
                <w:szCs w:val="24"/>
                <w:u w:val="none"/>
                <w:lang w:eastAsia="zh-CN"/>
              </w:rPr>
              <w:t>t/a，</w:t>
            </w:r>
            <w:r>
              <w:rPr>
                <w:rFonts w:hint="default" w:ascii="Times New Roman" w:hAnsi="Times New Roman" w:eastAsia="宋体" w:cs="Segoe UI"/>
                <w:b w:val="0"/>
                <w:i w:val="0"/>
                <w:iCs w:val="0"/>
                <w:caps w:val="0"/>
                <w:strike w:val="0"/>
                <w:color w:val="auto"/>
                <w:spacing w:val="0"/>
                <w:sz w:val="21"/>
                <w:szCs w:val="24"/>
                <w:u w:val="none"/>
              </w:rPr>
              <w:t>则</w:t>
            </w:r>
            <w:r>
              <w:rPr>
                <w:rFonts w:hint="eastAsia" w:ascii="Times New Roman" w:hAnsi="Times New Roman" w:cs="Segoe UI"/>
                <w:b w:val="0"/>
                <w:i w:val="0"/>
                <w:iCs w:val="0"/>
                <w:caps w:val="0"/>
                <w:strike w:val="0"/>
                <w:color w:val="auto"/>
                <w:spacing w:val="0"/>
                <w:kern w:val="0"/>
                <w:sz w:val="21"/>
                <w:szCs w:val="24"/>
                <w:u w:val="none"/>
                <w:lang w:val="en-US" w:eastAsia="zh-CN" w:bidi="ar-SA"/>
              </w:rPr>
              <w:t>橡胶</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鞋底</w:t>
            </w:r>
            <w:r>
              <w:rPr>
                <w:rFonts w:hint="eastAsia" w:ascii="Times New Roman" w:hAnsi="Times New Roman" w:eastAsia="宋体" w:cs="Segoe UI"/>
                <w:b w:val="0"/>
                <w:i w:val="0"/>
                <w:iCs w:val="0"/>
                <w:caps w:val="0"/>
                <w:strike w:val="0"/>
                <w:color w:val="auto"/>
                <w:spacing w:val="0"/>
                <w:sz w:val="21"/>
                <w:szCs w:val="24"/>
                <w:u w:val="none"/>
                <w:lang w:val="en-US" w:eastAsia="zh-CN"/>
              </w:rPr>
              <w:t>打粗</w:t>
            </w:r>
            <w:r>
              <w:rPr>
                <w:rFonts w:hint="default" w:ascii="Times New Roman" w:hAnsi="Times New Roman" w:eastAsia="宋体" w:cs="Segoe UI"/>
                <w:b w:val="0"/>
                <w:i w:val="0"/>
                <w:iCs w:val="0"/>
                <w:caps w:val="0"/>
                <w:strike w:val="0"/>
                <w:color w:val="auto"/>
                <w:spacing w:val="0"/>
                <w:sz w:val="21"/>
                <w:szCs w:val="24"/>
                <w:u w:val="none"/>
              </w:rPr>
              <w:t>工序颗粒物产生量</w:t>
            </w:r>
            <w:r>
              <w:rPr>
                <w:rFonts w:hint="eastAsia" w:ascii="Times New Roman" w:hAnsi="Times New Roman" w:eastAsia="宋体" w:cs="Segoe UI"/>
                <w:b w:val="0"/>
                <w:i w:val="0"/>
                <w:iCs w:val="0"/>
                <w:caps w:val="0"/>
                <w:strike w:val="0"/>
                <w:color w:val="auto"/>
                <w:spacing w:val="0"/>
                <w:sz w:val="21"/>
                <w:szCs w:val="24"/>
                <w:u w:val="none"/>
                <w:lang w:val="en-US" w:eastAsia="zh-CN"/>
              </w:rPr>
              <w:t>约</w:t>
            </w:r>
            <w:r>
              <w:rPr>
                <w:rFonts w:hint="default" w:ascii="Times New Roman" w:hAnsi="Times New Roman" w:eastAsia="宋体" w:cs="Segoe UI"/>
                <w:b w:val="0"/>
                <w:i w:val="0"/>
                <w:iCs w:val="0"/>
                <w:caps w:val="0"/>
                <w:strike w:val="0"/>
                <w:color w:val="auto"/>
                <w:spacing w:val="0"/>
                <w:sz w:val="21"/>
                <w:szCs w:val="24"/>
                <w:u w:val="none"/>
              </w:rPr>
              <w:t>为</w:t>
            </w:r>
            <w:r>
              <w:rPr>
                <w:rFonts w:hint="default" w:ascii="Times New Roman" w:hAnsi="Times New Roman" w:eastAsia="宋体" w:cs="Segoe UI"/>
                <w:b/>
                <w:bCs/>
                <w:i w:val="0"/>
                <w:iCs w:val="0"/>
                <w:caps w:val="0"/>
                <w:strike w:val="0"/>
                <w:color w:val="auto"/>
                <w:spacing w:val="0"/>
                <w:sz w:val="21"/>
                <w:szCs w:val="24"/>
                <w:u w:val="none"/>
              </w:rPr>
              <w:t>0</w:t>
            </w:r>
            <w:r>
              <w:rPr>
                <w:rFonts w:hint="eastAsia" w:ascii="Times New Roman" w:hAnsi="Times New Roman" w:eastAsia="宋体" w:cs="Segoe UI"/>
                <w:b/>
                <w:bCs/>
                <w:i w:val="0"/>
                <w:iCs w:val="0"/>
                <w:caps w:val="0"/>
                <w:strike w:val="0"/>
                <w:color w:val="auto"/>
                <w:spacing w:val="0"/>
                <w:sz w:val="21"/>
                <w:szCs w:val="24"/>
                <w:u w:val="none"/>
                <w:lang w:val="en-US" w:eastAsia="zh-CN"/>
              </w:rPr>
              <w:t>.</w:t>
            </w:r>
            <w:r>
              <w:rPr>
                <w:rFonts w:hint="eastAsia" w:ascii="Times New Roman" w:hAnsi="Times New Roman" w:cs="Segoe UI"/>
                <w:b/>
                <w:bCs/>
                <w:i w:val="0"/>
                <w:iCs w:val="0"/>
                <w:caps w:val="0"/>
                <w:strike w:val="0"/>
                <w:color w:val="auto"/>
                <w:spacing w:val="0"/>
                <w:sz w:val="21"/>
                <w:szCs w:val="24"/>
                <w:u w:val="none"/>
                <w:lang w:val="en-US" w:eastAsia="zh-CN"/>
              </w:rPr>
              <w:t>21</w:t>
            </w:r>
            <w:r>
              <w:rPr>
                <w:rFonts w:hint="default" w:ascii="Times New Roman" w:hAnsi="Times New Roman" w:eastAsia="宋体" w:cs="Segoe UI"/>
                <w:b/>
                <w:bCs/>
                <w:i w:val="0"/>
                <w:iCs w:val="0"/>
                <w:caps w:val="0"/>
                <w:strike w:val="0"/>
                <w:color w:val="auto"/>
                <w:spacing w:val="0"/>
                <w:sz w:val="21"/>
                <w:szCs w:val="24"/>
                <w:u w:val="none"/>
              </w:rPr>
              <w:t>t/a</w:t>
            </w:r>
            <w:r>
              <w:rPr>
                <w:rFonts w:hint="default" w:ascii="Times New Roman" w:hAnsi="Times New Roman" w:eastAsia="宋体" w:cs="Segoe UI"/>
                <w:b w:val="0"/>
                <w:i w:val="0"/>
                <w:iCs w:val="0"/>
                <w:caps w:val="0"/>
                <w:strike w:val="0"/>
                <w:color w:val="auto"/>
                <w:spacing w:val="0"/>
                <w:sz w:val="21"/>
                <w:szCs w:val="24"/>
                <w:u w:val="none"/>
              </w:rPr>
              <w:t>（</w:t>
            </w:r>
            <w:r>
              <w:rPr>
                <w:rFonts w:hint="eastAsia" w:ascii="Times New Roman" w:hAnsi="Times New Roman" w:cs="Segoe UI"/>
                <w:b w:val="0"/>
                <w:i w:val="0"/>
                <w:iCs w:val="0"/>
                <w:caps w:val="0"/>
                <w:strike w:val="0"/>
                <w:color w:val="auto"/>
                <w:spacing w:val="0"/>
                <w:sz w:val="21"/>
                <w:szCs w:val="24"/>
                <w:u w:val="none"/>
                <w:lang w:val="en-US" w:eastAsia="zh-CN"/>
              </w:rPr>
              <w:t>390</w:t>
            </w:r>
            <w:r>
              <w:rPr>
                <w:rFonts w:hint="default" w:ascii="Times New Roman" w:hAnsi="Times New Roman" w:eastAsia="宋体" w:cs="Segoe UI"/>
                <w:b w:val="0"/>
                <w:i w:val="0"/>
                <w:iCs w:val="0"/>
                <w:caps w:val="0"/>
                <w:strike w:val="0"/>
                <w:color w:val="auto"/>
                <w:spacing w:val="0"/>
                <w:sz w:val="21"/>
                <w:szCs w:val="24"/>
                <w:u w:val="none"/>
              </w:rPr>
              <w:t>t×</w:t>
            </w:r>
            <w:r>
              <w:rPr>
                <w:rFonts w:hint="eastAsia" w:ascii="Times New Roman" w:hAnsi="Times New Roman" w:cs="Segoe UI"/>
                <w:b w:val="0"/>
                <w:i w:val="0"/>
                <w:iCs w:val="0"/>
                <w:caps w:val="0"/>
                <w:strike w:val="0"/>
                <w:color w:val="auto"/>
                <w:spacing w:val="0"/>
                <w:sz w:val="21"/>
                <w:szCs w:val="24"/>
                <w:u w:val="none"/>
                <w:lang w:eastAsia="zh-CN"/>
              </w:rPr>
              <w:t>545mg/kg</w:t>
            </w:r>
            <w:r>
              <w:rPr>
                <w:rFonts w:hint="default" w:ascii="Times New Roman" w:hAnsi="Times New Roman" w:eastAsia="宋体" w:cs="Segoe UI"/>
                <w:b w:val="0"/>
                <w:i w:val="0"/>
                <w:iCs w:val="0"/>
                <w:caps w:val="0"/>
                <w:strike w:val="0"/>
                <w:color w:val="auto"/>
                <w:spacing w:val="0"/>
                <w:sz w:val="21"/>
                <w:szCs w:val="24"/>
                <w:u w:val="none"/>
              </w:rPr>
              <w:t>）</w:t>
            </w:r>
            <w:r>
              <w:rPr>
                <w:rFonts w:hint="eastAsia" w:ascii="Times New Roman" w:hAnsi="Times New Roman" w:cs="Segoe UI"/>
                <w:b w:val="0"/>
                <w:i w:val="0"/>
                <w:iCs w:val="0"/>
                <w:caps w:val="0"/>
                <w:strike w:val="0"/>
                <w:color w:val="auto"/>
                <w:spacing w:val="0"/>
                <w:sz w:val="21"/>
                <w:szCs w:val="24"/>
                <w:u w:val="none"/>
                <w:lang w:eastAsia="zh-CN"/>
              </w:rPr>
              <w:t>；</w:t>
            </w:r>
            <w:r>
              <w:rPr>
                <w:rFonts w:hint="eastAsia" w:ascii="Times New Roman" w:hAnsi="Times New Roman" w:cs="Segoe UI"/>
                <w:b w:val="0"/>
                <w:i w:val="0"/>
                <w:iCs w:val="0"/>
                <w:caps w:val="0"/>
                <w:strike w:val="0"/>
                <w:color w:val="auto"/>
                <w:spacing w:val="0"/>
                <w:sz w:val="21"/>
                <w:szCs w:val="24"/>
                <w:u w:val="none"/>
                <w:lang w:val="en-US" w:eastAsia="zh-CN"/>
              </w:rPr>
              <w:t>综上打粗工序产生的颗粒物合计0.63t/a</w:t>
            </w:r>
            <w:r>
              <w:rPr>
                <w:rFonts w:hint="default" w:ascii="Times New Roman" w:hAnsi="Times New Roman" w:eastAsia="宋体" w:cs="Segoe UI"/>
                <w:b w:val="0"/>
                <w:i w:val="0"/>
                <w:iCs w:val="0"/>
                <w:caps w:val="0"/>
                <w:strike w:val="0"/>
                <w:color w:val="auto"/>
                <w:spacing w:val="0"/>
                <w:sz w:val="21"/>
                <w:szCs w:val="24"/>
                <w:u w:val="none"/>
              </w:rPr>
              <w:t>。</w:t>
            </w:r>
          </w:p>
          <w:p w14:paraId="71D8C9E3">
            <w:pPr>
              <w:pStyle w:val="44"/>
              <w:keepNext w:val="0"/>
              <w:keepLines w:val="0"/>
              <w:pageBreakBefore w:val="0"/>
              <w:widowControl/>
              <w:numPr>
                <w:ilvl w:val="0"/>
                <w:numId w:val="23"/>
              </w:numPr>
              <w:suppressLineNumbers w:val="0"/>
              <w:kinsoku/>
              <w:wordWrap/>
              <w:overflowPunct/>
              <w:topLinePunct w:val="0"/>
              <w:autoSpaceDE/>
              <w:autoSpaceDN/>
              <w:bidi w:val="0"/>
              <w:snapToGrid/>
              <w:spacing w:before="0" w:beforeAutospacing="0" w:after="0" w:afterAutospacing="0" w:line="360" w:lineRule="auto"/>
              <w:ind w:left="1055" w:leftChars="0" w:right="0" w:hanging="425" w:firstLineChars="0"/>
              <w:jc w:val="both"/>
              <w:textAlignment w:val="auto"/>
              <w:rPr>
                <w:rFonts w:hint="default" w:ascii="Times New Roman" w:hAnsi="Times New Roman" w:eastAsia="宋体" w:cs="Segoe UI"/>
                <w:i w:val="0"/>
                <w:iCs w:val="0"/>
                <w:caps w:val="0"/>
                <w:color w:val="auto"/>
                <w:spacing w:val="0"/>
                <w:sz w:val="21"/>
                <w:shd w:val="clear" w:fill="FFFFFF"/>
                <w:lang w:val="en-US" w:eastAsia="zh-CN"/>
              </w:rPr>
            </w:pPr>
            <w:bookmarkStart w:id="43" w:name="_Toc7707"/>
            <w:r>
              <w:rPr>
                <w:rFonts w:hint="eastAsia" w:ascii="Times New Roman" w:hAnsi="Times New Roman" w:cs="Segoe UI"/>
                <w:i w:val="0"/>
                <w:iCs w:val="0"/>
                <w:caps w:val="0"/>
                <w:color w:val="auto"/>
                <w:spacing w:val="0"/>
                <w:sz w:val="21"/>
                <w:shd w:val="clear" w:fill="FFFFFF"/>
                <w:lang w:val="en-US" w:eastAsia="zh-CN"/>
              </w:rPr>
              <w:t>全面</w:t>
            </w:r>
            <w:r>
              <w:rPr>
                <w:rFonts w:hint="default" w:ascii="Times New Roman" w:hAnsi="Times New Roman" w:eastAsia="宋体" w:cs="Segoe UI"/>
                <w:i w:val="0"/>
                <w:iCs w:val="0"/>
                <w:caps w:val="0"/>
                <w:color w:val="auto"/>
                <w:spacing w:val="0"/>
                <w:sz w:val="21"/>
                <w:shd w:val="clear" w:fill="FFFFFF"/>
              </w:rPr>
              <w:t>刷处理剂</w:t>
            </w:r>
            <w:r>
              <w:rPr>
                <w:rFonts w:hint="eastAsia" w:ascii="Times New Roman" w:hAnsi="Times New Roman" w:eastAsia="宋体" w:cs="Segoe UI"/>
                <w:i w:val="0"/>
                <w:iCs w:val="0"/>
                <w:caps w:val="0"/>
                <w:color w:val="auto"/>
                <w:spacing w:val="0"/>
                <w:sz w:val="21"/>
                <w:shd w:val="clear" w:fill="FFFFFF"/>
                <w:lang w:eastAsia="zh-CN"/>
              </w:rPr>
              <w:t>、</w:t>
            </w:r>
            <w:r>
              <w:rPr>
                <w:rFonts w:hint="eastAsia" w:ascii="Times New Roman" w:hAnsi="Times New Roman" w:cs="Segoe UI"/>
                <w:i w:val="0"/>
                <w:iCs w:val="0"/>
                <w:caps w:val="0"/>
                <w:color w:val="auto"/>
                <w:spacing w:val="0"/>
                <w:sz w:val="21"/>
                <w:shd w:val="clear" w:fill="FFFFFF"/>
                <w:lang w:val="en-US" w:eastAsia="zh-CN"/>
              </w:rPr>
              <w:t>清洁、</w:t>
            </w:r>
            <w:r>
              <w:rPr>
                <w:rFonts w:hint="eastAsia" w:ascii="Times New Roman" w:hAnsi="Times New Roman" w:eastAsia="宋体" w:cs="Segoe UI"/>
                <w:i w:val="0"/>
                <w:iCs w:val="0"/>
                <w:caps w:val="0"/>
                <w:color w:val="auto"/>
                <w:spacing w:val="0"/>
                <w:sz w:val="21"/>
                <w:shd w:val="clear" w:fill="FFFFFF"/>
                <w:lang w:val="en-US" w:eastAsia="zh-CN"/>
              </w:rPr>
              <w:t>刷胶、</w:t>
            </w:r>
            <w:r>
              <w:rPr>
                <w:rFonts w:hint="eastAsia" w:ascii="Times New Roman" w:hAnsi="Times New Roman" w:cs="Segoe UI"/>
                <w:i w:val="0"/>
                <w:iCs w:val="0"/>
                <w:caps w:val="0"/>
                <w:color w:val="auto"/>
                <w:spacing w:val="0"/>
                <w:sz w:val="21"/>
                <w:shd w:val="clear" w:fill="FFFFFF"/>
                <w:lang w:val="en-US" w:eastAsia="zh-CN"/>
              </w:rPr>
              <w:t>烘干</w:t>
            </w:r>
            <w:r>
              <w:rPr>
                <w:rFonts w:hint="eastAsia" w:ascii="Times New Roman" w:hAnsi="Times New Roman" w:eastAsia="宋体" w:cs="Segoe UI"/>
                <w:i w:val="0"/>
                <w:iCs w:val="0"/>
                <w:caps w:val="0"/>
                <w:color w:val="auto"/>
                <w:spacing w:val="0"/>
                <w:sz w:val="21"/>
                <w:shd w:val="clear" w:fill="FFFFFF"/>
                <w:lang w:val="en-US" w:eastAsia="zh-CN"/>
              </w:rPr>
              <w:t>工序</w:t>
            </w:r>
            <w:bookmarkEnd w:id="43"/>
          </w:p>
          <w:p w14:paraId="27D0DB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eastAsia" w:ascii="Times New Roman" w:hAnsi="Times New Roman" w:eastAsia="宋体" w:cs="Segoe UI"/>
                <w:b w:val="0"/>
                <w:i w:val="0"/>
                <w:iCs w:val="0"/>
                <w:caps w:val="0"/>
                <w:strike w:val="0"/>
                <w:color w:val="auto"/>
                <w:spacing w:val="0"/>
                <w:kern w:val="0"/>
                <w:sz w:val="21"/>
                <w:szCs w:val="24"/>
                <w:u w:val="none"/>
                <w:lang w:val="en-US" w:eastAsia="zh-CN" w:bidi="ar-SA"/>
              </w:rPr>
            </w:pPr>
            <w:r>
              <w:rPr>
                <w:rFonts w:hint="default" w:ascii="Times New Roman" w:hAnsi="Times New Roman" w:eastAsia="宋体" w:cs="Calibri"/>
                <w:b w:val="0"/>
                <w:i w:val="0"/>
                <w:iCs w:val="0"/>
                <w:caps w:val="0"/>
                <w:strike w:val="0"/>
                <w:color w:val="auto"/>
                <w:spacing w:val="0"/>
                <w:kern w:val="0"/>
                <w:sz w:val="21"/>
                <w:szCs w:val="24"/>
                <w:u w:val="none"/>
                <w:lang w:val="en-US" w:eastAsia="zh-CN" w:bidi="ar-SA"/>
              </w:rPr>
              <w:t>①</w:t>
            </w:r>
            <w:r>
              <w:rPr>
                <w:rFonts w:hint="eastAsia" w:ascii="Times New Roman" w:hAnsi="Times New Roman" w:cs="Calibri"/>
                <w:b w:val="0"/>
                <w:i w:val="0"/>
                <w:iCs w:val="0"/>
                <w:caps w:val="0"/>
                <w:strike w:val="0"/>
                <w:color w:val="auto"/>
                <w:spacing w:val="0"/>
                <w:kern w:val="0"/>
                <w:sz w:val="21"/>
                <w:szCs w:val="24"/>
                <w:u w:val="none"/>
                <w:lang w:val="en-US" w:eastAsia="zh-CN" w:bidi="ar-SA"/>
              </w:rPr>
              <w:t>橡胶片刷</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水性橡胶处理剂年用量</w:t>
            </w:r>
            <w:r>
              <w:rPr>
                <w:rFonts w:hint="eastAsia" w:ascii="Times New Roman" w:hAnsi="Times New Roman" w:eastAsia="宋体"/>
                <w:color w:val="auto"/>
                <w:sz w:val="21"/>
                <w:lang w:val="en-US" w:eastAsia="zh-CN"/>
              </w:rPr>
              <w:t>2</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.5</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t/a，VOCs含量为1%</w:t>
            </w:r>
            <w:r>
              <w:rPr>
                <w:rFonts w:hint="eastAsia" w:ascii="Times New Roman" w:hAnsi="Times New Roman" w:cs="Segoe UI"/>
                <w:b w:val="0"/>
                <w:i w:val="0"/>
                <w:iCs w:val="0"/>
                <w:caps w:val="0"/>
                <w:strike w:val="0"/>
                <w:color w:val="auto"/>
                <w:spacing w:val="0"/>
                <w:kern w:val="0"/>
                <w:sz w:val="21"/>
                <w:szCs w:val="24"/>
                <w:u w:val="none"/>
                <w:lang w:val="en-US" w:eastAsia="zh-CN" w:bidi="ar-SA"/>
              </w:rPr>
              <w:t>～</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10%（主要为树脂中残留的少量游离单体），保守按最不利情况取最大值10%进行计算</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刷水性橡胶处理剂</w:t>
            </w:r>
            <w:r>
              <w:rPr>
                <w:rFonts w:hint="eastAsia" w:ascii="Times New Roman" w:hAnsi="Times New Roman" w:cs="Segoe UI"/>
                <w:b w:val="0"/>
                <w:i w:val="0"/>
                <w:iCs w:val="0"/>
                <w:caps w:val="0"/>
                <w:strike w:val="0"/>
                <w:color w:val="auto"/>
                <w:spacing w:val="0"/>
                <w:kern w:val="0"/>
                <w:sz w:val="21"/>
                <w:szCs w:val="24"/>
                <w:u w:val="none"/>
                <w:lang w:val="en-US" w:eastAsia="zh-CN" w:bidi="ar-SA"/>
              </w:rPr>
              <w:t>有机废气</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产生量=</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2.5</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×10%=</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0.25</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t/a</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w:t>
            </w:r>
          </w:p>
          <w:p w14:paraId="30DA37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default" w:ascii="Times New Roman" w:hAnsi="Times New Roman" w:cs="Calibri"/>
                <w:b w:val="0"/>
                <w:i w:val="0"/>
                <w:iCs w:val="0"/>
                <w:caps w:val="0"/>
                <w:strike w:val="0"/>
                <w:color w:val="auto"/>
                <w:spacing w:val="0"/>
                <w:kern w:val="0"/>
                <w:sz w:val="21"/>
                <w:szCs w:val="24"/>
                <w:u w:val="none"/>
                <w:lang w:val="en-US" w:eastAsia="zh-CN" w:bidi="ar-SA"/>
              </w:rPr>
            </w:pPr>
            <w:r>
              <w:rPr>
                <w:rFonts w:hint="default" w:ascii="Times New Roman" w:hAnsi="Times New Roman" w:eastAsia="宋体" w:cs="Calibri"/>
                <w:b w:val="0"/>
                <w:i w:val="0"/>
                <w:iCs w:val="0"/>
                <w:caps w:val="0"/>
                <w:strike w:val="0"/>
                <w:color w:val="auto"/>
                <w:spacing w:val="0"/>
                <w:kern w:val="0"/>
                <w:sz w:val="21"/>
                <w:szCs w:val="24"/>
                <w:u w:val="none"/>
                <w:lang w:val="en-US" w:eastAsia="zh-CN" w:bidi="ar-SA"/>
              </w:rPr>
              <w:t>②</w:t>
            </w:r>
            <w:r>
              <w:rPr>
                <w:rFonts w:hint="eastAsia" w:ascii="Times New Roman" w:hAnsi="Times New Roman" w:cs="Calibri"/>
                <w:b w:val="0"/>
                <w:i w:val="0"/>
                <w:iCs w:val="0"/>
                <w:caps w:val="0"/>
                <w:strike w:val="0"/>
                <w:color w:val="auto"/>
                <w:spacing w:val="0"/>
                <w:kern w:val="0"/>
                <w:sz w:val="21"/>
                <w:szCs w:val="24"/>
                <w:u w:val="none"/>
                <w:lang w:val="en-US" w:eastAsia="zh-CN" w:bidi="ar-SA"/>
              </w:rPr>
              <w:t>EVA鞋底清洁工序年用清洁剂2.5t/a，</w:t>
            </w:r>
            <w:r>
              <w:rPr>
                <w:rFonts w:hint="eastAsia" w:ascii="Times New Roman" w:hAnsi="Times New Roman" w:cs="Segoe UI"/>
                <w:b w:val="0"/>
                <w:i w:val="0"/>
                <w:iCs w:val="0"/>
                <w:caps w:val="0"/>
                <w:strike w:val="0"/>
                <w:color w:val="auto"/>
                <w:spacing w:val="0"/>
                <w:kern w:val="0"/>
                <w:sz w:val="21"/>
                <w:szCs w:val="24"/>
                <w:u w:val="none"/>
                <w:lang w:val="en-US" w:eastAsia="zh-CN" w:bidi="ar-SA"/>
              </w:rPr>
              <w:t>助剂</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含量为</w:t>
            </w:r>
            <w:r>
              <w:rPr>
                <w:rFonts w:hint="eastAsia" w:ascii="Times New Roman" w:hAnsi="Times New Roman" w:cs="Segoe UI"/>
                <w:b w:val="0"/>
                <w:i w:val="0"/>
                <w:iCs w:val="0"/>
                <w:caps w:val="0"/>
                <w:strike w:val="0"/>
                <w:color w:val="auto"/>
                <w:spacing w:val="0"/>
                <w:kern w:val="0"/>
                <w:sz w:val="21"/>
                <w:szCs w:val="24"/>
                <w:u w:val="none"/>
                <w:lang w:val="en-US" w:eastAsia="zh-CN" w:bidi="ar-SA"/>
              </w:rPr>
              <w:t>0.2</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w:t>
            </w:r>
            <w:r>
              <w:rPr>
                <w:rFonts w:hint="eastAsia" w:ascii="Times New Roman" w:hAnsi="Times New Roman" w:cs="Segoe UI"/>
                <w:b w:val="0"/>
                <w:i w:val="0"/>
                <w:iCs w:val="0"/>
                <w:caps w:val="0"/>
                <w:strike w:val="0"/>
                <w:color w:val="auto"/>
                <w:spacing w:val="0"/>
                <w:kern w:val="0"/>
                <w:sz w:val="21"/>
                <w:szCs w:val="24"/>
                <w:u w:val="none"/>
                <w:lang w:val="en-US" w:eastAsia="zh-CN" w:bidi="ar-SA"/>
              </w:rPr>
              <w:t>～0.5</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%，保守按最不利情况取最大值</w:t>
            </w:r>
            <w:r>
              <w:rPr>
                <w:rFonts w:hint="eastAsia" w:ascii="Times New Roman" w:hAnsi="Times New Roman" w:cs="Segoe UI"/>
                <w:b w:val="0"/>
                <w:i w:val="0"/>
                <w:iCs w:val="0"/>
                <w:caps w:val="0"/>
                <w:strike w:val="0"/>
                <w:color w:val="auto"/>
                <w:spacing w:val="0"/>
                <w:kern w:val="0"/>
                <w:sz w:val="21"/>
                <w:szCs w:val="24"/>
                <w:u w:val="none"/>
                <w:lang w:val="en-US" w:eastAsia="zh-CN" w:bidi="ar-SA"/>
              </w:rPr>
              <w:t>0.5</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%进行计算</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w:t>
            </w:r>
            <w:r>
              <w:rPr>
                <w:rFonts w:hint="eastAsia" w:ascii="Times New Roman" w:hAnsi="Times New Roman" w:cs="Calibri"/>
                <w:b w:val="0"/>
                <w:i w:val="0"/>
                <w:iCs w:val="0"/>
                <w:caps w:val="0"/>
                <w:strike w:val="0"/>
                <w:color w:val="auto"/>
                <w:spacing w:val="0"/>
                <w:kern w:val="0"/>
                <w:sz w:val="21"/>
                <w:szCs w:val="24"/>
                <w:u w:val="none"/>
                <w:lang w:val="en-US" w:eastAsia="zh-CN" w:bidi="ar-SA"/>
              </w:rPr>
              <w:t>清洁工序</w:t>
            </w:r>
            <w:r>
              <w:rPr>
                <w:rFonts w:hint="eastAsia" w:ascii="Times New Roman" w:hAnsi="Times New Roman" w:cs="Segoe UI"/>
                <w:b w:val="0"/>
                <w:i w:val="0"/>
                <w:iCs w:val="0"/>
                <w:caps w:val="0"/>
                <w:strike w:val="0"/>
                <w:color w:val="auto"/>
                <w:spacing w:val="0"/>
                <w:kern w:val="0"/>
                <w:sz w:val="21"/>
                <w:szCs w:val="24"/>
                <w:u w:val="none"/>
                <w:lang w:val="en-US" w:eastAsia="zh-CN" w:bidi="ar-SA"/>
              </w:rPr>
              <w:t>有机废气</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产生量=</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2.5</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w:t>
            </w:r>
            <w:r>
              <w:rPr>
                <w:rFonts w:hint="eastAsia" w:ascii="Times New Roman" w:hAnsi="Times New Roman" w:cs="Segoe UI"/>
                <w:b w:val="0"/>
                <w:i w:val="0"/>
                <w:iCs w:val="0"/>
                <w:caps w:val="0"/>
                <w:strike w:val="0"/>
                <w:color w:val="auto"/>
                <w:spacing w:val="0"/>
                <w:kern w:val="0"/>
                <w:sz w:val="21"/>
                <w:szCs w:val="24"/>
                <w:u w:val="none"/>
                <w:lang w:val="en-US" w:eastAsia="zh-CN" w:bidi="ar-SA"/>
              </w:rPr>
              <w:t>0.5</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0.</w:t>
            </w:r>
            <w:r>
              <w:rPr>
                <w:rFonts w:hint="eastAsia" w:ascii="Times New Roman" w:hAnsi="Times New Roman" w:cs="Segoe UI"/>
                <w:b w:val="0"/>
                <w:i w:val="0"/>
                <w:iCs w:val="0"/>
                <w:caps w:val="0"/>
                <w:strike w:val="0"/>
                <w:color w:val="auto"/>
                <w:spacing w:val="0"/>
                <w:kern w:val="0"/>
                <w:sz w:val="21"/>
                <w:szCs w:val="24"/>
                <w:u w:val="none"/>
                <w:lang w:val="en-US" w:eastAsia="zh-CN" w:bidi="ar-SA"/>
              </w:rPr>
              <w:t>0125</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t/a</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w:t>
            </w:r>
          </w:p>
          <w:p w14:paraId="360083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eastAsia" w:ascii="Times New Roman" w:hAnsi="Times New Roman" w:eastAsia="宋体" w:cs="Segoe UI"/>
                <w:b w:val="0"/>
                <w:i w:val="0"/>
                <w:iCs w:val="0"/>
                <w:caps w:val="0"/>
                <w:strike w:val="0"/>
                <w:color w:val="auto"/>
                <w:spacing w:val="0"/>
                <w:kern w:val="0"/>
                <w:sz w:val="21"/>
                <w:szCs w:val="24"/>
                <w:u w:val="none"/>
                <w:lang w:val="en-US" w:eastAsia="zh-CN" w:bidi="ar-SA"/>
              </w:rPr>
            </w:pPr>
            <w:r>
              <w:rPr>
                <w:rFonts w:hint="default" w:ascii="Times New Roman" w:hAnsi="Times New Roman" w:eastAsia="宋体" w:cs="Calibri"/>
                <w:b w:val="0"/>
                <w:i w:val="0"/>
                <w:iCs w:val="0"/>
                <w:caps w:val="0"/>
                <w:strike w:val="0"/>
                <w:color w:val="auto"/>
                <w:spacing w:val="0"/>
                <w:kern w:val="0"/>
                <w:sz w:val="21"/>
                <w:szCs w:val="24"/>
                <w:u w:val="none"/>
                <w:lang w:val="en-US" w:eastAsia="zh-CN" w:bidi="ar-SA"/>
              </w:rPr>
              <w:t>③</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鞋底刷胶</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工序水性PU胶年用量</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2</w:t>
            </w:r>
            <w:r>
              <w:rPr>
                <w:rFonts w:hint="eastAsia" w:ascii="Times New Roman" w:hAnsi="Times New Roman" w:cs="Segoe UI"/>
                <w:b w:val="0"/>
                <w:i w:val="0"/>
                <w:iCs w:val="0"/>
                <w:caps w:val="0"/>
                <w:strike w:val="0"/>
                <w:color w:val="auto"/>
                <w:spacing w:val="0"/>
                <w:kern w:val="0"/>
                <w:sz w:val="21"/>
                <w:szCs w:val="24"/>
                <w:u w:val="none"/>
                <w:lang w:val="en-US" w:eastAsia="zh-CN" w:bidi="ar-SA"/>
              </w:rPr>
              <w:t>8</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t/a，水性PU胶VOCs含量为3g/L，水性PU胶密度为1.05g/cm³，VOCs含量折算为质量比为0.</w:t>
            </w:r>
            <w:r>
              <w:rPr>
                <w:rFonts w:hint="eastAsia" w:ascii="Times New Roman" w:hAnsi="Times New Roman" w:cs="Segoe UI"/>
                <w:b w:val="0"/>
                <w:i w:val="0"/>
                <w:iCs w:val="0"/>
                <w:caps w:val="0"/>
                <w:strike w:val="0"/>
                <w:color w:val="auto"/>
                <w:spacing w:val="0"/>
                <w:kern w:val="0"/>
                <w:sz w:val="21"/>
                <w:szCs w:val="24"/>
                <w:u w:val="none"/>
                <w:lang w:val="en-US" w:eastAsia="zh-CN" w:bidi="ar-SA"/>
              </w:rPr>
              <w:t>3</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鞋底刷胶</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工序水性PU胶年用量：</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2</w:t>
            </w:r>
            <w:r>
              <w:rPr>
                <w:rFonts w:hint="eastAsia" w:ascii="Times New Roman" w:hAnsi="Times New Roman" w:cs="Segoe UI"/>
                <w:b w:val="0"/>
                <w:i w:val="0"/>
                <w:iCs w:val="0"/>
                <w:caps w:val="0"/>
                <w:strike w:val="0"/>
                <w:color w:val="auto"/>
                <w:spacing w:val="0"/>
                <w:kern w:val="0"/>
                <w:sz w:val="21"/>
                <w:szCs w:val="24"/>
                <w:u w:val="none"/>
                <w:lang w:val="en-US" w:eastAsia="zh-CN" w:bidi="ar-SA"/>
              </w:rPr>
              <w:t>8</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t/a</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VOCs含量：0.</w:t>
            </w:r>
            <w:r>
              <w:rPr>
                <w:rFonts w:hint="eastAsia" w:ascii="Times New Roman" w:hAnsi="Times New Roman" w:cs="Segoe UI"/>
                <w:b w:val="0"/>
                <w:i w:val="0"/>
                <w:iCs w:val="0"/>
                <w:caps w:val="0"/>
                <w:strike w:val="0"/>
                <w:color w:val="auto"/>
                <w:spacing w:val="0"/>
                <w:kern w:val="0"/>
                <w:sz w:val="21"/>
                <w:szCs w:val="24"/>
                <w:u w:val="none"/>
                <w:lang w:val="en-US" w:eastAsia="zh-CN" w:bidi="ar-SA"/>
              </w:rPr>
              <w:t>3</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刷胶VOCs产生量=</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2</w:t>
            </w:r>
            <w:r>
              <w:rPr>
                <w:rFonts w:hint="eastAsia" w:ascii="Times New Roman" w:hAnsi="Times New Roman" w:cs="Segoe UI"/>
                <w:b w:val="0"/>
                <w:i w:val="0"/>
                <w:iCs w:val="0"/>
                <w:caps w:val="0"/>
                <w:strike w:val="0"/>
                <w:color w:val="auto"/>
                <w:spacing w:val="0"/>
                <w:kern w:val="0"/>
                <w:sz w:val="21"/>
                <w:szCs w:val="24"/>
                <w:u w:val="none"/>
                <w:lang w:val="en-US" w:eastAsia="zh-CN" w:bidi="ar-SA"/>
              </w:rPr>
              <w:t>8</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×0.</w:t>
            </w:r>
            <w:r>
              <w:rPr>
                <w:rFonts w:hint="eastAsia" w:ascii="Times New Roman" w:hAnsi="Times New Roman" w:cs="Segoe UI"/>
                <w:b w:val="0"/>
                <w:i w:val="0"/>
                <w:iCs w:val="0"/>
                <w:caps w:val="0"/>
                <w:strike w:val="0"/>
                <w:color w:val="auto"/>
                <w:spacing w:val="0"/>
                <w:kern w:val="0"/>
                <w:sz w:val="21"/>
                <w:szCs w:val="24"/>
                <w:u w:val="none"/>
                <w:lang w:val="en-US" w:eastAsia="zh-CN" w:bidi="ar-SA"/>
              </w:rPr>
              <w:t>3</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%=0.0</w:t>
            </w:r>
            <w:r>
              <w:rPr>
                <w:rFonts w:hint="eastAsia" w:ascii="Times New Roman" w:hAnsi="Times New Roman" w:cs="Segoe UI"/>
                <w:b w:val="0"/>
                <w:i w:val="0"/>
                <w:iCs w:val="0"/>
                <w:caps w:val="0"/>
                <w:strike w:val="0"/>
                <w:color w:val="auto"/>
                <w:spacing w:val="0"/>
                <w:kern w:val="0"/>
                <w:sz w:val="21"/>
                <w:szCs w:val="24"/>
                <w:u w:val="none"/>
                <w:lang w:val="en-US" w:eastAsia="zh-CN" w:bidi="ar-SA"/>
              </w:rPr>
              <w:t>84</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t/a</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w:t>
            </w:r>
          </w:p>
          <w:p w14:paraId="28A38C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eastAsia" w:ascii="Times New Roman" w:hAnsi="Times New Roman" w:eastAsia="宋体" w:cs="Segoe UI"/>
                <w:b/>
                <w:bCs/>
                <w:i w:val="0"/>
                <w:iCs w:val="0"/>
                <w:caps w:val="0"/>
                <w:strike w:val="0"/>
                <w:color w:val="auto"/>
                <w:spacing w:val="0"/>
                <w:kern w:val="0"/>
                <w:sz w:val="21"/>
                <w:szCs w:val="24"/>
                <w:u w:val="none"/>
                <w:lang w:val="en-US" w:eastAsia="zh-CN" w:bidi="ar-SA"/>
              </w:rPr>
            </w:pP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综上，鞋底刷处理剂、</w:t>
            </w:r>
            <w:r>
              <w:rPr>
                <w:rFonts w:hint="eastAsia" w:ascii="Times New Roman" w:hAnsi="Times New Roman" w:cs="Segoe UI"/>
                <w:b w:val="0"/>
                <w:i w:val="0"/>
                <w:iCs w:val="0"/>
                <w:caps w:val="0"/>
                <w:strike w:val="0"/>
                <w:color w:val="auto"/>
                <w:spacing w:val="0"/>
                <w:kern w:val="0"/>
                <w:sz w:val="21"/>
                <w:szCs w:val="24"/>
                <w:u w:val="none"/>
                <w:lang w:val="en-US" w:eastAsia="zh-CN" w:bidi="ar-SA"/>
              </w:rPr>
              <w:t>清洁、</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刷胶</w:t>
            </w:r>
            <w:r>
              <w:rPr>
                <w:rFonts w:hint="eastAsia" w:ascii="Times New Roman" w:hAnsi="Times New Roman" w:cs="Segoe UI"/>
                <w:b w:val="0"/>
                <w:i w:val="0"/>
                <w:iCs w:val="0"/>
                <w:caps w:val="0"/>
                <w:strike w:val="0"/>
                <w:color w:val="auto"/>
                <w:spacing w:val="0"/>
                <w:kern w:val="0"/>
                <w:sz w:val="21"/>
                <w:szCs w:val="24"/>
                <w:u w:val="none"/>
                <w:lang w:val="en-US" w:eastAsia="zh-CN" w:bidi="ar-SA"/>
              </w:rPr>
              <w:t>及烘干</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工序VOCs（以非甲烷总烃计）合计产生量为</w:t>
            </w:r>
            <w:r>
              <w:rPr>
                <w:rFonts w:hint="eastAsia" w:ascii="Times New Roman" w:hAnsi="Times New Roman" w:eastAsia="宋体" w:cs="Segoe UI"/>
                <w:b/>
                <w:bCs/>
                <w:i w:val="0"/>
                <w:iCs w:val="0"/>
                <w:caps w:val="0"/>
                <w:strike w:val="0"/>
                <w:color w:val="auto"/>
                <w:spacing w:val="0"/>
                <w:kern w:val="0"/>
                <w:sz w:val="21"/>
                <w:szCs w:val="24"/>
                <w:u w:val="none"/>
                <w:lang w:val="en-US" w:eastAsia="zh-CN" w:bidi="ar-SA"/>
              </w:rPr>
              <w:t>0.25+</w:t>
            </w:r>
            <w:r>
              <w:rPr>
                <w:rFonts w:hint="eastAsia" w:ascii="Times New Roman" w:hAnsi="Times New Roman" w:cs="Segoe UI"/>
                <w:b/>
                <w:bCs/>
                <w:i w:val="0"/>
                <w:iCs w:val="0"/>
                <w:caps w:val="0"/>
                <w:strike w:val="0"/>
                <w:color w:val="auto"/>
                <w:spacing w:val="0"/>
                <w:kern w:val="0"/>
                <w:sz w:val="21"/>
                <w:szCs w:val="24"/>
                <w:u w:val="none"/>
                <w:lang w:val="en-US" w:eastAsia="zh-CN" w:bidi="ar-SA"/>
              </w:rPr>
              <w:t>0.0125+</w:t>
            </w:r>
            <w:r>
              <w:rPr>
                <w:rFonts w:hint="eastAsia" w:ascii="Times New Roman" w:hAnsi="Times New Roman" w:eastAsia="宋体" w:cs="Segoe UI"/>
                <w:b/>
                <w:bCs/>
                <w:i w:val="0"/>
                <w:iCs w:val="0"/>
                <w:caps w:val="0"/>
                <w:strike w:val="0"/>
                <w:color w:val="auto"/>
                <w:spacing w:val="0"/>
                <w:kern w:val="0"/>
                <w:sz w:val="21"/>
                <w:szCs w:val="24"/>
                <w:u w:val="none"/>
                <w:lang w:val="en-US" w:eastAsia="zh-CN" w:bidi="ar-SA"/>
              </w:rPr>
              <w:t>0.0</w:t>
            </w:r>
            <w:r>
              <w:rPr>
                <w:rFonts w:hint="eastAsia" w:ascii="Times New Roman" w:hAnsi="Times New Roman" w:cs="Segoe UI"/>
                <w:b/>
                <w:bCs/>
                <w:i w:val="0"/>
                <w:iCs w:val="0"/>
                <w:caps w:val="0"/>
                <w:strike w:val="0"/>
                <w:color w:val="auto"/>
                <w:spacing w:val="0"/>
                <w:kern w:val="0"/>
                <w:sz w:val="21"/>
                <w:szCs w:val="24"/>
                <w:u w:val="none"/>
                <w:lang w:val="en-US" w:eastAsia="zh-CN" w:bidi="ar-SA"/>
              </w:rPr>
              <w:t>84</w:t>
            </w:r>
            <w:r>
              <w:rPr>
                <w:rFonts w:hint="eastAsia" w:ascii="Times New Roman" w:hAnsi="Times New Roman" w:eastAsia="宋体" w:cs="Segoe UI"/>
                <w:b/>
                <w:bCs/>
                <w:i w:val="0"/>
                <w:iCs w:val="0"/>
                <w:caps w:val="0"/>
                <w:strike w:val="0"/>
                <w:color w:val="auto"/>
                <w:spacing w:val="0"/>
                <w:kern w:val="0"/>
                <w:sz w:val="21"/>
                <w:szCs w:val="24"/>
                <w:u w:val="none"/>
                <w:lang w:val="en-US" w:eastAsia="zh-CN" w:bidi="ar-SA"/>
              </w:rPr>
              <w:t>≈0.</w:t>
            </w:r>
            <w:r>
              <w:rPr>
                <w:rFonts w:hint="eastAsia" w:ascii="Times New Roman" w:hAnsi="Times New Roman" w:cs="Segoe UI"/>
                <w:b/>
                <w:bCs/>
                <w:i w:val="0"/>
                <w:iCs w:val="0"/>
                <w:caps w:val="0"/>
                <w:strike w:val="0"/>
                <w:color w:val="auto"/>
                <w:spacing w:val="0"/>
                <w:kern w:val="0"/>
                <w:sz w:val="21"/>
                <w:szCs w:val="24"/>
                <w:u w:val="none"/>
                <w:lang w:val="en-US" w:eastAsia="zh-CN" w:bidi="ar-SA"/>
              </w:rPr>
              <w:t>35</w:t>
            </w:r>
            <w:r>
              <w:rPr>
                <w:rFonts w:hint="eastAsia" w:ascii="Times New Roman" w:hAnsi="Times New Roman" w:eastAsia="宋体" w:cs="Segoe UI"/>
                <w:b/>
                <w:bCs/>
                <w:i w:val="0"/>
                <w:iCs w:val="0"/>
                <w:caps w:val="0"/>
                <w:strike w:val="0"/>
                <w:color w:val="auto"/>
                <w:spacing w:val="0"/>
                <w:kern w:val="0"/>
                <w:sz w:val="21"/>
                <w:szCs w:val="24"/>
                <w:u w:val="none"/>
                <w:lang w:val="en-US" w:eastAsia="zh-CN" w:bidi="ar-SA"/>
              </w:rPr>
              <w:t>t/a。</w:t>
            </w:r>
          </w:p>
          <w:p w14:paraId="0BCD8233">
            <w:pPr>
              <w:pStyle w:val="44"/>
              <w:keepNext w:val="0"/>
              <w:keepLines w:val="0"/>
              <w:pageBreakBefore w:val="0"/>
              <w:widowControl/>
              <w:numPr>
                <w:ilvl w:val="0"/>
                <w:numId w:val="23"/>
              </w:numPr>
              <w:suppressLineNumbers w:val="0"/>
              <w:kinsoku/>
              <w:wordWrap/>
              <w:overflowPunct/>
              <w:topLinePunct w:val="0"/>
              <w:autoSpaceDE/>
              <w:autoSpaceDN/>
              <w:bidi w:val="0"/>
              <w:snapToGrid/>
              <w:spacing w:before="0" w:beforeAutospacing="0" w:after="0" w:afterAutospacing="0" w:line="360" w:lineRule="auto"/>
              <w:ind w:left="1055" w:leftChars="0" w:right="0" w:hanging="425" w:firstLineChars="0"/>
              <w:jc w:val="both"/>
              <w:textAlignment w:val="auto"/>
              <w:rPr>
                <w:rFonts w:hint="eastAsia" w:ascii="Times New Roman" w:hAnsi="Times New Roman" w:eastAsia="宋体" w:cs="Segoe UI"/>
                <w:i w:val="0"/>
                <w:iCs w:val="0"/>
                <w:caps w:val="0"/>
                <w:color w:val="auto"/>
                <w:spacing w:val="0"/>
                <w:sz w:val="21"/>
                <w:shd w:val="clear" w:fill="FFFFFF"/>
                <w:lang w:val="en-US" w:eastAsia="zh-CN"/>
              </w:rPr>
            </w:pPr>
            <w:r>
              <w:rPr>
                <w:rFonts w:hint="eastAsia" w:ascii="Times New Roman" w:hAnsi="Times New Roman" w:eastAsia="宋体" w:cs="Segoe UI"/>
                <w:i w:val="0"/>
                <w:iCs w:val="0"/>
                <w:caps w:val="0"/>
                <w:color w:val="auto"/>
                <w:spacing w:val="0"/>
                <w:sz w:val="21"/>
                <w:shd w:val="clear" w:fill="FFFFFF"/>
                <w:lang w:val="en-US" w:eastAsia="zh-CN"/>
              </w:rPr>
              <w:t>贴合、压合工序</w:t>
            </w:r>
          </w:p>
          <w:p w14:paraId="4A14E2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eastAsia" w:ascii="Times New Roman" w:hAnsi="Times New Roman" w:eastAsia="宋体" w:cs="Segoe UI"/>
                <w:b/>
                <w:bCs/>
                <w:i w:val="0"/>
                <w:iCs w:val="0"/>
                <w:caps w:val="0"/>
                <w:strike w:val="0"/>
                <w:color w:val="auto"/>
                <w:spacing w:val="0"/>
                <w:kern w:val="0"/>
                <w:sz w:val="21"/>
                <w:szCs w:val="24"/>
                <w:u w:val="none"/>
                <w:lang w:val="en-US" w:eastAsia="zh-CN" w:bidi="ar-SA"/>
              </w:rPr>
            </w:pP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贴合过程中，EVA</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鞋底</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与橡胶</w:t>
            </w:r>
            <w:r>
              <w:rPr>
                <w:rFonts w:hint="eastAsia" w:cs="Segoe UI"/>
                <w:b w:val="0"/>
                <w:i w:val="0"/>
                <w:iCs w:val="0"/>
                <w:caps w:val="0"/>
                <w:strike w:val="0"/>
                <w:color w:val="auto"/>
                <w:spacing w:val="0"/>
                <w:kern w:val="0"/>
                <w:sz w:val="21"/>
                <w:szCs w:val="24"/>
                <w:u w:val="none"/>
                <w:lang w:val="en-US" w:eastAsia="zh-CN" w:bidi="ar-SA"/>
              </w:rPr>
              <w:t>片</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通过压底机加压使两者紧密贴合。由于刷胶后的半成品已经过烘干处理，胶层中的水分和有机溶剂绝大部分已在烘干工序中挥发，贴合及压合固化过程中仅胶层表面残留的极微量有机</w:t>
            </w:r>
            <w:r>
              <w:rPr>
                <w:rFonts w:hint="eastAsia" w:cs="Segoe UI"/>
                <w:b w:val="0"/>
                <w:i w:val="0"/>
                <w:iCs w:val="0"/>
                <w:caps w:val="0"/>
                <w:strike w:val="0"/>
                <w:color w:val="auto"/>
                <w:spacing w:val="0"/>
                <w:kern w:val="0"/>
                <w:sz w:val="21"/>
                <w:szCs w:val="24"/>
                <w:u w:val="none"/>
                <w:lang w:val="en-US" w:eastAsia="zh-CN" w:bidi="ar-SA"/>
              </w:rPr>
              <w:t>废气</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可能继续挥发，产生量极少，本次评价不再进行定量核算，仅作定性分析。</w:t>
            </w:r>
          </w:p>
          <w:p w14:paraId="33ADC102">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Times New Roman" w:hAnsi="Times New Roman" w:eastAsia="宋体" w:cs="Times New Roman"/>
                <w:b/>
                <w:color w:val="auto"/>
                <w:sz w:val="21"/>
                <w:szCs w:val="24"/>
                <w:lang w:val="en-US" w:eastAsia="zh-CN"/>
              </w:rPr>
            </w:pPr>
            <w:r>
              <w:rPr>
                <w:rFonts w:hint="default" w:ascii="Times New Roman" w:hAnsi="Times New Roman" w:eastAsia="宋体" w:cs="Times New Roman"/>
                <w:b/>
                <w:color w:val="auto"/>
                <w:sz w:val="21"/>
                <w:szCs w:val="24"/>
                <w:lang w:val="en-US" w:eastAsia="zh-CN"/>
              </w:rPr>
              <w:t>鞋底制造废气产排污情况统计</w:t>
            </w:r>
          </w:p>
          <w:tbl>
            <w:tblPr>
              <w:tblStyle w:val="49"/>
              <w:tblW w:w="98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2360"/>
              <w:gridCol w:w="4090"/>
              <w:gridCol w:w="2324"/>
            </w:tblGrid>
            <w:tr w14:paraId="4D41C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484" w:type="dxa"/>
                  <w:gridSpan w:val="2"/>
                  <w:vAlign w:val="center"/>
                </w:tcPr>
                <w:p w14:paraId="5AC403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Segoe UI"/>
                      <w:b w:val="0"/>
                      <w:i w:val="0"/>
                      <w:iCs w:val="0"/>
                      <w:caps w:val="0"/>
                      <w:strike w:val="0"/>
                      <w:color w:val="auto"/>
                      <w:spacing w:val="0"/>
                      <w:kern w:val="0"/>
                      <w:sz w:val="21"/>
                      <w:szCs w:val="24"/>
                      <w:u w:val="none"/>
                      <w:vertAlign w:val="baseline"/>
                      <w:lang w:val="en-US" w:eastAsia="zh-CN" w:bidi="ar-SA"/>
                    </w:rPr>
                  </w:pPr>
                  <w:r>
                    <w:rPr>
                      <w:rFonts w:hint="default" w:ascii="Times New Roman" w:hAnsi="Times New Roman" w:eastAsia="宋体" w:cs="var(--dsw-font-markdown-table-h"/>
                      <w:b/>
                      <w:bCs/>
                      <w:color w:val="auto"/>
                      <w:kern w:val="0"/>
                      <w:sz w:val="21"/>
                      <w:szCs w:val="24"/>
                      <w:lang w:val="en-US" w:eastAsia="zh-CN" w:bidi="ar"/>
                    </w:rPr>
                    <w:t>所在工序</w:t>
                  </w:r>
                </w:p>
              </w:tc>
              <w:tc>
                <w:tcPr>
                  <w:tcW w:w="4090" w:type="dxa"/>
                  <w:vAlign w:val="center"/>
                </w:tcPr>
                <w:p w14:paraId="332933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Segoe UI"/>
                      <w:b w:val="0"/>
                      <w:i w:val="0"/>
                      <w:iCs w:val="0"/>
                      <w:caps w:val="0"/>
                      <w:strike w:val="0"/>
                      <w:color w:val="auto"/>
                      <w:spacing w:val="0"/>
                      <w:kern w:val="0"/>
                      <w:sz w:val="21"/>
                      <w:szCs w:val="24"/>
                      <w:u w:val="none"/>
                      <w:vertAlign w:val="baseline"/>
                      <w:lang w:val="en-US" w:eastAsia="zh-CN" w:bidi="ar-SA"/>
                    </w:rPr>
                  </w:pPr>
                  <w:r>
                    <w:rPr>
                      <w:rFonts w:hint="default" w:ascii="Times New Roman" w:hAnsi="Times New Roman" w:eastAsia="宋体" w:cs="var(--dsw-font-markdown-table-h"/>
                      <w:b/>
                      <w:bCs/>
                      <w:color w:val="auto"/>
                      <w:kern w:val="0"/>
                      <w:sz w:val="21"/>
                      <w:szCs w:val="24"/>
                      <w:lang w:val="en-US" w:eastAsia="zh-CN" w:bidi="ar"/>
                    </w:rPr>
                    <w:t>污染物名称</w:t>
                  </w:r>
                </w:p>
              </w:tc>
              <w:tc>
                <w:tcPr>
                  <w:tcW w:w="2324" w:type="dxa"/>
                  <w:vAlign w:val="center"/>
                </w:tcPr>
                <w:p w14:paraId="0448C1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Segoe UI"/>
                      <w:b w:val="0"/>
                      <w:i w:val="0"/>
                      <w:iCs w:val="0"/>
                      <w:caps w:val="0"/>
                      <w:strike w:val="0"/>
                      <w:color w:val="auto"/>
                      <w:spacing w:val="0"/>
                      <w:kern w:val="0"/>
                      <w:sz w:val="21"/>
                      <w:szCs w:val="24"/>
                      <w:u w:val="none"/>
                      <w:vertAlign w:val="baseline"/>
                      <w:lang w:val="en-US" w:eastAsia="zh-CN" w:bidi="ar-SA"/>
                    </w:rPr>
                  </w:pPr>
                  <w:r>
                    <w:rPr>
                      <w:rFonts w:hint="default" w:ascii="Times New Roman" w:hAnsi="Times New Roman" w:eastAsia="宋体" w:cs="var(--dsw-font-markdown-table-h"/>
                      <w:b/>
                      <w:bCs/>
                      <w:color w:val="auto"/>
                      <w:kern w:val="0"/>
                      <w:sz w:val="21"/>
                      <w:szCs w:val="24"/>
                      <w:lang w:val="en-US" w:eastAsia="zh-CN" w:bidi="ar"/>
                    </w:rPr>
                    <w:t>污染物产生量（t/a）</w:t>
                  </w:r>
                </w:p>
              </w:tc>
            </w:tr>
            <w:tr w14:paraId="44F0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4" w:type="dxa"/>
                  <w:vMerge w:val="restart"/>
                  <w:vAlign w:val="center"/>
                </w:tcPr>
                <w:p w14:paraId="56C3A1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Segoe UI"/>
                      <w:b w:val="0"/>
                      <w:i w:val="0"/>
                      <w:iCs w:val="0"/>
                      <w:caps w:val="0"/>
                      <w:strike w:val="0"/>
                      <w:color w:val="auto"/>
                      <w:spacing w:val="0"/>
                      <w:kern w:val="0"/>
                      <w:sz w:val="21"/>
                      <w:szCs w:val="24"/>
                      <w:u w:val="none"/>
                      <w:vertAlign w:val="baseline"/>
                      <w:lang w:val="en-US" w:eastAsia="zh-CN" w:bidi="ar-SA"/>
                    </w:rPr>
                  </w:pPr>
                  <w:r>
                    <w:rPr>
                      <w:rFonts w:hint="default" w:ascii="Times New Roman" w:hAnsi="Times New Roman" w:eastAsia="宋体" w:cs="var(--dsw-font-markdown-table)"/>
                      <w:b/>
                      <w:bCs/>
                      <w:color w:val="auto"/>
                      <w:kern w:val="0"/>
                      <w:sz w:val="21"/>
                      <w:szCs w:val="24"/>
                      <w:lang w:val="en-US" w:eastAsia="zh-CN" w:bidi="ar"/>
                    </w:rPr>
                    <w:t>鞋底制造</w:t>
                  </w:r>
                </w:p>
              </w:tc>
              <w:tc>
                <w:tcPr>
                  <w:tcW w:w="2360" w:type="dxa"/>
                  <w:vAlign w:val="center"/>
                </w:tcPr>
                <w:p w14:paraId="749B26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rPr>
                  </w:pPr>
                  <w:r>
                    <w:rPr>
                      <w:rFonts w:hint="default" w:ascii="Times New Roman" w:hAnsi="Times New Roman" w:eastAsia="宋体" w:cs="var(--dsw-font-markdown-table)"/>
                      <w:color w:val="auto"/>
                      <w:kern w:val="0"/>
                      <w:sz w:val="21"/>
                      <w:szCs w:val="24"/>
                      <w:lang w:val="en-US" w:eastAsia="zh-CN" w:bidi="ar"/>
                    </w:rPr>
                    <w:t>拌料</w:t>
                  </w:r>
                </w:p>
              </w:tc>
              <w:tc>
                <w:tcPr>
                  <w:tcW w:w="4090" w:type="dxa"/>
                  <w:vAlign w:val="center"/>
                </w:tcPr>
                <w:p w14:paraId="33A3FB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Segoe UI"/>
                      <w:b w:val="0"/>
                      <w:i w:val="0"/>
                      <w:iCs w:val="0"/>
                      <w:caps w:val="0"/>
                      <w:strike w:val="0"/>
                      <w:color w:val="auto"/>
                      <w:spacing w:val="0"/>
                      <w:kern w:val="0"/>
                      <w:sz w:val="21"/>
                      <w:szCs w:val="24"/>
                      <w:u w:val="none"/>
                      <w:vertAlign w:val="baseline"/>
                      <w:lang w:val="en-US" w:eastAsia="zh-CN" w:bidi="ar-SA"/>
                    </w:rPr>
                  </w:pPr>
                  <w:r>
                    <w:rPr>
                      <w:rFonts w:hint="default" w:ascii="Times New Roman" w:hAnsi="Times New Roman" w:eastAsia="宋体" w:cs="var(--dsw-font-markdown-table)"/>
                      <w:color w:val="auto"/>
                      <w:kern w:val="0"/>
                      <w:sz w:val="21"/>
                      <w:szCs w:val="24"/>
                      <w:lang w:val="en-US" w:eastAsia="zh-CN" w:bidi="ar"/>
                    </w:rPr>
                    <w:t>颗粒物</w:t>
                  </w:r>
                </w:p>
              </w:tc>
              <w:tc>
                <w:tcPr>
                  <w:tcW w:w="2324" w:type="dxa"/>
                  <w:vAlign w:val="center"/>
                </w:tcPr>
                <w:p w14:paraId="79F72D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kern w:val="0"/>
                      <w:sz w:val="21"/>
                      <w:szCs w:val="24"/>
                      <w:u w:val="none"/>
                      <w:vertAlign w:val="baseline"/>
                      <w:lang w:val="en-US" w:eastAsia="zh-CN" w:bidi="ar-SA"/>
                    </w:rPr>
                  </w:pPr>
                  <w:r>
                    <w:rPr>
                      <w:rFonts w:hint="eastAsia" w:cs="var(--dsw-font-markdown-table)"/>
                      <w:b w:val="0"/>
                      <w:bCs w:val="0"/>
                      <w:color w:val="auto"/>
                      <w:kern w:val="0"/>
                      <w:sz w:val="21"/>
                      <w:szCs w:val="24"/>
                      <w:lang w:val="en-US" w:eastAsia="zh-CN" w:bidi="ar"/>
                    </w:rPr>
                    <w:t>0.34</w:t>
                  </w:r>
                </w:p>
              </w:tc>
            </w:tr>
            <w:tr w14:paraId="671E9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4" w:type="dxa"/>
                  <w:vMerge w:val="continue"/>
                  <w:vAlign w:val="center"/>
                </w:tcPr>
                <w:p w14:paraId="1A7AA1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Segoe UI"/>
                      <w:b w:val="0"/>
                      <w:i w:val="0"/>
                      <w:iCs w:val="0"/>
                      <w:caps w:val="0"/>
                      <w:strike w:val="0"/>
                      <w:color w:val="auto"/>
                      <w:spacing w:val="0"/>
                      <w:kern w:val="0"/>
                      <w:sz w:val="21"/>
                      <w:szCs w:val="24"/>
                      <w:u w:val="none"/>
                      <w:vertAlign w:val="baseline"/>
                      <w:lang w:val="en-US" w:eastAsia="zh-CN" w:bidi="ar-SA"/>
                    </w:rPr>
                  </w:pPr>
                </w:p>
              </w:tc>
              <w:tc>
                <w:tcPr>
                  <w:tcW w:w="2360" w:type="dxa"/>
                  <w:vAlign w:val="center"/>
                </w:tcPr>
                <w:p w14:paraId="722ED4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lang w:val="en-US" w:eastAsia="zh-CN"/>
                    </w:rPr>
                  </w:pPr>
                  <w:r>
                    <w:rPr>
                      <w:rFonts w:hint="eastAsia" w:ascii="Times New Roman" w:hAnsi="Times New Roman" w:eastAsia="宋体"/>
                      <w:color w:val="auto"/>
                      <w:sz w:val="21"/>
                      <w:lang w:val="en-US" w:eastAsia="zh-CN"/>
                    </w:rPr>
                    <w:t>发泡成型</w:t>
                  </w:r>
                </w:p>
              </w:tc>
              <w:tc>
                <w:tcPr>
                  <w:tcW w:w="4090" w:type="dxa"/>
                  <w:vAlign w:val="center"/>
                </w:tcPr>
                <w:p w14:paraId="17E4DF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kern w:val="0"/>
                      <w:sz w:val="21"/>
                      <w:szCs w:val="24"/>
                      <w:u w:val="none"/>
                      <w:vertAlign w:val="baseline"/>
                      <w:lang w:val="en-US" w:eastAsia="zh-CN" w:bidi="ar-SA"/>
                    </w:rPr>
                  </w:pPr>
                  <w:r>
                    <w:rPr>
                      <w:rFonts w:hint="eastAsia" w:ascii="Times New Roman" w:hAnsi="Times New Roman" w:eastAsia="宋体"/>
                      <w:color w:val="auto"/>
                      <w:sz w:val="21"/>
                    </w:rPr>
                    <w:t>挥发性有机物</w:t>
                  </w:r>
                </w:p>
              </w:tc>
              <w:tc>
                <w:tcPr>
                  <w:tcW w:w="2324" w:type="dxa"/>
                  <w:vAlign w:val="center"/>
                </w:tcPr>
                <w:p w14:paraId="705DC6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kern w:val="0"/>
                      <w:sz w:val="21"/>
                      <w:szCs w:val="24"/>
                      <w:u w:val="none"/>
                      <w:vertAlign w:val="baseline"/>
                      <w:lang w:val="en-US" w:eastAsia="zh-CN" w:bidi="ar-SA"/>
                    </w:rPr>
                  </w:pPr>
                  <w:r>
                    <w:rPr>
                      <w:rFonts w:hint="default" w:ascii="Times New Roman" w:hAnsi="Times New Roman" w:eastAsia="宋体" w:cs="var(--dsw-font-markdown-table)"/>
                      <w:b w:val="0"/>
                      <w:bCs w:val="0"/>
                      <w:color w:val="auto"/>
                      <w:kern w:val="0"/>
                      <w:sz w:val="21"/>
                      <w:szCs w:val="24"/>
                      <w:lang w:val="en-US" w:eastAsia="zh-CN" w:bidi="ar"/>
                    </w:rPr>
                    <w:t>0.</w:t>
                  </w:r>
                  <w:r>
                    <w:rPr>
                      <w:rFonts w:hint="eastAsia" w:ascii="Times New Roman" w:hAnsi="Times New Roman" w:eastAsia="宋体" w:cs="var(--dsw-font-markdown-table)"/>
                      <w:b w:val="0"/>
                      <w:bCs w:val="0"/>
                      <w:color w:val="auto"/>
                      <w:kern w:val="0"/>
                      <w:sz w:val="21"/>
                      <w:szCs w:val="24"/>
                      <w:lang w:val="en-US" w:eastAsia="zh-CN" w:bidi="ar"/>
                    </w:rPr>
                    <w:t>28</w:t>
                  </w:r>
                </w:p>
              </w:tc>
            </w:tr>
            <w:tr w14:paraId="04971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4" w:type="dxa"/>
                  <w:vMerge w:val="continue"/>
                  <w:vAlign w:val="center"/>
                </w:tcPr>
                <w:p w14:paraId="3E0E81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Segoe UI"/>
                      <w:b w:val="0"/>
                      <w:i w:val="0"/>
                      <w:iCs w:val="0"/>
                      <w:caps w:val="0"/>
                      <w:strike w:val="0"/>
                      <w:color w:val="auto"/>
                      <w:spacing w:val="0"/>
                      <w:kern w:val="0"/>
                      <w:sz w:val="21"/>
                      <w:szCs w:val="24"/>
                      <w:u w:val="none"/>
                      <w:vertAlign w:val="baseline"/>
                      <w:lang w:val="en-US" w:eastAsia="zh-CN" w:bidi="ar-SA"/>
                    </w:rPr>
                  </w:pPr>
                </w:p>
              </w:tc>
              <w:tc>
                <w:tcPr>
                  <w:tcW w:w="2360" w:type="dxa"/>
                  <w:vAlign w:val="center"/>
                </w:tcPr>
                <w:p w14:paraId="62DB18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rPr>
                  </w:pPr>
                  <w:r>
                    <w:rPr>
                      <w:rFonts w:hint="default" w:ascii="Times New Roman" w:hAnsi="Times New Roman" w:eastAsia="宋体" w:cs="var(--dsw-font-markdown-table)"/>
                      <w:color w:val="auto"/>
                      <w:kern w:val="0"/>
                      <w:sz w:val="21"/>
                      <w:szCs w:val="24"/>
                      <w:lang w:val="en-US" w:eastAsia="zh-CN" w:bidi="ar"/>
                    </w:rPr>
                    <w:t>打粗</w:t>
                  </w:r>
                </w:p>
              </w:tc>
              <w:tc>
                <w:tcPr>
                  <w:tcW w:w="4090" w:type="dxa"/>
                  <w:vAlign w:val="center"/>
                </w:tcPr>
                <w:p w14:paraId="05EEC3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Segoe UI"/>
                      <w:b w:val="0"/>
                      <w:i w:val="0"/>
                      <w:iCs w:val="0"/>
                      <w:caps w:val="0"/>
                      <w:strike w:val="0"/>
                      <w:color w:val="auto"/>
                      <w:spacing w:val="0"/>
                      <w:kern w:val="0"/>
                      <w:sz w:val="21"/>
                      <w:szCs w:val="24"/>
                      <w:u w:val="none"/>
                      <w:vertAlign w:val="baseline"/>
                      <w:lang w:val="en-US" w:eastAsia="zh-CN" w:bidi="ar-SA"/>
                    </w:rPr>
                  </w:pPr>
                  <w:r>
                    <w:rPr>
                      <w:rFonts w:hint="default" w:ascii="Times New Roman" w:hAnsi="Times New Roman" w:eastAsia="宋体" w:cs="var(--dsw-font-markdown-table)"/>
                      <w:color w:val="auto"/>
                      <w:kern w:val="0"/>
                      <w:sz w:val="21"/>
                      <w:szCs w:val="24"/>
                      <w:lang w:val="en-US" w:eastAsia="zh-CN" w:bidi="ar"/>
                    </w:rPr>
                    <w:t>颗粒物</w:t>
                  </w:r>
                </w:p>
              </w:tc>
              <w:tc>
                <w:tcPr>
                  <w:tcW w:w="2324" w:type="dxa"/>
                  <w:vAlign w:val="center"/>
                </w:tcPr>
                <w:p w14:paraId="491D20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kern w:val="0"/>
                      <w:sz w:val="21"/>
                      <w:szCs w:val="24"/>
                      <w:u w:val="none"/>
                      <w:vertAlign w:val="baseline"/>
                      <w:lang w:val="en-US" w:eastAsia="zh-CN" w:bidi="ar-SA"/>
                    </w:rPr>
                  </w:pPr>
                  <w:r>
                    <w:rPr>
                      <w:rFonts w:hint="eastAsia" w:cs="var(--dsw-font-markdown-table)"/>
                      <w:b w:val="0"/>
                      <w:bCs w:val="0"/>
                      <w:color w:val="auto"/>
                      <w:kern w:val="0"/>
                      <w:sz w:val="21"/>
                      <w:szCs w:val="24"/>
                      <w:lang w:val="en-US" w:eastAsia="zh-CN" w:bidi="ar"/>
                    </w:rPr>
                    <w:t>0.63</w:t>
                  </w:r>
                </w:p>
              </w:tc>
            </w:tr>
            <w:tr w14:paraId="785CC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4" w:type="dxa"/>
                  <w:vMerge w:val="continue"/>
                  <w:vAlign w:val="center"/>
                </w:tcPr>
                <w:p w14:paraId="49CD6E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Segoe UI"/>
                      <w:b w:val="0"/>
                      <w:i w:val="0"/>
                      <w:iCs w:val="0"/>
                      <w:caps w:val="0"/>
                      <w:strike w:val="0"/>
                      <w:color w:val="auto"/>
                      <w:spacing w:val="0"/>
                      <w:kern w:val="0"/>
                      <w:sz w:val="21"/>
                      <w:szCs w:val="24"/>
                      <w:u w:val="none"/>
                      <w:vertAlign w:val="baseline"/>
                      <w:lang w:val="en-US" w:eastAsia="zh-CN" w:bidi="ar-SA"/>
                    </w:rPr>
                  </w:pPr>
                </w:p>
              </w:tc>
              <w:tc>
                <w:tcPr>
                  <w:tcW w:w="2360" w:type="dxa"/>
                  <w:vAlign w:val="center"/>
                </w:tcPr>
                <w:p w14:paraId="244204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lang w:val="en-US"/>
                    </w:rPr>
                  </w:pPr>
                  <w:r>
                    <w:rPr>
                      <w:rFonts w:hint="default" w:ascii="Times New Roman" w:hAnsi="Times New Roman" w:eastAsia="宋体" w:cs="var(--dsw-font-markdown-table)"/>
                      <w:color w:val="auto"/>
                      <w:kern w:val="0"/>
                      <w:sz w:val="21"/>
                      <w:szCs w:val="24"/>
                      <w:lang w:val="en-US" w:eastAsia="zh-CN" w:bidi="ar"/>
                    </w:rPr>
                    <w:t>刷处理剂</w:t>
                  </w:r>
                  <w:r>
                    <w:rPr>
                      <w:rFonts w:hint="eastAsia" w:cs="var(--dsw-font-markdown-table)"/>
                      <w:color w:val="auto"/>
                      <w:kern w:val="0"/>
                      <w:sz w:val="21"/>
                      <w:szCs w:val="24"/>
                      <w:lang w:val="en-US" w:eastAsia="zh-CN" w:bidi="ar"/>
                    </w:rPr>
                    <w:t>、清洁、刷胶</w:t>
                  </w:r>
                </w:p>
              </w:tc>
              <w:tc>
                <w:tcPr>
                  <w:tcW w:w="4090" w:type="dxa"/>
                  <w:vAlign w:val="center"/>
                </w:tcPr>
                <w:p w14:paraId="679304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Segoe UI"/>
                      <w:b w:val="0"/>
                      <w:i w:val="0"/>
                      <w:iCs w:val="0"/>
                      <w:caps w:val="0"/>
                      <w:strike w:val="0"/>
                      <w:color w:val="auto"/>
                      <w:spacing w:val="0"/>
                      <w:kern w:val="0"/>
                      <w:sz w:val="21"/>
                      <w:szCs w:val="24"/>
                      <w:u w:val="none"/>
                      <w:vertAlign w:val="baseline"/>
                      <w:lang w:val="en-US" w:eastAsia="zh-CN" w:bidi="ar-SA"/>
                    </w:rPr>
                  </w:pPr>
                  <w:r>
                    <w:rPr>
                      <w:rFonts w:hint="eastAsia" w:ascii="Times New Roman" w:hAnsi="Times New Roman" w:eastAsia="宋体"/>
                      <w:color w:val="auto"/>
                      <w:sz w:val="21"/>
                    </w:rPr>
                    <w:t>挥发性有机物</w:t>
                  </w:r>
                </w:p>
              </w:tc>
              <w:tc>
                <w:tcPr>
                  <w:tcW w:w="2324" w:type="dxa"/>
                  <w:vAlign w:val="center"/>
                </w:tcPr>
                <w:p w14:paraId="0203CB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kern w:val="0"/>
                      <w:sz w:val="21"/>
                      <w:szCs w:val="24"/>
                      <w:u w:val="none"/>
                      <w:vertAlign w:val="baseline"/>
                      <w:lang w:val="en-US" w:eastAsia="zh-CN" w:bidi="ar-SA"/>
                    </w:rPr>
                  </w:pPr>
                  <w:r>
                    <w:rPr>
                      <w:rFonts w:hint="eastAsia" w:cs="Segoe UI"/>
                      <w:b w:val="0"/>
                      <w:bCs w:val="0"/>
                      <w:i w:val="0"/>
                      <w:iCs w:val="0"/>
                      <w:caps w:val="0"/>
                      <w:strike w:val="0"/>
                      <w:color w:val="auto"/>
                      <w:spacing w:val="0"/>
                      <w:kern w:val="0"/>
                      <w:sz w:val="21"/>
                      <w:szCs w:val="24"/>
                      <w:u w:val="none"/>
                      <w:lang w:val="en-US" w:eastAsia="zh-CN" w:bidi="ar-SA"/>
                    </w:rPr>
                    <w:t>0.35</w:t>
                  </w:r>
                </w:p>
              </w:tc>
            </w:tr>
            <w:tr w14:paraId="5CEAA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4" w:type="dxa"/>
                  <w:vMerge w:val="continue"/>
                  <w:vAlign w:val="center"/>
                </w:tcPr>
                <w:p w14:paraId="796B74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Segoe UI"/>
                      <w:b w:val="0"/>
                      <w:i w:val="0"/>
                      <w:iCs w:val="0"/>
                      <w:caps w:val="0"/>
                      <w:strike w:val="0"/>
                      <w:color w:val="auto"/>
                      <w:spacing w:val="0"/>
                      <w:kern w:val="0"/>
                      <w:sz w:val="21"/>
                      <w:szCs w:val="24"/>
                      <w:u w:val="none"/>
                      <w:vertAlign w:val="baseline"/>
                      <w:lang w:val="en-US" w:eastAsia="zh-CN" w:bidi="ar-SA"/>
                    </w:rPr>
                  </w:pPr>
                </w:p>
              </w:tc>
              <w:tc>
                <w:tcPr>
                  <w:tcW w:w="2360" w:type="dxa"/>
                  <w:vAlign w:val="center"/>
                </w:tcPr>
                <w:p w14:paraId="1597DC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olor w:val="auto"/>
                      <w:sz w:val="21"/>
                      <w:lang w:val="en-US"/>
                    </w:rPr>
                  </w:pPr>
                  <w:r>
                    <w:rPr>
                      <w:rFonts w:hint="default" w:ascii="Times New Roman" w:hAnsi="Times New Roman" w:eastAsia="宋体" w:cs="var(--dsw-font-markdown-table)"/>
                      <w:color w:val="auto"/>
                      <w:kern w:val="0"/>
                      <w:sz w:val="21"/>
                      <w:szCs w:val="24"/>
                      <w:lang w:val="en-US" w:eastAsia="zh-CN" w:bidi="ar"/>
                    </w:rPr>
                    <w:t>贴合</w:t>
                  </w:r>
                  <w:r>
                    <w:rPr>
                      <w:rFonts w:hint="eastAsia" w:cs="var(--dsw-font-markdown-table)"/>
                      <w:color w:val="auto"/>
                      <w:kern w:val="0"/>
                      <w:sz w:val="21"/>
                      <w:szCs w:val="24"/>
                      <w:lang w:val="en-US" w:eastAsia="zh-CN" w:bidi="ar"/>
                    </w:rPr>
                    <w:t>、压合</w:t>
                  </w:r>
                </w:p>
              </w:tc>
              <w:tc>
                <w:tcPr>
                  <w:tcW w:w="4090" w:type="dxa"/>
                  <w:vAlign w:val="center"/>
                </w:tcPr>
                <w:p w14:paraId="3DCD31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Segoe UI"/>
                      <w:b w:val="0"/>
                      <w:i w:val="0"/>
                      <w:iCs w:val="0"/>
                      <w:caps w:val="0"/>
                      <w:strike w:val="0"/>
                      <w:color w:val="auto"/>
                      <w:spacing w:val="0"/>
                      <w:kern w:val="0"/>
                      <w:sz w:val="21"/>
                      <w:szCs w:val="24"/>
                      <w:u w:val="none"/>
                      <w:vertAlign w:val="baseline"/>
                      <w:lang w:val="en-US" w:eastAsia="zh-CN" w:bidi="ar-SA"/>
                    </w:rPr>
                  </w:pPr>
                  <w:r>
                    <w:rPr>
                      <w:rFonts w:hint="eastAsia" w:ascii="Times New Roman" w:hAnsi="Times New Roman" w:eastAsia="宋体"/>
                      <w:color w:val="auto"/>
                      <w:sz w:val="21"/>
                    </w:rPr>
                    <w:t>挥发性有机物</w:t>
                  </w:r>
                </w:p>
              </w:tc>
              <w:tc>
                <w:tcPr>
                  <w:tcW w:w="2324" w:type="dxa"/>
                  <w:vAlign w:val="center"/>
                </w:tcPr>
                <w:p w14:paraId="4ECD18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Segoe UI"/>
                      <w:b w:val="0"/>
                      <w:bCs w:val="0"/>
                      <w:i w:val="0"/>
                      <w:iCs w:val="0"/>
                      <w:caps w:val="0"/>
                      <w:strike w:val="0"/>
                      <w:color w:val="auto"/>
                      <w:spacing w:val="0"/>
                      <w:kern w:val="0"/>
                      <w:sz w:val="21"/>
                      <w:szCs w:val="24"/>
                      <w:u w:val="none"/>
                      <w:vertAlign w:val="baseline"/>
                      <w:lang w:val="en-US" w:eastAsia="zh-CN" w:bidi="ar-SA"/>
                    </w:rPr>
                  </w:pPr>
                  <w:r>
                    <w:rPr>
                      <w:rFonts w:hint="default" w:ascii="Times New Roman" w:hAnsi="Times New Roman" w:eastAsia="宋体" w:cs="var(--dsw-font-markdown-table)"/>
                      <w:b w:val="0"/>
                      <w:bCs w:val="0"/>
                      <w:color w:val="auto"/>
                      <w:kern w:val="0"/>
                      <w:sz w:val="21"/>
                      <w:szCs w:val="24"/>
                      <w:lang w:val="en-US" w:eastAsia="zh-CN" w:bidi="ar"/>
                    </w:rPr>
                    <w:t>少量</w:t>
                  </w:r>
                </w:p>
              </w:tc>
            </w:tr>
            <w:tr w14:paraId="6F8D0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484" w:type="dxa"/>
                  <w:gridSpan w:val="2"/>
                  <w:vMerge w:val="restart"/>
                  <w:vAlign w:val="center"/>
                </w:tcPr>
                <w:p w14:paraId="083AB0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Segoe UI"/>
                      <w:b w:val="0"/>
                      <w:i w:val="0"/>
                      <w:iCs w:val="0"/>
                      <w:caps w:val="0"/>
                      <w:strike w:val="0"/>
                      <w:color w:val="auto"/>
                      <w:spacing w:val="0"/>
                      <w:kern w:val="0"/>
                      <w:sz w:val="21"/>
                      <w:szCs w:val="24"/>
                      <w:u w:val="none"/>
                      <w:vertAlign w:val="baseline"/>
                      <w:lang w:val="en-US" w:eastAsia="zh-CN" w:bidi="ar-SA"/>
                    </w:rPr>
                  </w:pPr>
                  <w:r>
                    <w:rPr>
                      <w:rFonts w:hint="default" w:ascii="Times New Roman" w:hAnsi="Times New Roman" w:eastAsia="宋体" w:cs="var(--dsw-font-markdown-table)"/>
                      <w:b/>
                      <w:bCs/>
                      <w:color w:val="auto"/>
                      <w:kern w:val="0"/>
                      <w:sz w:val="21"/>
                      <w:szCs w:val="24"/>
                      <w:lang w:val="en-US" w:eastAsia="zh-CN" w:bidi="ar"/>
                    </w:rPr>
                    <w:t>鞋底制造总计</w:t>
                  </w:r>
                </w:p>
              </w:tc>
              <w:tc>
                <w:tcPr>
                  <w:tcW w:w="4090" w:type="dxa"/>
                  <w:vAlign w:val="center"/>
                </w:tcPr>
                <w:p w14:paraId="111ECF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Segoe UI"/>
                      <w:b w:val="0"/>
                      <w:bCs w:val="0"/>
                      <w:i w:val="0"/>
                      <w:iCs w:val="0"/>
                      <w:caps w:val="0"/>
                      <w:strike w:val="0"/>
                      <w:color w:val="auto"/>
                      <w:spacing w:val="0"/>
                      <w:kern w:val="0"/>
                      <w:sz w:val="21"/>
                      <w:szCs w:val="24"/>
                      <w:u w:val="none"/>
                      <w:vertAlign w:val="baseline"/>
                      <w:lang w:val="en-US" w:eastAsia="zh-CN" w:bidi="ar-SA"/>
                    </w:rPr>
                  </w:pPr>
                  <w:r>
                    <w:rPr>
                      <w:rFonts w:hint="default" w:ascii="Times New Roman" w:hAnsi="Times New Roman" w:eastAsia="宋体" w:cs="var(--dsw-font-markdown-table)"/>
                      <w:b w:val="0"/>
                      <w:bCs w:val="0"/>
                      <w:color w:val="auto"/>
                      <w:kern w:val="0"/>
                      <w:sz w:val="21"/>
                      <w:szCs w:val="24"/>
                      <w:lang w:val="en-US" w:eastAsia="zh-CN" w:bidi="ar"/>
                    </w:rPr>
                    <w:t>颗粒物</w:t>
                  </w:r>
                </w:p>
              </w:tc>
              <w:tc>
                <w:tcPr>
                  <w:tcW w:w="2324" w:type="dxa"/>
                  <w:vAlign w:val="center"/>
                </w:tcPr>
                <w:p w14:paraId="3AD587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bCs w:val="0"/>
                      <w:i w:val="0"/>
                      <w:iCs w:val="0"/>
                      <w:caps w:val="0"/>
                      <w:strike w:val="0"/>
                      <w:color w:val="auto"/>
                      <w:spacing w:val="0"/>
                      <w:kern w:val="0"/>
                      <w:sz w:val="21"/>
                      <w:szCs w:val="24"/>
                      <w:u w:val="none"/>
                      <w:vertAlign w:val="baseline"/>
                      <w:lang w:val="en-US" w:eastAsia="zh-CN" w:bidi="ar-SA"/>
                    </w:rPr>
                  </w:pPr>
                  <w:r>
                    <w:rPr>
                      <w:rFonts w:hint="eastAsia" w:cs="Times New Roman"/>
                      <w:i w:val="0"/>
                      <w:iCs w:val="0"/>
                      <w:color w:val="auto"/>
                      <w:kern w:val="0"/>
                      <w:sz w:val="21"/>
                      <w:szCs w:val="21"/>
                      <w:u w:val="none"/>
                      <w:lang w:val="en-US" w:eastAsia="zh-CN" w:bidi="ar"/>
                    </w:rPr>
                    <w:t>0.97</w:t>
                  </w:r>
                </w:p>
              </w:tc>
            </w:tr>
            <w:tr w14:paraId="10C10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3484" w:type="dxa"/>
                  <w:gridSpan w:val="2"/>
                  <w:vMerge w:val="continue"/>
                  <w:vAlign w:val="center"/>
                </w:tcPr>
                <w:p w14:paraId="0DFD56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Segoe UI"/>
                      <w:b w:val="0"/>
                      <w:i w:val="0"/>
                      <w:iCs w:val="0"/>
                      <w:caps w:val="0"/>
                      <w:strike w:val="0"/>
                      <w:color w:val="auto"/>
                      <w:spacing w:val="0"/>
                      <w:kern w:val="0"/>
                      <w:sz w:val="21"/>
                      <w:szCs w:val="24"/>
                      <w:u w:val="none"/>
                      <w:vertAlign w:val="baseline"/>
                      <w:lang w:val="en-US" w:eastAsia="zh-CN" w:bidi="ar-SA"/>
                    </w:rPr>
                  </w:pPr>
                </w:p>
              </w:tc>
              <w:tc>
                <w:tcPr>
                  <w:tcW w:w="4090" w:type="dxa"/>
                  <w:vAlign w:val="center"/>
                </w:tcPr>
                <w:p w14:paraId="2A325B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Segoe UI"/>
                      <w:b w:val="0"/>
                      <w:bCs w:val="0"/>
                      <w:i w:val="0"/>
                      <w:iCs w:val="0"/>
                      <w:caps w:val="0"/>
                      <w:strike w:val="0"/>
                      <w:color w:val="auto"/>
                      <w:spacing w:val="0"/>
                      <w:kern w:val="0"/>
                      <w:sz w:val="21"/>
                      <w:szCs w:val="24"/>
                      <w:u w:val="none"/>
                      <w:vertAlign w:val="baseline"/>
                      <w:lang w:val="en-US" w:eastAsia="zh-CN" w:bidi="ar-SA"/>
                    </w:rPr>
                  </w:pPr>
                  <w:r>
                    <w:rPr>
                      <w:rFonts w:hint="default" w:ascii="Times New Roman" w:hAnsi="Times New Roman" w:eastAsia="宋体" w:cs="var(--dsw-font-markdown-table)"/>
                      <w:b w:val="0"/>
                      <w:bCs w:val="0"/>
                      <w:color w:val="auto"/>
                      <w:kern w:val="0"/>
                      <w:sz w:val="21"/>
                      <w:szCs w:val="24"/>
                      <w:lang w:val="en-US" w:eastAsia="zh-CN" w:bidi="ar"/>
                    </w:rPr>
                    <w:t>挥发性有机物</w:t>
                  </w:r>
                </w:p>
              </w:tc>
              <w:tc>
                <w:tcPr>
                  <w:tcW w:w="2324" w:type="dxa"/>
                  <w:vAlign w:val="center"/>
                </w:tcPr>
                <w:p w14:paraId="6DF4EAF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bCs w:val="0"/>
                      <w:i w:val="0"/>
                      <w:iCs w:val="0"/>
                      <w:caps w:val="0"/>
                      <w:strike w:val="0"/>
                      <w:color w:val="auto"/>
                      <w:spacing w:val="0"/>
                      <w:kern w:val="0"/>
                      <w:sz w:val="21"/>
                      <w:szCs w:val="24"/>
                      <w:u w:val="none"/>
                      <w:vertAlign w:val="baseline"/>
                      <w:lang w:val="en-US" w:eastAsia="zh-CN" w:bidi="ar-SA"/>
                    </w:rPr>
                  </w:pPr>
                  <w:r>
                    <w:rPr>
                      <w:rFonts w:hint="eastAsia" w:cs="Times New Roman"/>
                      <w:i w:val="0"/>
                      <w:iCs w:val="0"/>
                      <w:color w:val="auto"/>
                      <w:kern w:val="0"/>
                      <w:sz w:val="21"/>
                      <w:szCs w:val="21"/>
                      <w:u w:val="none"/>
                      <w:lang w:val="en-US" w:eastAsia="zh-CN" w:bidi="ar"/>
                    </w:rPr>
                    <w:t>0.63</w:t>
                  </w:r>
                </w:p>
              </w:tc>
            </w:tr>
          </w:tbl>
          <w:p w14:paraId="7FA2E63A">
            <w:pPr>
              <w:pStyle w:val="4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KaTeX_Math"/>
                <w:i w:val="0"/>
                <w:iCs/>
                <w:caps w:val="0"/>
                <w:color w:val="auto"/>
                <w:spacing w:val="0"/>
                <w:sz w:val="21"/>
                <w:szCs w:val="25"/>
                <w:shd w:val="clear" w:fill="FFFFFF"/>
                <w:lang w:val="en-US" w:eastAsia="zh-CN"/>
              </w:rPr>
            </w:pPr>
            <w:r>
              <w:rPr>
                <w:rFonts w:hint="default" w:ascii="Times New Roman" w:hAnsi="Times New Roman" w:eastAsia="宋体" w:cs="KaTeX_Math"/>
                <w:i w:val="0"/>
                <w:iCs/>
                <w:caps w:val="0"/>
                <w:color w:val="auto"/>
                <w:spacing w:val="0"/>
                <w:sz w:val="21"/>
                <w:szCs w:val="25"/>
                <w:shd w:val="clear" w:fill="FFFFFF"/>
                <w:lang w:val="en-US" w:eastAsia="zh-CN"/>
              </w:rPr>
              <w:t>拌料、发泡、打粗</w:t>
            </w:r>
            <w:r>
              <w:rPr>
                <w:rFonts w:hint="eastAsia" w:ascii="Times New Roman" w:hAnsi="Times New Roman" w:eastAsia="宋体" w:cs="KaTeX_Math"/>
                <w:i w:val="0"/>
                <w:iCs/>
                <w:caps w:val="0"/>
                <w:color w:val="auto"/>
                <w:spacing w:val="0"/>
                <w:sz w:val="21"/>
                <w:szCs w:val="25"/>
                <w:shd w:val="clear" w:fill="FFFFFF"/>
                <w:lang w:val="en-US" w:eastAsia="zh-CN"/>
              </w:rPr>
              <w:t>、</w:t>
            </w:r>
            <w:r>
              <w:rPr>
                <w:rFonts w:hint="default" w:ascii="Times New Roman" w:hAnsi="Times New Roman" w:eastAsia="宋体" w:cs="KaTeX_Math"/>
                <w:i w:val="0"/>
                <w:iCs/>
                <w:caps w:val="0"/>
                <w:color w:val="auto"/>
                <w:spacing w:val="0"/>
                <w:sz w:val="21"/>
                <w:szCs w:val="25"/>
                <w:shd w:val="clear" w:fill="FFFFFF"/>
                <w:lang w:val="en-US" w:eastAsia="zh-CN"/>
              </w:rPr>
              <w:t>刷处理剂、</w:t>
            </w:r>
            <w:r>
              <w:rPr>
                <w:rFonts w:hint="eastAsia" w:ascii="Times New Roman" w:hAnsi="Times New Roman" w:eastAsia="宋体" w:cs="KaTeX_Math"/>
                <w:i w:val="0"/>
                <w:iCs/>
                <w:caps w:val="0"/>
                <w:color w:val="auto"/>
                <w:spacing w:val="0"/>
                <w:sz w:val="21"/>
                <w:szCs w:val="25"/>
                <w:shd w:val="clear" w:fill="FFFFFF"/>
                <w:lang w:val="en-US" w:eastAsia="zh-CN"/>
              </w:rPr>
              <w:t>清洁、</w:t>
            </w:r>
            <w:r>
              <w:rPr>
                <w:rFonts w:hint="default" w:ascii="Times New Roman" w:hAnsi="Times New Roman" w:eastAsia="宋体" w:cs="KaTeX_Math"/>
                <w:i w:val="0"/>
                <w:iCs/>
                <w:caps w:val="0"/>
                <w:color w:val="auto"/>
                <w:spacing w:val="0"/>
                <w:sz w:val="21"/>
                <w:szCs w:val="25"/>
                <w:shd w:val="clear" w:fill="FFFFFF"/>
                <w:lang w:val="en-US" w:eastAsia="zh-CN"/>
              </w:rPr>
              <w:t>刷胶</w:t>
            </w:r>
            <w:r>
              <w:rPr>
                <w:rFonts w:hint="eastAsia" w:ascii="Times New Roman" w:hAnsi="Times New Roman" w:eastAsia="宋体" w:cs="KaTeX_Math"/>
                <w:i w:val="0"/>
                <w:iCs/>
                <w:caps w:val="0"/>
                <w:color w:val="auto"/>
                <w:spacing w:val="0"/>
                <w:sz w:val="21"/>
                <w:szCs w:val="25"/>
                <w:shd w:val="clear" w:fill="FFFFFF"/>
                <w:lang w:val="en-US" w:eastAsia="zh-CN"/>
              </w:rPr>
              <w:t>及烘干</w:t>
            </w:r>
            <w:r>
              <w:rPr>
                <w:rFonts w:hint="default" w:ascii="Times New Roman" w:hAnsi="Times New Roman" w:eastAsia="宋体" w:cs="KaTeX_Math"/>
                <w:i w:val="0"/>
                <w:iCs/>
                <w:caps w:val="0"/>
                <w:color w:val="auto"/>
                <w:spacing w:val="0"/>
                <w:sz w:val="21"/>
                <w:szCs w:val="25"/>
                <w:shd w:val="clear" w:fill="FFFFFF"/>
                <w:lang w:val="en-US" w:eastAsia="zh-CN"/>
              </w:rPr>
              <w:t>工序废气通过在各工位设置外部集气罩进行收集。参考《广东省工业源挥发性有机物减排量核算方法（2023年修订版）》中表3.3</w:t>
            </w:r>
            <w:r>
              <w:rPr>
                <w:rFonts w:hint="eastAsia" w:ascii="Times New Roman" w:hAnsi="Times New Roman" w:eastAsia="宋体" w:cs="KaTeX_Math"/>
                <w:i w:val="0"/>
                <w:iCs/>
                <w:caps w:val="0"/>
                <w:color w:val="auto"/>
                <w:spacing w:val="0"/>
                <w:sz w:val="21"/>
                <w:szCs w:val="25"/>
                <w:shd w:val="clear" w:fill="FFFFFF"/>
                <w:lang w:val="en-US" w:eastAsia="zh-CN"/>
              </w:rPr>
              <w:t xml:space="preserve"> </w:t>
            </w:r>
            <w:r>
              <w:rPr>
                <w:rFonts w:hint="default" w:ascii="Times New Roman" w:hAnsi="Times New Roman" w:eastAsia="宋体" w:cs="KaTeX_Math"/>
                <w:i w:val="0"/>
                <w:iCs/>
                <w:caps w:val="0"/>
                <w:color w:val="auto"/>
                <w:spacing w:val="0"/>
                <w:sz w:val="21"/>
                <w:szCs w:val="25"/>
                <w:shd w:val="clear" w:fill="FFFFFF"/>
                <w:lang w:val="en-US" w:eastAsia="zh-CN"/>
              </w:rPr>
              <w:t>2外部集气罩，相应工位所有VOCs逸散点控制风速不小于0.3m/s，收集效率可达30%。贴合工序废气产生量极少，本次评价仅作定性分析，通过加强车间通风换气，无组织排放。</w:t>
            </w:r>
          </w:p>
          <w:p w14:paraId="25CB3C1F">
            <w:pPr>
              <w:pStyle w:val="4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KaTeX_Math"/>
                <w:i w:val="0"/>
                <w:iCs/>
                <w:caps w:val="0"/>
                <w:color w:val="auto"/>
                <w:spacing w:val="0"/>
                <w:sz w:val="21"/>
                <w:szCs w:val="25"/>
                <w:shd w:val="clear" w:fill="FFFFFF"/>
                <w:lang w:val="en-US" w:eastAsia="zh-CN"/>
              </w:rPr>
            </w:pPr>
            <w:r>
              <w:rPr>
                <w:rFonts w:hint="default" w:ascii="Times New Roman" w:hAnsi="Times New Roman" w:eastAsia="宋体" w:cs="KaTeX_Math"/>
                <w:i w:val="0"/>
                <w:iCs/>
                <w:caps w:val="0"/>
                <w:color w:val="auto"/>
                <w:spacing w:val="0"/>
                <w:sz w:val="21"/>
                <w:szCs w:val="25"/>
                <w:shd w:val="clear" w:fill="FFFFFF"/>
                <w:lang w:val="en-US" w:eastAsia="zh-CN"/>
              </w:rPr>
              <w:t xml:space="preserve">依据《三废处理工程技术手册-废气卷》中有关公式： </w:t>
            </w:r>
          </w:p>
          <w:p w14:paraId="05C90EE4">
            <w:pPr>
              <w:pStyle w:val="4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center"/>
              <w:textAlignment w:val="auto"/>
              <w:rPr>
                <w:rFonts w:hint="default" w:ascii="Times New Roman" w:hAnsi="Times New Roman" w:eastAsia="宋体" w:cs="KaTeX_Math"/>
                <w:i w:val="0"/>
                <w:iCs/>
                <w:caps w:val="0"/>
                <w:color w:val="auto"/>
                <w:spacing w:val="0"/>
                <w:sz w:val="21"/>
                <w:szCs w:val="25"/>
                <w:shd w:val="clear" w:fill="FFFFFF"/>
                <w:lang w:val="en-US" w:eastAsia="zh-CN"/>
              </w:rPr>
            </w:pPr>
            <w:r>
              <w:rPr>
                <w:rFonts w:hint="default" w:ascii="Times New Roman" w:hAnsi="Times New Roman" w:eastAsia="宋体" w:cs="KaTeX_Math"/>
                <w:i w:val="0"/>
                <w:iCs/>
                <w:caps w:val="0"/>
                <w:color w:val="auto"/>
                <w:spacing w:val="0"/>
                <w:sz w:val="21"/>
                <w:szCs w:val="25"/>
                <w:shd w:val="clear" w:fill="FFFFFF"/>
                <w:lang w:val="en-US" w:eastAsia="zh-CN"/>
              </w:rPr>
              <w:t>Q=0.75（10×X2+A）×Vx</w:t>
            </w:r>
          </w:p>
          <w:p w14:paraId="6B0258C8">
            <w:pPr>
              <w:pStyle w:val="4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KaTeX_Math"/>
                <w:i w:val="0"/>
                <w:iCs/>
                <w:caps w:val="0"/>
                <w:color w:val="auto"/>
                <w:spacing w:val="0"/>
                <w:sz w:val="21"/>
                <w:szCs w:val="25"/>
                <w:shd w:val="clear" w:fill="FFFFFF"/>
                <w:lang w:val="en-US" w:eastAsia="zh-CN"/>
              </w:rPr>
            </w:pPr>
            <w:r>
              <w:rPr>
                <w:rFonts w:hint="default" w:ascii="Times New Roman" w:hAnsi="Times New Roman" w:eastAsia="宋体" w:cs="KaTeX_Math"/>
                <w:i w:val="0"/>
                <w:iCs/>
                <w:caps w:val="0"/>
                <w:color w:val="auto"/>
                <w:spacing w:val="0"/>
                <w:sz w:val="21"/>
                <w:szCs w:val="25"/>
                <w:shd w:val="clear" w:fill="FFFFFF"/>
                <w:lang w:val="en-US" w:eastAsia="zh-CN"/>
              </w:rPr>
              <w:t>Q：集气罩排风量m</w:t>
            </w:r>
            <w:r>
              <w:rPr>
                <w:rFonts w:hint="default" w:ascii="Times New Roman" w:hAnsi="Times New Roman" w:eastAsia="宋体" w:cs="KaTeX_Math"/>
                <w:i w:val="0"/>
                <w:iCs/>
                <w:caps w:val="0"/>
                <w:color w:val="auto"/>
                <w:spacing w:val="0"/>
                <w:sz w:val="21"/>
                <w:szCs w:val="25"/>
                <w:shd w:val="clear" w:fill="FFFFFF"/>
                <w:vertAlign w:val="superscript"/>
                <w:lang w:val="en-US" w:eastAsia="zh-CN"/>
              </w:rPr>
              <w:t>3</w:t>
            </w:r>
            <w:r>
              <w:rPr>
                <w:rFonts w:hint="default" w:ascii="Times New Roman" w:hAnsi="Times New Roman" w:eastAsia="宋体" w:cs="KaTeX_Math"/>
                <w:i w:val="0"/>
                <w:iCs/>
                <w:caps w:val="0"/>
                <w:color w:val="auto"/>
                <w:spacing w:val="0"/>
                <w:sz w:val="21"/>
                <w:szCs w:val="25"/>
                <w:shd w:val="clear" w:fill="FFFFFF"/>
                <w:lang w:val="en-US" w:eastAsia="zh-CN"/>
              </w:rPr>
              <w:t>/s；</w:t>
            </w:r>
          </w:p>
          <w:p w14:paraId="534ABCF2">
            <w:pPr>
              <w:pStyle w:val="4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KaTeX_Math"/>
                <w:i w:val="0"/>
                <w:iCs/>
                <w:caps w:val="0"/>
                <w:color w:val="auto"/>
                <w:spacing w:val="0"/>
                <w:sz w:val="21"/>
                <w:szCs w:val="25"/>
                <w:shd w:val="clear" w:fill="FFFFFF"/>
                <w:lang w:val="en-US" w:eastAsia="zh-CN"/>
              </w:rPr>
            </w:pPr>
            <w:r>
              <w:rPr>
                <w:rFonts w:hint="default" w:ascii="Times New Roman" w:hAnsi="Times New Roman" w:eastAsia="宋体" w:cs="KaTeX_Math"/>
                <w:i w:val="0"/>
                <w:iCs/>
                <w:caps w:val="0"/>
                <w:color w:val="auto"/>
                <w:spacing w:val="0"/>
                <w:sz w:val="21"/>
                <w:szCs w:val="25"/>
                <w:shd w:val="clear" w:fill="FFFFFF"/>
                <w:lang w:val="en-US" w:eastAsia="zh-CN"/>
              </w:rPr>
              <w:t>X：污染物产生点至罩口的距离，m，项目取</w:t>
            </w:r>
            <w:r>
              <w:rPr>
                <w:rFonts w:hint="eastAsia" w:ascii="Times New Roman" w:hAnsi="Times New Roman" w:eastAsia="宋体" w:cs="KaTeX_Math"/>
                <w:i w:val="0"/>
                <w:iCs/>
                <w:caps w:val="0"/>
                <w:color w:val="auto"/>
                <w:spacing w:val="0"/>
                <w:sz w:val="21"/>
                <w:szCs w:val="25"/>
                <w:shd w:val="clear" w:fill="FFFFFF"/>
                <w:lang w:val="en-US" w:eastAsia="zh-CN"/>
              </w:rPr>
              <w:t>0.36</w:t>
            </w:r>
            <w:r>
              <w:rPr>
                <w:rFonts w:hint="default" w:ascii="Times New Roman" w:hAnsi="Times New Roman" w:eastAsia="宋体" w:cs="KaTeX_Math"/>
                <w:i w:val="0"/>
                <w:iCs/>
                <w:caps w:val="0"/>
                <w:color w:val="auto"/>
                <w:spacing w:val="0"/>
                <w:sz w:val="21"/>
                <w:szCs w:val="25"/>
                <w:shd w:val="clear" w:fill="FFFFFF"/>
                <w:lang w:val="en-US" w:eastAsia="zh-CN"/>
              </w:rPr>
              <w:t>m；</w:t>
            </w:r>
          </w:p>
          <w:p w14:paraId="1299F1EC">
            <w:pPr>
              <w:pStyle w:val="4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KaTeX_Math"/>
                <w:i w:val="0"/>
                <w:iCs/>
                <w:caps w:val="0"/>
                <w:color w:val="auto"/>
                <w:spacing w:val="0"/>
                <w:sz w:val="21"/>
                <w:szCs w:val="25"/>
                <w:shd w:val="clear" w:fill="FFFFFF"/>
                <w:lang w:val="en-US" w:eastAsia="zh-CN"/>
              </w:rPr>
            </w:pPr>
            <w:r>
              <w:rPr>
                <w:rFonts w:hint="default" w:ascii="Times New Roman" w:hAnsi="Times New Roman" w:eastAsia="宋体" w:cs="KaTeX_Math"/>
                <w:i w:val="0"/>
                <w:iCs/>
                <w:caps w:val="0"/>
                <w:color w:val="auto"/>
                <w:spacing w:val="0"/>
                <w:sz w:val="21"/>
                <w:szCs w:val="25"/>
                <w:shd w:val="clear" w:fill="FFFFFF"/>
                <w:lang w:val="en-US" w:eastAsia="zh-CN"/>
              </w:rPr>
              <w:t>A：罩口面积，㎡；</w:t>
            </w:r>
          </w:p>
          <w:p w14:paraId="51DC92B6">
            <w:pPr>
              <w:pStyle w:val="4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KaTeX_Math"/>
                <w:i w:val="0"/>
                <w:iCs/>
                <w:caps w:val="0"/>
                <w:color w:val="auto"/>
                <w:spacing w:val="0"/>
                <w:sz w:val="21"/>
                <w:szCs w:val="25"/>
                <w:shd w:val="clear" w:fill="FFFFFF"/>
                <w:lang w:val="en-US" w:eastAsia="zh-CN"/>
              </w:rPr>
            </w:pPr>
            <w:r>
              <w:rPr>
                <w:rFonts w:hint="default" w:ascii="Times New Roman" w:hAnsi="Times New Roman" w:eastAsia="宋体" w:cs="KaTeX_Math"/>
                <w:i w:val="0"/>
                <w:iCs/>
                <w:caps w:val="0"/>
                <w:color w:val="auto"/>
                <w:spacing w:val="0"/>
                <w:sz w:val="21"/>
                <w:szCs w:val="25"/>
                <w:shd w:val="clear" w:fill="FFFFFF"/>
                <w:lang w:val="en-US" w:eastAsia="zh-CN"/>
              </w:rPr>
              <w:t>Vx：最小控制风速，m/s；</w:t>
            </w:r>
          </w:p>
          <w:p w14:paraId="38088D5D">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sz w:val="21"/>
                <w:szCs w:val="24"/>
                <w:lang w:val="en-US" w:eastAsia="zh-CN"/>
              </w:rPr>
            </w:pPr>
            <w:r>
              <w:rPr>
                <w:rFonts w:hint="default" w:ascii="Times New Roman" w:hAnsi="Times New Roman" w:eastAsia="宋体" w:cs="Times New Roman"/>
                <w:b/>
                <w:color w:val="auto"/>
                <w:sz w:val="21"/>
                <w:szCs w:val="24"/>
                <w:lang w:val="en-US" w:eastAsia="zh-CN"/>
              </w:rPr>
              <w:t>鞋底制造工序设计处理风量一览表</w:t>
            </w:r>
          </w:p>
          <w:tbl>
            <w:tblPr>
              <w:tblStyle w:val="49"/>
              <w:tblW w:w="101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1610"/>
              <w:gridCol w:w="895"/>
              <w:gridCol w:w="974"/>
              <w:gridCol w:w="1102"/>
              <w:gridCol w:w="1199"/>
              <w:gridCol w:w="1341"/>
              <w:gridCol w:w="1124"/>
              <w:gridCol w:w="1124"/>
            </w:tblGrid>
            <w:tr w14:paraId="0892E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746" w:type="dxa"/>
                  <w:vAlign w:val="center"/>
                </w:tcPr>
                <w:p w14:paraId="5AB321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default" w:ascii="Times New Roman" w:hAnsi="Times New Roman" w:eastAsia="宋体" w:cs="宋体"/>
                      <w:b/>
                      <w:bCs/>
                      <w:i w:val="0"/>
                      <w:iCs w:val="0"/>
                      <w:color w:val="auto"/>
                      <w:kern w:val="0"/>
                      <w:sz w:val="21"/>
                      <w:szCs w:val="21"/>
                      <w:u w:val="none"/>
                      <w:lang w:val="en-US" w:eastAsia="zh-CN" w:bidi="ar"/>
                    </w:rPr>
                  </w:pPr>
                  <w:r>
                    <w:rPr>
                      <w:rFonts w:hint="eastAsia" w:ascii="Times New Roman" w:hAnsi="Times New Roman" w:eastAsia="宋体" w:cs="宋体"/>
                      <w:b/>
                      <w:bCs/>
                      <w:i w:val="0"/>
                      <w:iCs w:val="0"/>
                      <w:color w:val="auto"/>
                      <w:kern w:val="0"/>
                      <w:sz w:val="21"/>
                      <w:szCs w:val="21"/>
                      <w:u w:val="none"/>
                      <w:lang w:val="en-US" w:eastAsia="zh-CN" w:bidi="ar"/>
                    </w:rPr>
                    <w:t>排气筒</w:t>
                  </w:r>
                </w:p>
              </w:tc>
              <w:tc>
                <w:tcPr>
                  <w:tcW w:w="1610" w:type="dxa"/>
                  <w:vAlign w:val="center"/>
                </w:tcPr>
                <w:p w14:paraId="760D48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eastAsia" w:ascii="Times New Roman" w:hAnsi="Times New Roman" w:eastAsia="宋体" w:cs="宋体"/>
                      <w:b/>
                      <w:bCs/>
                      <w:i w:val="0"/>
                      <w:iCs w:val="0"/>
                      <w:color w:val="auto"/>
                      <w:kern w:val="0"/>
                      <w:sz w:val="21"/>
                      <w:szCs w:val="21"/>
                      <w:u w:val="none"/>
                      <w:lang w:val="en-US" w:eastAsia="zh-CN" w:bidi="ar"/>
                    </w:rPr>
                    <w:t>设备</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Times New Roman" w:hAnsi="Times New Roman" w:eastAsia="宋体" w:cs="宋体"/>
                      <w:b/>
                      <w:bCs/>
                      <w:i w:val="0"/>
                      <w:iCs w:val="0"/>
                      <w:color w:val="auto"/>
                      <w:kern w:val="0"/>
                      <w:sz w:val="21"/>
                      <w:szCs w:val="21"/>
                      <w:u w:val="none"/>
                      <w:lang w:val="en-US" w:eastAsia="zh-CN" w:bidi="ar"/>
                    </w:rPr>
                    <w:t>工序</w:t>
                  </w:r>
                </w:p>
              </w:tc>
              <w:tc>
                <w:tcPr>
                  <w:tcW w:w="895" w:type="dxa"/>
                  <w:vAlign w:val="center"/>
                </w:tcPr>
                <w:p w14:paraId="60F8D2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default" w:ascii="Times New Roman" w:hAnsi="Times New Roman" w:eastAsia="宋体" w:cs="KaTeX_Math"/>
                      <w:i w:val="0"/>
                      <w:iCs/>
                      <w:caps w:val="0"/>
                      <w:color w:val="auto"/>
                      <w:spacing w:val="0"/>
                      <w:sz w:val="21"/>
                      <w:szCs w:val="25"/>
                      <w:shd w:val="clear" w:fill="FFFFFF"/>
                      <w:lang w:val="en-US" w:eastAsia="zh-CN"/>
                    </w:rPr>
                    <w:t>A</w:t>
                  </w:r>
                  <w:r>
                    <w:rPr>
                      <w:rFonts w:hint="eastAsia"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m</w:t>
                  </w:r>
                  <w:r>
                    <w:rPr>
                      <w:rFonts w:hint="eastAsia" w:cs="Times New Roman"/>
                      <w:b/>
                      <w:bCs/>
                      <w:i w:val="0"/>
                      <w:iCs w:val="0"/>
                      <w:color w:val="auto"/>
                      <w:kern w:val="0"/>
                      <w:sz w:val="21"/>
                      <w:szCs w:val="21"/>
                      <w:u w:val="none"/>
                      <w:lang w:val="en-US" w:eastAsia="zh-CN" w:bidi="ar"/>
                    </w:rPr>
                    <w:t>）</w:t>
                  </w:r>
                </w:p>
              </w:tc>
              <w:tc>
                <w:tcPr>
                  <w:tcW w:w="974" w:type="dxa"/>
                  <w:vAlign w:val="center"/>
                </w:tcPr>
                <w:p w14:paraId="280521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default" w:ascii="Times New Roman" w:hAnsi="Times New Roman" w:eastAsia="宋体" w:cs="KaTeX_Math"/>
                      <w:i w:val="0"/>
                      <w:iCs/>
                      <w:caps w:val="0"/>
                      <w:color w:val="auto"/>
                      <w:spacing w:val="0"/>
                      <w:sz w:val="21"/>
                      <w:szCs w:val="25"/>
                      <w:shd w:val="clear" w:fill="FFFFFF"/>
                      <w:lang w:val="en-US" w:eastAsia="zh-CN"/>
                    </w:rPr>
                    <w:t>X</w:t>
                  </w:r>
                  <w:r>
                    <w:rPr>
                      <w:rFonts w:hint="eastAsia"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m</w:t>
                  </w:r>
                  <w:r>
                    <w:rPr>
                      <w:rFonts w:hint="eastAsia" w:cs="Times New Roman"/>
                      <w:b/>
                      <w:bCs/>
                      <w:i w:val="0"/>
                      <w:iCs w:val="0"/>
                      <w:color w:val="auto"/>
                      <w:kern w:val="0"/>
                      <w:sz w:val="21"/>
                      <w:szCs w:val="21"/>
                      <w:u w:val="none"/>
                      <w:lang w:val="en-US" w:eastAsia="zh-CN" w:bidi="ar"/>
                    </w:rPr>
                    <w:t>）</w:t>
                  </w:r>
                </w:p>
              </w:tc>
              <w:tc>
                <w:tcPr>
                  <w:tcW w:w="1102" w:type="dxa"/>
                  <w:vAlign w:val="center"/>
                </w:tcPr>
                <w:p w14:paraId="19FE9F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default" w:ascii="Times New Roman" w:hAnsi="Times New Roman" w:eastAsia="宋体" w:cs="KaTeX_Math"/>
                      <w:i w:val="0"/>
                      <w:iCs/>
                      <w:caps w:val="0"/>
                      <w:color w:val="auto"/>
                      <w:spacing w:val="0"/>
                      <w:sz w:val="21"/>
                      <w:szCs w:val="25"/>
                      <w:shd w:val="clear" w:fill="FFFFFF"/>
                      <w:lang w:val="en-US" w:eastAsia="zh-CN"/>
                    </w:rPr>
                    <w:t>Vx</w:t>
                  </w:r>
                  <w:r>
                    <w:rPr>
                      <w:rFonts w:hint="eastAsia"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m/s</w:t>
                  </w:r>
                  <w:r>
                    <w:rPr>
                      <w:rFonts w:hint="eastAsia" w:cs="Times New Roman"/>
                      <w:b/>
                      <w:bCs/>
                      <w:i w:val="0"/>
                      <w:iCs w:val="0"/>
                      <w:color w:val="auto"/>
                      <w:kern w:val="0"/>
                      <w:sz w:val="21"/>
                      <w:szCs w:val="21"/>
                      <w:u w:val="none"/>
                      <w:lang w:val="en-US" w:eastAsia="zh-CN" w:bidi="ar"/>
                    </w:rPr>
                    <w:t>）</w:t>
                  </w:r>
                </w:p>
              </w:tc>
              <w:tc>
                <w:tcPr>
                  <w:tcW w:w="1199" w:type="dxa"/>
                  <w:vAlign w:val="center"/>
                </w:tcPr>
                <w:p w14:paraId="1B4594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eastAsia" w:ascii="Times New Roman" w:hAnsi="Times New Roman" w:eastAsia="宋体" w:cs="宋体"/>
                      <w:b/>
                      <w:bCs/>
                      <w:i w:val="0"/>
                      <w:iCs w:val="0"/>
                      <w:color w:val="auto"/>
                      <w:kern w:val="0"/>
                      <w:sz w:val="21"/>
                      <w:szCs w:val="21"/>
                      <w:u w:val="none"/>
                      <w:lang w:val="en-US" w:eastAsia="zh-CN" w:bidi="ar"/>
                    </w:rPr>
                    <w:t>单台风量</w:t>
                  </w:r>
                  <w:r>
                    <w:rPr>
                      <w:rFonts w:hint="eastAsia"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m³/h</w:t>
                  </w:r>
                  <w:r>
                    <w:rPr>
                      <w:rFonts w:hint="eastAsia" w:cs="Times New Roman"/>
                      <w:b/>
                      <w:bCs/>
                      <w:i w:val="0"/>
                      <w:iCs w:val="0"/>
                      <w:color w:val="auto"/>
                      <w:kern w:val="0"/>
                      <w:sz w:val="21"/>
                      <w:szCs w:val="21"/>
                      <w:u w:val="none"/>
                      <w:lang w:val="en-US" w:eastAsia="zh-CN" w:bidi="ar"/>
                    </w:rPr>
                    <w:t>）</w:t>
                  </w:r>
                </w:p>
              </w:tc>
              <w:tc>
                <w:tcPr>
                  <w:tcW w:w="1341" w:type="dxa"/>
                  <w:vAlign w:val="center"/>
                </w:tcPr>
                <w:p w14:paraId="4A7421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eastAsia" w:ascii="Times New Roman" w:hAnsi="Times New Roman" w:eastAsia="宋体" w:cs="宋体"/>
                      <w:b/>
                      <w:bCs/>
                      <w:i w:val="0"/>
                      <w:iCs w:val="0"/>
                      <w:color w:val="auto"/>
                      <w:kern w:val="0"/>
                      <w:sz w:val="21"/>
                      <w:szCs w:val="21"/>
                      <w:u w:val="none"/>
                      <w:lang w:val="en-US" w:eastAsia="zh-CN" w:bidi="ar"/>
                    </w:rPr>
                    <w:t>设备数量</w:t>
                  </w:r>
                  <w:r>
                    <w:rPr>
                      <w:rFonts w:hint="eastAsia" w:cs="宋体"/>
                      <w:b/>
                      <w:bCs/>
                      <w:i w:val="0"/>
                      <w:iCs w:val="0"/>
                      <w:color w:val="auto"/>
                      <w:kern w:val="0"/>
                      <w:sz w:val="21"/>
                      <w:szCs w:val="21"/>
                      <w:u w:val="none"/>
                      <w:lang w:val="en-US" w:eastAsia="zh-CN" w:bidi="ar"/>
                    </w:rPr>
                    <w:t>（</w:t>
                  </w:r>
                  <w:r>
                    <w:rPr>
                      <w:rFonts w:hint="eastAsia" w:ascii="Times New Roman" w:hAnsi="Times New Roman" w:eastAsia="宋体" w:cs="宋体"/>
                      <w:b/>
                      <w:bCs/>
                      <w:i w:val="0"/>
                      <w:iCs w:val="0"/>
                      <w:color w:val="auto"/>
                      <w:kern w:val="0"/>
                      <w:sz w:val="21"/>
                      <w:szCs w:val="21"/>
                      <w:u w:val="none"/>
                      <w:lang w:val="en-US" w:eastAsia="zh-CN" w:bidi="ar"/>
                    </w:rPr>
                    <w:t>台</w:t>
                  </w:r>
                  <w:r>
                    <w:rPr>
                      <w:rFonts w:hint="eastAsia" w:cs="宋体"/>
                      <w:b/>
                      <w:bCs/>
                      <w:i w:val="0"/>
                      <w:iCs w:val="0"/>
                      <w:color w:val="auto"/>
                      <w:kern w:val="0"/>
                      <w:sz w:val="21"/>
                      <w:szCs w:val="21"/>
                      <w:u w:val="none"/>
                      <w:lang w:val="en-US" w:eastAsia="zh-CN" w:bidi="ar"/>
                    </w:rPr>
                    <w:t>）</w:t>
                  </w:r>
                </w:p>
              </w:tc>
              <w:tc>
                <w:tcPr>
                  <w:tcW w:w="1124" w:type="dxa"/>
                  <w:vAlign w:val="center"/>
                </w:tcPr>
                <w:p w14:paraId="415460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eastAsia" w:ascii="Times New Roman" w:hAnsi="Times New Roman" w:eastAsia="宋体" w:cs="宋体"/>
                      <w:b/>
                      <w:bCs/>
                      <w:i w:val="0"/>
                      <w:iCs w:val="0"/>
                      <w:color w:val="auto"/>
                      <w:kern w:val="0"/>
                      <w:sz w:val="21"/>
                      <w:szCs w:val="21"/>
                      <w:u w:val="none"/>
                      <w:lang w:val="en-US" w:eastAsia="zh-CN" w:bidi="ar"/>
                    </w:rPr>
                    <w:t>风量</w:t>
                  </w:r>
                  <w:r>
                    <w:rPr>
                      <w:rFonts w:hint="eastAsia"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m³/h</w:t>
                  </w:r>
                  <w:r>
                    <w:rPr>
                      <w:rFonts w:hint="eastAsia" w:cs="Times New Roman"/>
                      <w:b/>
                      <w:bCs/>
                      <w:i w:val="0"/>
                      <w:iCs w:val="0"/>
                      <w:color w:val="auto"/>
                      <w:kern w:val="0"/>
                      <w:sz w:val="21"/>
                      <w:szCs w:val="21"/>
                      <w:u w:val="none"/>
                      <w:lang w:val="en-US" w:eastAsia="zh-CN" w:bidi="ar"/>
                    </w:rPr>
                    <w:t>）</w:t>
                  </w:r>
                </w:p>
              </w:tc>
              <w:tc>
                <w:tcPr>
                  <w:tcW w:w="1124" w:type="dxa"/>
                  <w:vAlign w:val="center"/>
                </w:tcPr>
                <w:p w14:paraId="75AB31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Times New Roman" w:hAnsi="Times New Roman" w:eastAsia="宋体" w:cs="宋体"/>
                      <w:b/>
                      <w:bCs/>
                      <w:i w:val="0"/>
                      <w:iCs w:val="0"/>
                      <w:color w:val="auto"/>
                      <w:kern w:val="0"/>
                      <w:sz w:val="21"/>
                      <w:szCs w:val="21"/>
                      <w:u w:val="none"/>
                      <w:lang w:val="en-US" w:eastAsia="zh-CN" w:bidi="ar"/>
                    </w:rPr>
                  </w:pPr>
                  <w:r>
                    <w:rPr>
                      <w:rFonts w:hint="eastAsia" w:cs="宋体"/>
                      <w:b/>
                      <w:bCs/>
                      <w:i w:val="0"/>
                      <w:iCs w:val="0"/>
                      <w:color w:val="auto"/>
                      <w:kern w:val="0"/>
                      <w:sz w:val="21"/>
                      <w:szCs w:val="21"/>
                      <w:u w:val="none"/>
                      <w:lang w:val="en-US" w:eastAsia="zh-CN" w:bidi="ar"/>
                    </w:rPr>
                    <w:t>总</w:t>
                  </w:r>
                  <w:r>
                    <w:rPr>
                      <w:rFonts w:hint="eastAsia" w:ascii="Times New Roman" w:hAnsi="Times New Roman" w:eastAsia="宋体" w:cs="宋体"/>
                      <w:b/>
                      <w:bCs/>
                      <w:i w:val="0"/>
                      <w:iCs w:val="0"/>
                      <w:color w:val="auto"/>
                      <w:kern w:val="0"/>
                      <w:sz w:val="21"/>
                      <w:szCs w:val="21"/>
                      <w:u w:val="none"/>
                      <w:lang w:val="en-US" w:eastAsia="zh-CN" w:bidi="ar"/>
                    </w:rPr>
                    <w:t>风量</w:t>
                  </w:r>
                  <w:r>
                    <w:rPr>
                      <w:rFonts w:hint="eastAsia"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m³/h</w:t>
                  </w:r>
                  <w:r>
                    <w:rPr>
                      <w:rFonts w:hint="eastAsia" w:cs="Times New Roman"/>
                      <w:b/>
                      <w:bCs/>
                      <w:i w:val="0"/>
                      <w:iCs w:val="0"/>
                      <w:color w:val="auto"/>
                      <w:kern w:val="0"/>
                      <w:sz w:val="21"/>
                      <w:szCs w:val="21"/>
                      <w:u w:val="none"/>
                      <w:lang w:val="en-US" w:eastAsia="zh-CN" w:bidi="ar"/>
                    </w:rPr>
                    <w:t>）</w:t>
                  </w:r>
                </w:p>
              </w:tc>
            </w:tr>
            <w:tr w14:paraId="6E958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746" w:type="dxa"/>
                  <w:vMerge w:val="restart"/>
                  <w:vAlign w:val="center"/>
                </w:tcPr>
                <w:p w14:paraId="07F56D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G1</w:t>
                  </w:r>
                </w:p>
              </w:tc>
              <w:tc>
                <w:tcPr>
                  <w:tcW w:w="1610" w:type="dxa"/>
                  <w:vAlign w:val="center"/>
                </w:tcPr>
                <w:p w14:paraId="39E8EA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eastAsia" w:ascii="Times New Roman" w:hAnsi="Times New Roman" w:eastAsia="宋体" w:cs="宋体"/>
                      <w:i w:val="0"/>
                      <w:iCs w:val="0"/>
                      <w:color w:val="auto"/>
                      <w:kern w:val="0"/>
                      <w:sz w:val="21"/>
                      <w:szCs w:val="21"/>
                      <w:u w:val="none"/>
                      <w:lang w:val="en-US" w:eastAsia="zh-CN" w:bidi="ar"/>
                    </w:rPr>
                    <w:t>拌料机</w:t>
                  </w:r>
                </w:p>
              </w:tc>
              <w:tc>
                <w:tcPr>
                  <w:tcW w:w="895" w:type="dxa"/>
                  <w:vAlign w:val="center"/>
                </w:tcPr>
                <w:p w14:paraId="6D4D467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i w:val="0"/>
                      <w:iCs w:val="0"/>
                      <w:caps w:val="0"/>
                      <w:color w:val="auto"/>
                      <w:spacing w:val="0"/>
                      <w:sz w:val="21"/>
                      <w:szCs w:val="24"/>
                      <w:shd w:val="clear" w:fill="FFFFFF"/>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74" w:type="dxa"/>
                  <w:vAlign w:val="center"/>
                </w:tcPr>
                <w:p w14:paraId="495BE0BF">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0.3</w:t>
                  </w:r>
                </w:p>
              </w:tc>
              <w:tc>
                <w:tcPr>
                  <w:tcW w:w="1102" w:type="dxa"/>
                  <w:vAlign w:val="center"/>
                </w:tcPr>
                <w:p w14:paraId="69C4B426">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0.4</w:t>
                  </w:r>
                </w:p>
              </w:tc>
              <w:tc>
                <w:tcPr>
                  <w:tcW w:w="1199" w:type="dxa"/>
                  <w:vAlign w:val="center"/>
                </w:tcPr>
                <w:p w14:paraId="02AC0A5F">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2052</w:t>
                  </w:r>
                </w:p>
              </w:tc>
              <w:tc>
                <w:tcPr>
                  <w:tcW w:w="1341" w:type="dxa"/>
                  <w:vAlign w:val="center"/>
                </w:tcPr>
                <w:p w14:paraId="3143D7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2</w:t>
                  </w:r>
                </w:p>
              </w:tc>
              <w:tc>
                <w:tcPr>
                  <w:tcW w:w="1124" w:type="dxa"/>
                  <w:vAlign w:val="center"/>
                </w:tcPr>
                <w:p w14:paraId="4140097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4104</w:t>
                  </w:r>
                </w:p>
              </w:tc>
              <w:tc>
                <w:tcPr>
                  <w:tcW w:w="1124" w:type="dxa"/>
                  <w:vMerge w:val="restart"/>
                  <w:shd w:val="clear" w:color="auto" w:fill="auto"/>
                  <w:vAlign w:val="center"/>
                </w:tcPr>
                <w:p w14:paraId="42D69E4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Times New Roman" w:hAnsi="Times New Roman" w:eastAsia="宋体" w:cs="Times New Roman"/>
                      <w:i w:val="0"/>
                      <w:iCs w:val="0"/>
                      <w:color w:val="000000"/>
                      <w:kern w:val="0"/>
                      <w:sz w:val="21"/>
                      <w:szCs w:val="21"/>
                      <w:u w:val="none"/>
                      <w:lang w:val="en-US" w:eastAsia="zh-CN" w:bidi="ar"/>
                    </w:rPr>
                    <w:t>28836</w:t>
                  </w:r>
                </w:p>
              </w:tc>
            </w:tr>
            <w:tr w14:paraId="68995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746" w:type="dxa"/>
                  <w:vMerge w:val="continue"/>
                  <w:vAlign w:val="center"/>
                </w:tcPr>
                <w:p w14:paraId="24D98B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p>
              </w:tc>
              <w:tc>
                <w:tcPr>
                  <w:tcW w:w="1610" w:type="dxa"/>
                  <w:vAlign w:val="center"/>
                </w:tcPr>
                <w:p w14:paraId="294F98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eastAsia" w:ascii="Times New Roman" w:hAnsi="Times New Roman" w:eastAsia="宋体" w:cs="宋体"/>
                      <w:i w:val="0"/>
                      <w:iCs w:val="0"/>
                      <w:color w:val="auto"/>
                      <w:kern w:val="0"/>
                      <w:sz w:val="21"/>
                      <w:szCs w:val="21"/>
                      <w:u w:val="none"/>
                      <w:lang w:val="en-US" w:eastAsia="zh-CN" w:bidi="ar"/>
                    </w:rPr>
                    <w:t>鞋底发泡机</w:t>
                  </w:r>
                </w:p>
              </w:tc>
              <w:tc>
                <w:tcPr>
                  <w:tcW w:w="895" w:type="dxa"/>
                  <w:vAlign w:val="center"/>
                </w:tcPr>
                <w:p w14:paraId="10235CBE">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74" w:type="dxa"/>
                  <w:vAlign w:val="center"/>
                </w:tcPr>
                <w:p w14:paraId="4195BED2">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0.3</w:t>
                  </w:r>
                </w:p>
              </w:tc>
              <w:tc>
                <w:tcPr>
                  <w:tcW w:w="1102" w:type="dxa"/>
                  <w:vAlign w:val="center"/>
                </w:tcPr>
                <w:p w14:paraId="60989ECE">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0.4</w:t>
                  </w:r>
                </w:p>
              </w:tc>
              <w:tc>
                <w:tcPr>
                  <w:tcW w:w="1199" w:type="dxa"/>
                  <w:vAlign w:val="center"/>
                </w:tcPr>
                <w:p w14:paraId="32D79037">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2052</w:t>
                  </w:r>
                </w:p>
              </w:tc>
              <w:tc>
                <w:tcPr>
                  <w:tcW w:w="1341" w:type="dxa"/>
                  <w:vAlign w:val="center"/>
                </w:tcPr>
                <w:p w14:paraId="273610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5</w:t>
                  </w:r>
                </w:p>
              </w:tc>
              <w:tc>
                <w:tcPr>
                  <w:tcW w:w="1124" w:type="dxa"/>
                  <w:vAlign w:val="center"/>
                </w:tcPr>
                <w:p w14:paraId="7A9DEFB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10260</w:t>
                  </w:r>
                </w:p>
              </w:tc>
              <w:tc>
                <w:tcPr>
                  <w:tcW w:w="1124" w:type="dxa"/>
                  <w:vMerge w:val="continue"/>
                  <w:vAlign w:val="center"/>
                </w:tcPr>
                <w:p w14:paraId="384CC5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5AF67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6" w:type="dxa"/>
                  <w:vMerge w:val="continue"/>
                  <w:vAlign w:val="center"/>
                </w:tcPr>
                <w:p w14:paraId="6CA502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p>
              </w:tc>
              <w:tc>
                <w:tcPr>
                  <w:tcW w:w="1610" w:type="dxa"/>
                  <w:vAlign w:val="center"/>
                </w:tcPr>
                <w:p w14:paraId="19D037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eastAsia" w:ascii="Times New Roman" w:hAnsi="Times New Roman" w:eastAsia="宋体" w:cs="宋体"/>
                      <w:i w:val="0"/>
                      <w:iCs w:val="0"/>
                      <w:color w:val="auto"/>
                      <w:kern w:val="0"/>
                      <w:sz w:val="21"/>
                      <w:szCs w:val="21"/>
                      <w:u w:val="none"/>
                      <w:lang w:val="en-US" w:eastAsia="zh-CN" w:bidi="ar"/>
                    </w:rPr>
                    <w:t>打粗机</w:t>
                  </w:r>
                </w:p>
              </w:tc>
              <w:tc>
                <w:tcPr>
                  <w:tcW w:w="895" w:type="dxa"/>
                  <w:vAlign w:val="center"/>
                </w:tcPr>
                <w:p w14:paraId="72393679">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74" w:type="dxa"/>
                  <w:vAlign w:val="center"/>
                </w:tcPr>
                <w:p w14:paraId="6FBC537B">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0.3</w:t>
                  </w:r>
                </w:p>
              </w:tc>
              <w:tc>
                <w:tcPr>
                  <w:tcW w:w="1102" w:type="dxa"/>
                  <w:vAlign w:val="center"/>
                </w:tcPr>
                <w:p w14:paraId="1140F414">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0.4</w:t>
                  </w:r>
                </w:p>
              </w:tc>
              <w:tc>
                <w:tcPr>
                  <w:tcW w:w="1199" w:type="dxa"/>
                  <w:vAlign w:val="center"/>
                </w:tcPr>
                <w:p w14:paraId="14F0B7CF">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2052</w:t>
                  </w:r>
                </w:p>
              </w:tc>
              <w:tc>
                <w:tcPr>
                  <w:tcW w:w="1341" w:type="dxa"/>
                  <w:vAlign w:val="center"/>
                </w:tcPr>
                <w:p w14:paraId="7DDE0F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r>
                    <w:rPr>
                      <w:rFonts w:hint="eastAsia" w:ascii="Times New Roman" w:hAnsi="Times New Roman" w:eastAsia="宋体" w:cs="Times New Roman"/>
                      <w:i w:val="0"/>
                      <w:iCs w:val="0"/>
                      <w:color w:val="auto"/>
                      <w:kern w:val="0"/>
                      <w:sz w:val="21"/>
                      <w:szCs w:val="21"/>
                      <w:u w:val="none"/>
                      <w:lang w:val="en-US" w:eastAsia="zh-CN" w:bidi="ar"/>
                    </w:rPr>
                    <w:t>4</w:t>
                  </w:r>
                </w:p>
              </w:tc>
              <w:tc>
                <w:tcPr>
                  <w:tcW w:w="1124" w:type="dxa"/>
                  <w:vAlign w:val="center"/>
                </w:tcPr>
                <w:p w14:paraId="6396FFC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i w:val="0"/>
                      <w:iCs w:val="0"/>
                      <w:caps w:val="0"/>
                      <w:color w:val="auto"/>
                      <w:spacing w:val="0"/>
                      <w:sz w:val="21"/>
                      <w:szCs w:val="24"/>
                      <w:shd w:val="clear" w:fill="FFFFFF"/>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8208</w:t>
                  </w:r>
                </w:p>
              </w:tc>
              <w:tc>
                <w:tcPr>
                  <w:tcW w:w="1124" w:type="dxa"/>
                  <w:vMerge w:val="continue"/>
                  <w:vAlign w:val="center"/>
                </w:tcPr>
                <w:p w14:paraId="6C3D91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40F64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746" w:type="dxa"/>
                  <w:vMerge w:val="continue"/>
                  <w:vAlign w:val="center"/>
                </w:tcPr>
                <w:p w14:paraId="118E7B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rPr>
                      <w:rFonts w:hint="eastAsia" w:ascii="Times New Roman" w:hAnsi="Times New Roman" w:eastAsia="宋体" w:cs="Segoe UI"/>
                      <w:i w:val="0"/>
                      <w:iCs w:val="0"/>
                      <w:caps w:val="0"/>
                      <w:color w:val="auto"/>
                      <w:spacing w:val="0"/>
                      <w:sz w:val="21"/>
                      <w:szCs w:val="24"/>
                      <w:shd w:val="clear" w:fill="FFFFFF"/>
                      <w:vertAlign w:val="baseline"/>
                      <w:lang w:val="en-US" w:eastAsia="zh-CN"/>
                    </w:rPr>
                  </w:pPr>
                </w:p>
              </w:tc>
              <w:tc>
                <w:tcPr>
                  <w:tcW w:w="1610" w:type="dxa"/>
                  <w:vAlign w:val="center"/>
                </w:tcPr>
                <w:p w14:paraId="33FB92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宋体"/>
                      <w:i w:val="0"/>
                      <w:iCs w:val="0"/>
                      <w:color w:val="auto"/>
                      <w:kern w:val="0"/>
                      <w:sz w:val="21"/>
                      <w:szCs w:val="21"/>
                      <w:u w:val="none"/>
                      <w:lang w:val="en-US" w:eastAsia="zh-CN" w:bidi="ar"/>
                    </w:rPr>
                    <w:t>刷处理剂、</w:t>
                  </w:r>
                  <w:r>
                    <w:rPr>
                      <w:rFonts w:hint="eastAsia" w:cs="宋体"/>
                      <w:i w:val="0"/>
                      <w:iCs w:val="0"/>
                      <w:color w:val="auto"/>
                      <w:kern w:val="0"/>
                      <w:sz w:val="21"/>
                      <w:szCs w:val="21"/>
                      <w:u w:val="none"/>
                      <w:lang w:val="en-US" w:eastAsia="zh-CN" w:bidi="ar"/>
                    </w:rPr>
                    <w:t>清洁、</w:t>
                  </w:r>
                  <w:r>
                    <w:rPr>
                      <w:rFonts w:hint="eastAsia" w:ascii="Times New Roman" w:hAnsi="Times New Roman" w:eastAsia="宋体" w:cs="宋体"/>
                      <w:i w:val="0"/>
                      <w:iCs w:val="0"/>
                      <w:color w:val="auto"/>
                      <w:kern w:val="0"/>
                      <w:sz w:val="21"/>
                      <w:szCs w:val="21"/>
                      <w:u w:val="none"/>
                      <w:lang w:val="en-US" w:eastAsia="zh-CN" w:bidi="ar"/>
                    </w:rPr>
                    <w:t>刷胶</w:t>
                  </w:r>
                  <w:r>
                    <w:rPr>
                      <w:rFonts w:hint="eastAsia" w:cs="宋体"/>
                      <w:i w:val="0"/>
                      <w:iCs w:val="0"/>
                      <w:color w:val="auto"/>
                      <w:kern w:val="0"/>
                      <w:sz w:val="21"/>
                      <w:szCs w:val="21"/>
                      <w:u w:val="none"/>
                      <w:lang w:val="en-US" w:eastAsia="zh-CN" w:bidi="ar"/>
                    </w:rPr>
                    <w:t>及烘干</w:t>
                  </w:r>
                </w:p>
              </w:tc>
              <w:tc>
                <w:tcPr>
                  <w:tcW w:w="895" w:type="dxa"/>
                  <w:vAlign w:val="center"/>
                </w:tcPr>
                <w:p w14:paraId="1AB2D2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974" w:type="dxa"/>
                  <w:vAlign w:val="center"/>
                </w:tcPr>
                <w:p w14:paraId="053997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0.3</w:t>
                  </w:r>
                </w:p>
              </w:tc>
              <w:tc>
                <w:tcPr>
                  <w:tcW w:w="1102" w:type="dxa"/>
                  <w:vAlign w:val="center"/>
                </w:tcPr>
                <w:p w14:paraId="6BFD9A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0.4</w:t>
                  </w:r>
                </w:p>
              </w:tc>
              <w:tc>
                <w:tcPr>
                  <w:tcW w:w="1199" w:type="dxa"/>
                  <w:vAlign w:val="center"/>
                </w:tcPr>
                <w:p w14:paraId="45D27AE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3132</w:t>
                  </w:r>
                </w:p>
              </w:tc>
              <w:tc>
                <w:tcPr>
                  <w:tcW w:w="1341" w:type="dxa"/>
                  <w:vAlign w:val="center"/>
                </w:tcPr>
                <w:p w14:paraId="04F5DE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w:t>
                  </w:r>
                </w:p>
              </w:tc>
              <w:tc>
                <w:tcPr>
                  <w:tcW w:w="1124" w:type="dxa"/>
                  <w:vAlign w:val="center"/>
                </w:tcPr>
                <w:p w14:paraId="3706FC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6264</w:t>
                  </w:r>
                </w:p>
              </w:tc>
              <w:tc>
                <w:tcPr>
                  <w:tcW w:w="1124" w:type="dxa"/>
                  <w:vMerge w:val="continue"/>
                  <w:vAlign w:val="center"/>
                </w:tcPr>
                <w:p w14:paraId="317D29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bl>
          <w:p w14:paraId="1F73BC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b w:val="0"/>
                <w:bCs w:val="0"/>
                <w:i w:val="0"/>
                <w:iCs w:val="0"/>
                <w:caps w:val="0"/>
                <w:color w:val="auto"/>
                <w:spacing w:val="0"/>
                <w:sz w:val="21"/>
                <w:szCs w:val="24"/>
                <w:shd w:val="clear" w:fill="FFFFFF"/>
                <w:lang w:val="en-US" w:eastAsia="zh-CN"/>
              </w:rPr>
            </w:pPr>
            <w:r>
              <w:rPr>
                <w:rFonts w:hint="eastAsia" w:ascii="Times New Roman" w:hAnsi="Times New Roman" w:eastAsia="宋体" w:cs="Segoe UI"/>
                <w:b w:val="0"/>
                <w:bCs w:val="0"/>
                <w:i w:val="0"/>
                <w:iCs w:val="0"/>
                <w:caps w:val="0"/>
                <w:color w:val="auto"/>
                <w:spacing w:val="0"/>
                <w:sz w:val="21"/>
                <w:szCs w:val="24"/>
                <w:shd w:val="clear" w:fill="FFFFFF"/>
                <w:lang w:val="en-US" w:eastAsia="zh-CN"/>
              </w:rPr>
              <w:t>EVA</w:t>
            </w:r>
            <w:r>
              <w:rPr>
                <w:rFonts w:hint="default" w:ascii="Times New Roman" w:hAnsi="Times New Roman" w:eastAsia="宋体" w:cs="Segoe UI"/>
                <w:b w:val="0"/>
                <w:bCs w:val="0"/>
                <w:i w:val="0"/>
                <w:iCs w:val="0"/>
                <w:caps w:val="0"/>
                <w:color w:val="auto"/>
                <w:spacing w:val="0"/>
                <w:sz w:val="21"/>
                <w:szCs w:val="24"/>
                <w:shd w:val="clear" w:fill="FFFFFF"/>
              </w:rPr>
              <w:t>鞋底制造</w:t>
            </w:r>
            <w:r>
              <w:rPr>
                <w:rFonts w:hint="eastAsia" w:ascii="Times New Roman" w:hAnsi="Times New Roman" w:eastAsia="宋体" w:cs="Segoe UI"/>
                <w:b w:val="0"/>
                <w:bCs w:val="0"/>
                <w:i w:val="0"/>
                <w:iCs w:val="0"/>
                <w:caps w:val="0"/>
                <w:color w:val="auto"/>
                <w:spacing w:val="0"/>
                <w:sz w:val="21"/>
                <w:szCs w:val="24"/>
                <w:shd w:val="clear" w:fill="FFFFFF"/>
                <w:lang w:eastAsia="zh-CN"/>
              </w:rPr>
              <w:t>（</w:t>
            </w:r>
            <w:r>
              <w:rPr>
                <w:rFonts w:hint="eastAsia" w:ascii="Times New Roman" w:hAnsi="Times New Roman" w:eastAsia="宋体" w:cs="Segoe UI"/>
                <w:b w:val="0"/>
                <w:bCs w:val="0"/>
                <w:i w:val="0"/>
                <w:iCs w:val="0"/>
                <w:caps w:val="0"/>
                <w:color w:val="auto"/>
                <w:spacing w:val="0"/>
                <w:sz w:val="21"/>
                <w:szCs w:val="24"/>
                <w:shd w:val="clear" w:fill="FFFFFF"/>
                <w:lang w:val="en-US" w:eastAsia="zh-CN"/>
              </w:rPr>
              <w:t>拌料、发泡、打粗、</w:t>
            </w:r>
            <w:r>
              <w:rPr>
                <w:rFonts w:hint="eastAsia" w:ascii="Times New Roman" w:hAnsi="Times New Roman" w:cs="宋体"/>
                <w:i w:val="0"/>
                <w:iCs w:val="0"/>
                <w:color w:val="auto"/>
                <w:kern w:val="0"/>
                <w:sz w:val="21"/>
                <w:szCs w:val="21"/>
                <w:u w:val="none"/>
                <w:lang w:val="en-US" w:eastAsia="zh-CN" w:bidi="ar"/>
              </w:rPr>
              <w:t>刷处理剂、</w:t>
            </w:r>
            <w:r>
              <w:rPr>
                <w:rFonts w:hint="eastAsia" w:cs="宋体"/>
                <w:i w:val="0"/>
                <w:iCs w:val="0"/>
                <w:color w:val="auto"/>
                <w:kern w:val="0"/>
                <w:sz w:val="21"/>
                <w:szCs w:val="21"/>
                <w:u w:val="none"/>
                <w:lang w:val="en-US" w:eastAsia="zh-CN" w:bidi="ar"/>
              </w:rPr>
              <w:t>清洁、</w:t>
            </w:r>
            <w:r>
              <w:rPr>
                <w:rFonts w:hint="eastAsia" w:ascii="Times New Roman" w:hAnsi="Times New Roman" w:cs="宋体"/>
                <w:i w:val="0"/>
                <w:iCs w:val="0"/>
                <w:color w:val="auto"/>
                <w:kern w:val="0"/>
                <w:sz w:val="21"/>
                <w:szCs w:val="21"/>
                <w:u w:val="none"/>
                <w:lang w:val="en-US" w:eastAsia="zh-CN" w:bidi="ar"/>
              </w:rPr>
              <w:t>刷胶</w:t>
            </w:r>
            <w:r>
              <w:rPr>
                <w:rFonts w:hint="eastAsia" w:cs="宋体"/>
                <w:i w:val="0"/>
                <w:iCs w:val="0"/>
                <w:color w:val="auto"/>
                <w:kern w:val="0"/>
                <w:sz w:val="21"/>
                <w:szCs w:val="21"/>
                <w:u w:val="none"/>
                <w:lang w:val="en-US" w:eastAsia="zh-CN" w:bidi="ar"/>
              </w:rPr>
              <w:t>及烘干</w:t>
            </w:r>
            <w:r>
              <w:rPr>
                <w:rFonts w:hint="eastAsia" w:ascii="Times New Roman" w:hAnsi="Times New Roman" w:eastAsia="宋体" w:cs="Segoe UI"/>
                <w:b w:val="0"/>
                <w:bCs w:val="0"/>
                <w:i w:val="0"/>
                <w:iCs w:val="0"/>
                <w:caps w:val="0"/>
                <w:color w:val="auto"/>
                <w:spacing w:val="0"/>
                <w:sz w:val="21"/>
                <w:szCs w:val="24"/>
                <w:shd w:val="clear" w:fill="FFFFFF"/>
                <w:lang w:eastAsia="zh-CN"/>
              </w:rPr>
              <w:t>）</w:t>
            </w:r>
            <w:r>
              <w:rPr>
                <w:rFonts w:hint="default" w:ascii="Times New Roman" w:hAnsi="Times New Roman" w:eastAsia="宋体" w:cs="Segoe UI"/>
                <w:b w:val="0"/>
                <w:bCs w:val="0"/>
                <w:i w:val="0"/>
                <w:iCs w:val="0"/>
                <w:caps w:val="0"/>
                <w:color w:val="auto"/>
                <w:spacing w:val="0"/>
                <w:sz w:val="21"/>
                <w:szCs w:val="24"/>
                <w:shd w:val="clear" w:fill="FFFFFF"/>
              </w:rPr>
              <w:t>产生的废气经</w:t>
            </w:r>
            <w:r>
              <w:rPr>
                <w:rFonts w:hint="eastAsia" w:cs="Segoe UI"/>
                <w:b w:val="0"/>
                <w:bCs w:val="0"/>
                <w:i w:val="0"/>
                <w:iCs w:val="0"/>
                <w:caps w:val="0"/>
                <w:color w:val="auto"/>
                <w:spacing w:val="0"/>
                <w:sz w:val="21"/>
                <w:szCs w:val="24"/>
                <w:shd w:val="clear" w:fill="FFFFFF"/>
                <w:lang w:val="en-US" w:eastAsia="zh-CN"/>
              </w:rPr>
              <w:t>集气罩</w:t>
            </w:r>
            <w:r>
              <w:rPr>
                <w:rFonts w:hint="default" w:ascii="Times New Roman" w:hAnsi="Times New Roman" w:eastAsia="宋体" w:cs="Segoe UI"/>
                <w:b w:val="0"/>
                <w:bCs w:val="0"/>
                <w:i w:val="0"/>
                <w:iCs w:val="0"/>
                <w:caps w:val="0"/>
                <w:color w:val="auto"/>
                <w:spacing w:val="0"/>
                <w:sz w:val="21"/>
                <w:szCs w:val="24"/>
                <w:shd w:val="clear" w:fill="FFFFFF"/>
              </w:rPr>
              <w:t>收集后，统一引入一套滤筒除尘器+二级活性炭吸附装置处理，</w:t>
            </w:r>
            <w:r>
              <w:rPr>
                <w:rFonts w:hint="eastAsia" w:ascii="Times New Roman" w:hAnsi="Times New Roman" w:eastAsia="宋体" w:cs="Segoe UI"/>
                <w:b w:val="0"/>
                <w:bCs w:val="0"/>
                <w:i w:val="0"/>
                <w:iCs w:val="0"/>
                <w:caps w:val="0"/>
                <w:color w:val="auto"/>
                <w:spacing w:val="0"/>
                <w:sz w:val="21"/>
                <w:szCs w:val="24"/>
                <w:shd w:val="clear" w:fill="FFFFFF"/>
                <w:lang w:val="en-US" w:eastAsia="zh-CN"/>
              </w:rPr>
              <w:t>设计风量30000</w:t>
            </w:r>
            <w:r>
              <w:rPr>
                <w:rFonts w:hint="default" w:ascii="Times New Roman" w:hAnsi="Times New Roman" w:eastAsia="宋体" w:cs="Times New Roman"/>
                <w:b/>
                <w:bCs/>
                <w:i w:val="0"/>
                <w:iCs w:val="0"/>
                <w:color w:val="auto"/>
                <w:kern w:val="0"/>
                <w:sz w:val="21"/>
                <w:szCs w:val="21"/>
                <w:u w:val="none"/>
                <w:lang w:val="en-US" w:eastAsia="zh-CN" w:bidi="ar"/>
              </w:rPr>
              <w:t>m³/h</w:t>
            </w:r>
            <w:r>
              <w:rPr>
                <w:rFonts w:hint="default" w:ascii="Times New Roman" w:hAnsi="Times New Roman" w:eastAsia="宋体" w:cs="Segoe UI"/>
                <w:b w:val="0"/>
                <w:bCs w:val="0"/>
                <w:i w:val="0"/>
                <w:iCs w:val="0"/>
                <w:caps w:val="0"/>
                <w:color w:val="auto"/>
                <w:spacing w:val="0"/>
                <w:sz w:val="21"/>
                <w:szCs w:val="24"/>
                <w:shd w:val="clear" w:fill="FFFFFF"/>
              </w:rPr>
              <w:t>处理后经</w:t>
            </w:r>
            <w:r>
              <w:rPr>
                <w:rFonts w:hint="eastAsia" w:ascii="Times New Roman" w:hAnsi="Times New Roman" w:eastAsia="宋体" w:cs="Segoe UI"/>
                <w:b w:val="0"/>
                <w:bCs w:val="0"/>
                <w:i w:val="0"/>
                <w:iCs w:val="0"/>
                <w:caps w:val="0"/>
                <w:color w:val="auto"/>
                <w:spacing w:val="0"/>
                <w:sz w:val="21"/>
                <w:szCs w:val="24"/>
                <w:shd w:val="clear" w:fill="FFFFFF"/>
                <w:lang w:val="en-US" w:eastAsia="zh-CN"/>
              </w:rPr>
              <w:t>50</w:t>
            </w:r>
            <w:r>
              <w:rPr>
                <w:rFonts w:hint="default" w:ascii="Times New Roman" w:hAnsi="Times New Roman" w:eastAsia="宋体" w:cs="Segoe UI"/>
                <w:b w:val="0"/>
                <w:bCs w:val="0"/>
                <w:i w:val="0"/>
                <w:iCs w:val="0"/>
                <w:caps w:val="0"/>
                <w:color w:val="auto"/>
                <w:spacing w:val="0"/>
                <w:sz w:val="21"/>
                <w:szCs w:val="24"/>
                <w:shd w:val="clear" w:fill="FFFFFF"/>
              </w:rPr>
              <w:t>米高排气筒（G1）高空排放。滤筒除尘器对颗粒物的处理效率</w:t>
            </w:r>
            <w:r>
              <w:rPr>
                <w:rFonts w:hint="eastAsia" w:ascii="Times New Roman" w:hAnsi="Times New Roman" w:eastAsia="宋体" w:cs="Segoe UI"/>
                <w:b w:val="0"/>
                <w:bCs w:val="0"/>
                <w:i w:val="0"/>
                <w:iCs w:val="0"/>
                <w:caps w:val="0"/>
                <w:color w:val="auto"/>
                <w:spacing w:val="0"/>
                <w:sz w:val="21"/>
                <w:szCs w:val="24"/>
                <w:shd w:val="clear" w:fill="FFFFFF"/>
                <w:lang w:val="en-US" w:eastAsia="zh-CN"/>
              </w:rPr>
              <w:t>取值</w:t>
            </w:r>
            <w:r>
              <w:rPr>
                <w:rFonts w:hint="default" w:ascii="Times New Roman" w:hAnsi="Times New Roman" w:eastAsia="宋体" w:cs="Segoe UI"/>
                <w:b w:val="0"/>
                <w:bCs w:val="0"/>
                <w:i w:val="0"/>
                <w:iCs w:val="0"/>
                <w:caps w:val="0"/>
                <w:color w:val="auto"/>
                <w:spacing w:val="0"/>
                <w:sz w:val="21"/>
                <w:szCs w:val="24"/>
                <w:shd w:val="clear" w:fill="FFFFFF"/>
              </w:rPr>
              <w:t>90</w:t>
            </w:r>
            <w:r>
              <w:rPr>
                <w:rFonts w:hint="eastAsia" w:ascii="Times New Roman" w:hAnsi="Times New Roman" w:cs="Segoe UI"/>
                <w:b w:val="0"/>
                <w:bCs w:val="0"/>
                <w:i w:val="0"/>
                <w:iCs w:val="0"/>
                <w:caps w:val="0"/>
                <w:color w:val="auto"/>
                <w:spacing w:val="0"/>
                <w:sz w:val="21"/>
                <w:szCs w:val="24"/>
                <w:shd w:val="clear" w:fill="FFFFFF"/>
                <w:lang w:eastAsia="zh-CN"/>
              </w:rPr>
              <w:t>%以</w:t>
            </w:r>
            <w:r>
              <w:rPr>
                <w:rFonts w:hint="default" w:ascii="Times New Roman" w:hAnsi="Times New Roman" w:eastAsia="宋体" w:cs="Segoe UI"/>
                <w:b w:val="0"/>
                <w:bCs w:val="0"/>
                <w:i w:val="0"/>
                <w:iCs w:val="0"/>
                <w:caps w:val="0"/>
                <w:color w:val="auto"/>
                <w:spacing w:val="0"/>
                <w:sz w:val="21"/>
                <w:szCs w:val="24"/>
                <w:shd w:val="clear" w:fill="FFFFFF"/>
              </w:rPr>
              <w:t>上</w:t>
            </w:r>
            <w:r>
              <w:rPr>
                <w:rFonts w:hint="eastAsia" w:ascii="Times New Roman" w:hAnsi="Times New Roman" w:eastAsia="宋体" w:cs="Segoe UI"/>
                <w:b w:val="0"/>
                <w:bCs w:val="0"/>
                <w:i w:val="0"/>
                <w:iCs w:val="0"/>
                <w:caps w:val="0"/>
                <w:color w:val="auto"/>
                <w:spacing w:val="0"/>
                <w:sz w:val="21"/>
                <w:szCs w:val="24"/>
                <w:shd w:val="clear" w:fill="FFFFFF"/>
                <w:lang w:eastAsia="zh-CN"/>
              </w:rPr>
              <w:t>；</w:t>
            </w:r>
            <w:r>
              <w:rPr>
                <w:rFonts w:hint="eastAsia" w:cs="Segoe UI"/>
                <w:b w:val="0"/>
                <w:bCs w:val="0"/>
                <w:i w:val="0"/>
                <w:iCs w:val="0"/>
                <w:caps w:val="0"/>
                <w:color w:val="auto"/>
                <w:spacing w:val="0"/>
                <w:sz w:val="21"/>
                <w:szCs w:val="24"/>
                <w:shd w:val="clear" w:fill="FFFFFF"/>
                <w:lang w:val="en-US" w:eastAsia="zh-CN"/>
              </w:rPr>
              <w:t>有机废气处理效率取70%。</w:t>
            </w:r>
          </w:p>
          <w:p w14:paraId="56AB222F">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Times New Roman" w:hAnsi="Times New Roman" w:eastAsia="宋体" w:cs="Times New Roman"/>
                <w:b/>
                <w:color w:val="auto"/>
                <w:sz w:val="21"/>
                <w:szCs w:val="24"/>
                <w:lang w:val="en-US" w:eastAsia="zh-CN"/>
              </w:rPr>
            </w:pPr>
            <w:r>
              <w:rPr>
                <w:rFonts w:hint="eastAsia" w:ascii="Times New Roman" w:hAnsi="Times New Roman" w:eastAsia="宋体" w:cs="Times New Roman"/>
                <w:b/>
                <w:color w:val="auto"/>
                <w:sz w:val="21"/>
                <w:szCs w:val="24"/>
                <w:lang w:val="en-US" w:eastAsia="zh-CN"/>
              </w:rPr>
              <w:t>项目鞋底制造工序废气产排情况一览表</w:t>
            </w:r>
          </w:p>
          <w:tbl>
            <w:tblPr>
              <w:tblStyle w:val="48"/>
              <w:tblW w:w="987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86"/>
              <w:gridCol w:w="1887"/>
              <w:gridCol w:w="3772"/>
              <w:gridCol w:w="2334"/>
            </w:tblGrid>
            <w:tr w14:paraId="60B13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7C53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排气筒编号</w:t>
                  </w:r>
                </w:p>
              </w:tc>
              <w:tc>
                <w:tcPr>
                  <w:tcW w:w="6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4B90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G1</w:t>
                  </w:r>
                </w:p>
              </w:tc>
            </w:tr>
            <w:tr w14:paraId="6752D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457E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工序</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B2B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发泡成型、刷处理剂、刷胶</w:t>
                  </w:r>
                </w:p>
              </w:tc>
              <w:tc>
                <w:tcPr>
                  <w:tcW w:w="2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F01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拌料、打粗</w:t>
                  </w:r>
                </w:p>
              </w:tc>
            </w:tr>
            <w:tr w14:paraId="14E7A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98E7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污染物</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ED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挥发性有机物</w:t>
                  </w:r>
                </w:p>
              </w:tc>
              <w:tc>
                <w:tcPr>
                  <w:tcW w:w="2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C12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颗粒物</w:t>
                  </w:r>
                </w:p>
              </w:tc>
            </w:tr>
            <w:tr w14:paraId="6F36F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3BA6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产生量</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17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u w:val="none"/>
                      <w:lang w:val="en-US"/>
                    </w:rPr>
                  </w:pPr>
                  <w:r>
                    <w:rPr>
                      <w:rFonts w:hint="eastAsia" w:ascii="宋体" w:hAnsi="宋体" w:cs="宋体"/>
                      <w:b w:val="0"/>
                      <w:bCs w:val="0"/>
                      <w:i w:val="0"/>
                      <w:iCs w:val="0"/>
                      <w:color w:val="auto"/>
                      <w:kern w:val="0"/>
                      <w:sz w:val="21"/>
                      <w:szCs w:val="21"/>
                      <w:u w:val="none"/>
                      <w:lang w:val="en-US" w:eastAsia="zh-CN" w:bidi="ar"/>
                    </w:rPr>
                    <w:t>0.63</w:t>
                  </w:r>
                </w:p>
              </w:tc>
              <w:tc>
                <w:tcPr>
                  <w:tcW w:w="2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5AD6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u w:val="none"/>
                      <w:lang w:val="en-US"/>
                    </w:rPr>
                  </w:pPr>
                  <w:r>
                    <w:rPr>
                      <w:rFonts w:hint="eastAsia" w:cs="Times New Roman"/>
                      <w:i w:val="0"/>
                      <w:iCs w:val="0"/>
                      <w:color w:val="auto"/>
                      <w:kern w:val="0"/>
                      <w:sz w:val="21"/>
                      <w:szCs w:val="21"/>
                      <w:u w:val="none"/>
                      <w:lang w:val="en-US" w:eastAsia="zh-CN" w:bidi="ar"/>
                    </w:rPr>
                    <w:t>0.97</w:t>
                  </w:r>
                </w:p>
              </w:tc>
            </w:tr>
            <w:tr w14:paraId="7371A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7673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收集效率</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198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30%</w:t>
                  </w:r>
                </w:p>
              </w:tc>
              <w:tc>
                <w:tcPr>
                  <w:tcW w:w="2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5D5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w:t>
                  </w:r>
                </w:p>
              </w:tc>
            </w:tr>
            <w:tr w14:paraId="04588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8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D2BE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有组织</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755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产生量（</w:t>
                  </w:r>
                  <w:r>
                    <w:rPr>
                      <w:rFonts w:hint="default" w:ascii="Times New Roman" w:hAnsi="Times New Roman" w:eastAsia="宋体" w:cs="Times New Roman"/>
                      <w:b/>
                      <w:bCs/>
                      <w:i w:val="0"/>
                      <w:iCs w:val="0"/>
                      <w:color w:val="auto"/>
                      <w:kern w:val="0"/>
                      <w:sz w:val="21"/>
                      <w:szCs w:val="21"/>
                      <w:u w:val="none"/>
                      <w:lang w:val="en-US" w:eastAsia="zh-CN" w:bidi="ar"/>
                    </w:rPr>
                    <w:t>t/a</w:t>
                  </w:r>
                  <w:r>
                    <w:rPr>
                      <w:rFonts w:hint="eastAsia" w:ascii="宋体" w:hAnsi="宋体" w:eastAsia="宋体" w:cs="宋体"/>
                      <w:b/>
                      <w:bCs/>
                      <w:i w:val="0"/>
                      <w:iCs w:val="0"/>
                      <w:color w:val="auto"/>
                      <w:kern w:val="0"/>
                      <w:sz w:val="21"/>
                      <w:szCs w:val="21"/>
                      <w:u w:val="none"/>
                      <w:lang w:val="en-US" w:eastAsia="zh-CN" w:bidi="ar"/>
                    </w:rPr>
                    <w:t>）</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9B36C">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宋体"/>
                      <w:b w:val="0"/>
                      <w:bCs w:val="0"/>
                      <w:i w:val="0"/>
                      <w:iCs w:val="0"/>
                      <w:color w:val="auto"/>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0.189</w:t>
                  </w:r>
                </w:p>
              </w:tc>
              <w:tc>
                <w:tcPr>
                  <w:tcW w:w="2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8465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0.291</w:t>
                  </w:r>
                </w:p>
              </w:tc>
            </w:tr>
            <w:tr w14:paraId="78A68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60AD9">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1"/>
                      <w:szCs w:val="21"/>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D6A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产生速率（</w:t>
                  </w:r>
                  <w:r>
                    <w:rPr>
                      <w:rFonts w:hint="default" w:ascii="Times New Roman" w:hAnsi="Times New Roman" w:eastAsia="宋体" w:cs="Times New Roman"/>
                      <w:b/>
                      <w:bCs/>
                      <w:i w:val="0"/>
                      <w:iCs w:val="0"/>
                      <w:color w:val="auto"/>
                      <w:kern w:val="0"/>
                      <w:sz w:val="21"/>
                      <w:szCs w:val="21"/>
                      <w:u w:val="none"/>
                      <w:lang w:val="en-US" w:eastAsia="zh-CN" w:bidi="ar"/>
                    </w:rPr>
                    <w:t>kg/h</w:t>
                  </w:r>
                  <w:r>
                    <w:rPr>
                      <w:rFonts w:hint="eastAsia" w:ascii="宋体" w:hAnsi="宋体" w:eastAsia="宋体" w:cs="宋体"/>
                      <w:b/>
                      <w:bCs/>
                      <w:i w:val="0"/>
                      <w:iCs w:val="0"/>
                      <w:color w:val="auto"/>
                      <w:kern w:val="0"/>
                      <w:sz w:val="21"/>
                      <w:szCs w:val="21"/>
                      <w:u w:val="none"/>
                      <w:lang w:val="en-US" w:eastAsia="zh-CN" w:bidi="ar"/>
                    </w:rPr>
                    <w:t>）</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E0172">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宋体"/>
                      <w:b w:val="0"/>
                      <w:bCs w:val="0"/>
                      <w:i w:val="0"/>
                      <w:iCs w:val="0"/>
                      <w:color w:val="auto"/>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0.079</w:t>
                  </w:r>
                </w:p>
              </w:tc>
              <w:tc>
                <w:tcPr>
                  <w:tcW w:w="2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9190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0.121</w:t>
                  </w:r>
                </w:p>
              </w:tc>
            </w:tr>
            <w:tr w14:paraId="128DC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79B4E">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1"/>
                      <w:szCs w:val="21"/>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162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产生浓度（</w:t>
                  </w:r>
                  <w:r>
                    <w:rPr>
                      <w:rFonts w:hint="default" w:ascii="Times New Roman" w:hAnsi="Times New Roman" w:eastAsia="宋体" w:cs="Times New Roman"/>
                      <w:b/>
                      <w:bCs/>
                      <w:i w:val="0"/>
                      <w:iCs w:val="0"/>
                      <w:color w:val="auto"/>
                      <w:kern w:val="0"/>
                      <w:sz w:val="21"/>
                      <w:szCs w:val="21"/>
                      <w:u w:val="none"/>
                      <w:lang w:val="en-US" w:eastAsia="zh-CN" w:bidi="ar"/>
                    </w:rPr>
                    <w:t>mg/m³</w:t>
                  </w:r>
                  <w:r>
                    <w:rPr>
                      <w:rFonts w:hint="eastAsia" w:ascii="宋体" w:hAnsi="宋体" w:eastAsia="宋体" w:cs="宋体"/>
                      <w:b/>
                      <w:bCs/>
                      <w:i w:val="0"/>
                      <w:iCs w:val="0"/>
                      <w:color w:val="auto"/>
                      <w:kern w:val="0"/>
                      <w:sz w:val="21"/>
                      <w:szCs w:val="21"/>
                      <w:u w:val="none"/>
                      <w:lang w:val="en-US" w:eastAsia="zh-CN" w:bidi="ar"/>
                    </w:rPr>
                    <w:t>）</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82DA6">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宋体"/>
                      <w:b w:val="0"/>
                      <w:bCs w:val="0"/>
                      <w:i w:val="0"/>
                      <w:iCs w:val="0"/>
                      <w:color w:val="auto"/>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2.625</w:t>
                  </w:r>
                </w:p>
              </w:tc>
              <w:tc>
                <w:tcPr>
                  <w:tcW w:w="2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086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4.042</w:t>
                  </w:r>
                </w:p>
              </w:tc>
            </w:tr>
            <w:tr w14:paraId="61CB8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6939F">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1"/>
                      <w:szCs w:val="21"/>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D0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排放量（</w:t>
                  </w:r>
                  <w:r>
                    <w:rPr>
                      <w:rFonts w:hint="default" w:ascii="Times New Roman" w:hAnsi="Times New Roman" w:eastAsia="宋体" w:cs="Times New Roman"/>
                      <w:b/>
                      <w:bCs/>
                      <w:i w:val="0"/>
                      <w:iCs w:val="0"/>
                      <w:color w:val="auto"/>
                      <w:kern w:val="0"/>
                      <w:sz w:val="21"/>
                      <w:szCs w:val="21"/>
                      <w:u w:val="none"/>
                      <w:lang w:val="en-US" w:eastAsia="zh-CN" w:bidi="ar"/>
                    </w:rPr>
                    <w:t>t/a</w:t>
                  </w:r>
                  <w:r>
                    <w:rPr>
                      <w:rFonts w:hint="eastAsia" w:ascii="宋体" w:hAnsi="宋体" w:eastAsia="宋体" w:cs="宋体"/>
                      <w:b/>
                      <w:bCs/>
                      <w:i w:val="0"/>
                      <w:iCs w:val="0"/>
                      <w:color w:val="auto"/>
                      <w:kern w:val="0"/>
                      <w:sz w:val="21"/>
                      <w:szCs w:val="21"/>
                      <w:u w:val="none"/>
                      <w:lang w:val="en-US" w:eastAsia="zh-CN" w:bidi="ar"/>
                    </w:rPr>
                    <w:t>）</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C6B4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宋体"/>
                      <w:b w:val="0"/>
                      <w:bCs w:val="0"/>
                      <w:i w:val="0"/>
                      <w:iCs w:val="0"/>
                      <w:color w:val="auto"/>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0.057</w:t>
                  </w:r>
                </w:p>
              </w:tc>
              <w:tc>
                <w:tcPr>
                  <w:tcW w:w="2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70D5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0.029</w:t>
                  </w:r>
                </w:p>
              </w:tc>
            </w:tr>
            <w:tr w14:paraId="6400A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E3D01">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1"/>
                      <w:szCs w:val="21"/>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677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排放速率（</w:t>
                  </w:r>
                  <w:r>
                    <w:rPr>
                      <w:rFonts w:hint="default" w:ascii="Times New Roman" w:hAnsi="Times New Roman" w:eastAsia="宋体" w:cs="Times New Roman"/>
                      <w:b/>
                      <w:bCs/>
                      <w:i w:val="0"/>
                      <w:iCs w:val="0"/>
                      <w:color w:val="auto"/>
                      <w:kern w:val="0"/>
                      <w:sz w:val="21"/>
                      <w:szCs w:val="21"/>
                      <w:u w:val="none"/>
                      <w:lang w:val="en-US" w:eastAsia="zh-CN" w:bidi="ar"/>
                    </w:rPr>
                    <w:t>kg/h</w:t>
                  </w:r>
                  <w:r>
                    <w:rPr>
                      <w:rFonts w:hint="eastAsia" w:ascii="宋体" w:hAnsi="宋体" w:eastAsia="宋体" w:cs="宋体"/>
                      <w:b/>
                      <w:bCs/>
                      <w:i w:val="0"/>
                      <w:iCs w:val="0"/>
                      <w:color w:val="auto"/>
                      <w:kern w:val="0"/>
                      <w:sz w:val="21"/>
                      <w:szCs w:val="21"/>
                      <w:u w:val="none"/>
                      <w:lang w:val="en-US" w:eastAsia="zh-CN" w:bidi="ar"/>
                    </w:rPr>
                    <w:t>）</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A116">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宋体"/>
                      <w:b w:val="0"/>
                      <w:bCs w:val="0"/>
                      <w:i w:val="0"/>
                      <w:iCs w:val="0"/>
                      <w:color w:val="auto"/>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0.024</w:t>
                  </w:r>
                </w:p>
              </w:tc>
              <w:tc>
                <w:tcPr>
                  <w:tcW w:w="2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6D7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w:t>
                  </w:r>
                </w:p>
              </w:tc>
            </w:tr>
            <w:tr w14:paraId="03C79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2E9F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1"/>
                      <w:szCs w:val="21"/>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BF8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排放浓度（</w:t>
                  </w:r>
                  <w:r>
                    <w:rPr>
                      <w:rFonts w:hint="default" w:ascii="Times New Roman" w:hAnsi="Times New Roman" w:eastAsia="宋体" w:cs="Times New Roman"/>
                      <w:b/>
                      <w:bCs/>
                      <w:i w:val="0"/>
                      <w:iCs w:val="0"/>
                      <w:color w:val="auto"/>
                      <w:kern w:val="0"/>
                      <w:sz w:val="21"/>
                      <w:szCs w:val="21"/>
                      <w:u w:val="none"/>
                      <w:lang w:val="en-US" w:eastAsia="zh-CN" w:bidi="ar"/>
                    </w:rPr>
                    <w:t>mg/m³</w:t>
                  </w:r>
                  <w:r>
                    <w:rPr>
                      <w:rFonts w:hint="eastAsia" w:ascii="宋体" w:hAnsi="宋体" w:eastAsia="宋体" w:cs="宋体"/>
                      <w:b/>
                      <w:bCs/>
                      <w:i w:val="0"/>
                      <w:iCs w:val="0"/>
                      <w:color w:val="auto"/>
                      <w:kern w:val="0"/>
                      <w:sz w:val="21"/>
                      <w:szCs w:val="21"/>
                      <w:u w:val="none"/>
                      <w:lang w:val="en-US" w:eastAsia="zh-CN" w:bidi="ar"/>
                    </w:rPr>
                    <w:t>）</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1C197">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宋体"/>
                      <w:b w:val="0"/>
                      <w:bCs w:val="0"/>
                      <w:i w:val="0"/>
                      <w:iCs w:val="0"/>
                      <w:color w:val="auto"/>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0.788</w:t>
                  </w:r>
                </w:p>
              </w:tc>
              <w:tc>
                <w:tcPr>
                  <w:tcW w:w="2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4106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0.404</w:t>
                  </w:r>
                </w:p>
              </w:tc>
            </w:tr>
            <w:tr w14:paraId="65757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8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42F1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无组织</w:t>
                  </w: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A72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排放量（</w:t>
                  </w:r>
                  <w:r>
                    <w:rPr>
                      <w:rFonts w:hint="default" w:ascii="Times New Roman" w:hAnsi="Times New Roman" w:eastAsia="宋体" w:cs="Times New Roman"/>
                      <w:b/>
                      <w:bCs/>
                      <w:i w:val="0"/>
                      <w:iCs w:val="0"/>
                      <w:color w:val="auto"/>
                      <w:kern w:val="0"/>
                      <w:sz w:val="21"/>
                      <w:szCs w:val="21"/>
                      <w:u w:val="none"/>
                      <w:lang w:val="en-US" w:eastAsia="zh-CN" w:bidi="ar"/>
                    </w:rPr>
                    <w:t>t/a</w:t>
                  </w:r>
                  <w:r>
                    <w:rPr>
                      <w:rFonts w:hint="eastAsia" w:ascii="宋体" w:hAnsi="宋体" w:eastAsia="宋体" w:cs="宋体"/>
                      <w:b/>
                      <w:bCs/>
                      <w:i w:val="0"/>
                      <w:iCs w:val="0"/>
                      <w:color w:val="auto"/>
                      <w:kern w:val="0"/>
                      <w:sz w:val="21"/>
                      <w:szCs w:val="21"/>
                      <w:u w:val="none"/>
                      <w:lang w:val="en-US" w:eastAsia="zh-CN" w:bidi="ar"/>
                    </w:rPr>
                    <w:t>）</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9970A">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宋体"/>
                      <w:b w:val="0"/>
                      <w:bCs w:val="0"/>
                      <w:i w:val="0"/>
                      <w:iCs w:val="0"/>
                      <w:color w:val="auto"/>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0.441</w:t>
                  </w:r>
                </w:p>
              </w:tc>
              <w:tc>
                <w:tcPr>
                  <w:tcW w:w="2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C47D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0.679</w:t>
                  </w:r>
                </w:p>
              </w:tc>
            </w:tr>
            <w:tr w14:paraId="7CC39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8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5F1C9">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1"/>
                      <w:szCs w:val="21"/>
                      <w:u w:val="none"/>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838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排放速率（</w:t>
                  </w:r>
                  <w:r>
                    <w:rPr>
                      <w:rFonts w:hint="default" w:ascii="Times New Roman" w:hAnsi="Times New Roman" w:eastAsia="宋体" w:cs="Times New Roman"/>
                      <w:b/>
                      <w:bCs/>
                      <w:i w:val="0"/>
                      <w:iCs w:val="0"/>
                      <w:color w:val="auto"/>
                      <w:kern w:val="0"/>
                      <w:sz w:val="21"/>
                      <w:szCs w:val="21"/>
                      <w:u w:val="none"/>
                      <w:lang w:val="en-US" w:eastAsia="zh-CN" w:bidi="ar"/>
                    </w:rPr>
                    <w:t>kg/h</w:t>
                  </w:r>
                  <w:r>
                    <w:rPr>
                      <w:rFonts w:hint="eastAsia" w:ascii="宋体" w:hAnsi="宋体" w:eastAsia="宋体" w:cs="宋体"/>
                      <w:b/>
                      <w:bCs/>
                      <w:i w:val="0"/>
                      <w:iCs w:val="0"/>
                      <w:color w:val="auto"/>
                      <w:kern w:val="0"/>
                      <w:sz w:val="21"/>
                      <w:szCs w:val="21"/>
                      <w:u w:val="none"/>
                      <w:lang w:val="en-US" w:eastAsia="zh-CN" w:bidi="ar"/>
                    </w:rPr>
                    <w:t>）</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CA74E">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宋体"/>
                      <w:b w:val="0"/>
                      <w:bCs w:val="0"/>
                      <w:i w:val="0"/>
                      <w:iCs w:val="0"/>
                      <w:color w:val="auto"/>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0.184</w:t>
                  </w:r>
                </w:p>
              </w:tc>
              <w:tc>
                <w:tcPr>
                  <w:tcW w:w="2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7D5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0.283</w:t>
                  </w:r>
                </w:p>
              </w:tc>
            </w:tr>
            <w:tr w14:paraId="22930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942F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总抽风量（</w:t>
                  </w:r>
                  <w:r>
                    <w:rPr>
                      <w:rFonts w:hint="default" w:ascii="Times New Roman" w:hAnsi="Times New Roman" w:eastAsia="宋体" w:cs="Times New Roman"/>
                      <w:b/>
                      <w:bCs/>
                      <w:i w:val="0"/>
                      <w:iCs w:val="0"/>
                      <w:color w:val="auto"/>
                      <w:kern w:val="0"/>
                      <w:sz w:val="21"/>
                      <w:szCs w:val="21"/>
                      <w:u w:val="none"/>
                      <w:lang w:val="en-US" w:eastAsia="zh-CN" w:bidi="ar"/>
                    </w:rPr>
                    <w:t>m³/h</w:t>
                  </w:r>
                  <w:r>
                    <w:rPr>
                      <w:rFonts w:hint="eastAsia" w:ascii="宋体" w:hAnsi="宋体" w:eastAsia="宋体" w:cs="宋体"/>
                      <w:b/>
                      <w:bCs/>
                      <w:i w:val="0"/>
                      <w:iCs w:val="0"/>
                      <w:color w:val="auto"/>
                      <w:kern w:val="0"/>
                      <w:sz w:val="21"/>
                      <w:szCs w:val="21"/>
                      <w:u w:val="none"/>
                      <w:lang w:val="en-US" w:eastAsia="zh-CN" w:bidi="ar"/>
                    </w:rPr>
                    <w:t>）</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56C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30000</w:t>
                  </w:r>
                </w:p>
              </w:tc>
              <w:tc>
                <w:tcPr>
                  <w:tcW w:w="2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4E7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30000</w:t>
                  </w:r>
                </w:p>
              </w:tc>
            </w:tr>
            <w:tr w14:paraId="1FB50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26D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工作时间（</w:t>
                  </w:r>
                  <w:r>
                    <w:rPr>
                      <w:rFonts w:hint="default" w:ascii="Times New Roman" w:hAnsi="Times New Roman" w:eastAsia="宋体" w:cs="Times New Roman"/>
                      <w:b/>
                      <w:bCs/>
                      <w:i w:val="0"/>
                      <w:iCs w:val="0"/>
                      <w:color w:val="auto"/>
                      <w:kern w:val="0"/>
                      <w:sz w:val="21"/>
                      <w:szCs w:val="21"/>
                      <w:u w:val="none"/>
                      <w:lang w:val="en-US" w:eastAsia="zh-CN" w:bidi="ar"/>
                    </w:rPr>
                    <w:t>h/a</w:t>
                  </w:r>
                  <w:r>
                    <w:rPr>
                      <w:rFonts w:hint="eastAsia" w:ascii="宋体" w:hAnsi="宋体" w:eastAsia="宋体" w:cs="宋体"/>
                      <w:b/>
                      <w:bCs/>
                      <w:i w:val="0"/>
                      <w:iCs w:val="0"/>
                      <w:color w:val="auto"/>
                      <w:kern w:val="0"/>
                      <w:sz w:val="21"/>
                      <w:szCs w:val="21"/>
                      <w:u w:val="none"/>
                      <w:lang w:val="en-US" w:eastAsia="zh-CN" w:bidi="ar"/>
                    </w:rPr>
                    <w:t>）</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562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2400</w:t>
                  </w:r>
                </w:p>
              </w:tc>
              <w:tc>
                <w:tcPr>
                  <w:tcW w:w="2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2B3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2400</w:t>
                  </w:r>
                </w:p>
              </w:tc>
            </w:tr>
          </w:tbl>
          <w:p w14:paraId="54D43FB2">
            <w:pPr>
              <w:pStyle w:val="4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rightChars="0" w:firstLine="420" w:firstLineChars="200"/>
              <w:jc w:val="both"/>
              <w:textAlignment w:val="auto"/>
              <w:rPr>
                <w:rFonts w:hint="default" w:ascii="Times New Roman" w:hAnsi="Times New Roman" w:eastAsia="宋体" w:cs="Segoe UI"/>
                <w:i w:val="0"/>
                <w:iCs w:val="0"/>
                <w:caps w:val="0"/>
                <w:color w:val="auto"/>
                <w:spacing w:val="0"/>
                <w:sz w:val="21"/>
                <w:szCs w:val="24"/>
                <w:shd w:val="clear" w:fill="FFFFFF"/>
                <w:lang w:val="en-US" w:eastAsia="zh-CN"/>
              </w:rPr>
            </w:pPr>
            <w:r>
              <w:rPr>
                <w:rFonts w:hint="default" w:ascii="Times New Roman" w:hAnsi="Times New Roman" w:eastAsia="宋体" w:cs="Segoe UI"/>
                <w:i w:val="0"/>
                <w:iCs w:val="0"/>
                <w:caps w:val="0"/>
                <w:color w:val="auto"/>
                <w:spacing w:val="0"/>
                <w:sz w:val="21"/>
                <w:szCs w:val="24"/>
                <w:shd w:val="clear" w:fill="FFFFFF"/>
                <w:lang w:val="en-US" w:eastAsia="zh-CN"/>
              </w:rPr>
              <w:t>本项目鞋底制造工序废气经</w:t>
            </w:r>
            <w:r>
              <w:rPr>
                <w:rFonts w:hint="eastAsia" w:ascii="Times New Roman" w:hAnsi="Times New Roman" w:cs="Segoe UI"/>
                <w:i w:val="0"/>
                <w:iCs w:val="0"/>
                <w:caps w:val="0"/>
                <w:color w:val="auto"/>
                <w:spacing w:val="0"/>
                <w:sz w:val="21"/>
                <w:szCs w:val="24"/>
                <w:shd w:val="clear" w:fill="FFFFFF"/>
                <w:lang w:val="en-US" w:eastAsia="zh-CN"/>
              </w:rPr>
              <w:t>集气罩</w:t>
            </w:r>
            <w:r>
              <w:rPr>
                <w:rFonts w:hint="default" w:ascii="Times New Roman" w:hAnsi="Times New Roman" w:eastAsia="宋体" w:cs="Segoe UI"/>
                <w:i w:val="0"/>
                <w:iCs w:val="0"/>
                <w:caps w:val="0"/>
                <w:color w:val="auto"/>
                <w:spacing w:val="0"/>
                <w:sz w:val="21"/>
                <w:szCs w:val="24"/>
                <w:shd w:val="clear" w:fill="FFFFFF"/>
                <w:lang w:val="en-US" w:eastAsia="zh-CN"/>
              </w:rPr>
              <w:t>收集后引入“滤筒除尘器+二级活性炭吸附”装置处理，尾气通过50m高排气筒（G1）高空排放</w:t>
            </w:r>
            <w:r>
              <w:rPr>
                <w:rFonts w:hint="eastAsia" w:ascii="Times New Roman" w:hAnsi="Times New Roman" w:eastAsia="宋体" w:cs="Segoe UI"/>
                <w:i w:val="0"/>
                <w:iCs w:val="0"/>
                <w:caps w:val="0"/>
                <w:color w:val="auto"/>
                <w:spacing w:val="0"/>
                <w:sz w:val="21"/>
                <w:szCs w:val="24"/>
                <w:shd w:val="clear" w:fill="FFFFFF"/>
                <w:lang w:val="en-US" w:eastAsia="zh-CN"/>
              </w:rPr>
              <w:t>；</w:t>
            </w:r>
            <w:r>
              <w:rPr>
                <w:rFonts w:hint="default" w:ascii="Times New Roman" w:hAnsi="Times New Roman" w:eastAsia="宋体" w:cs="Segoe UI"/>
                <w:i w:val="0"/>
                <w:iCs w:val="0"/>
                <w:caps w:val="0"/>
                <w:color w:val="auto"/>
                <w:spacing w:val="0"/>
                <w:sz w:val="21"/>
                <w:szCs w:val="24"/>
                <w:shd w:val="clear" w:fill="FFFFFF"/>
                <w:lang w:val="en-US" w:eastAsia="zh-CN"/>
              </w:rPr>
              <w:t>非甲烷总烃执行</w:t>
            </w:r>
            <w:r>
              <w:rPr>
                <w:rFonts w:hint="default" w:ascii="Times New Roman" w:hAnsi="Times New Roman" w:eastAsia="宋体" w:cs="var(--dsw-font-markdown-table)"/>
                <w:kern w:val="0"/>
                <w:sz w:val="21"/>
                <w:szCs w:val="24"/>
                <w:lang w:val="en-US" w:eastAsia="zh-CN" w:bidi="ar"/>
              </w:rPr>
              <w:t>广东省《固定污染源挥发性有机物综合排放标准》（DB44/2367</w:t>
            </w:r>
            <w:r>
              <w:rPr>
                <w:rFonts w:hint="eastAsia" w:ascii="Times New Roman" w:hAnsi="Times New Roman" w:eastAsia="宋体" w:cs="var(--dsw-font-markdown-table)"/>
                <w:kern w:val="0"/>
                <w:sz w:val="21"/>
                <w:szCs w:val="24"/>
                <w:lang w:val="en-US" w:eastAsia="zh-CN" w:bidi="ar"/>
              </w:rPr>
              <w:t xml:space="preserve">- </w:t>
            </w:r>
            <w:r>
              <w:rPr>
                <w:rFonts w:hint="default" w:ascii="Times New Roman" w:hAnsi="Times New Roman" w:eastAsia="宋体" w:cs="var(--dsw-font-markdown-table)"/>
                <w:kern w:val="0"/>
                <w:sz w:val="21"/>
                <w:szCs w:val="24"/>
                <w:lang w:val="en-US" w:eastAsia="zh-CN" w:bidi="ar"/>
              </w:rPr>
              <w:t>2022）表1限值</w:t>
            </w:r>
            <w:r>
              <w:rPr>
                <w:rFonts w:hint="default" w:ascii="Times New Roman" w:hAnsi="Times New Roman" w:eastAsia="宋体" w:cs="var(--dsw-font-markdown-table)"/>
                <w:b/>
                <w:bCs/>
                <w:kern w:val="0"/>
                <w:sz w:val="21"/>
                <w:szCs w:val="24"/>
                <w:lang w:val="en-US" w:eastAsia="zh-CN" w:bidi="ar"/>
              </w:rPr>
              <w:t>与</w:t>
            </w:r>
            <w:r>
              <w:rPr>
                <w:rFonts w:hint="default" w:ascii="Times New Roman" w:hAnsi="Times New Roman" w:eastAsia="宋体" w:cs="var(--dsw-font-markdown-table)"/>
                <w:kern w:val="0"/>
                <w:sz w:val="21"/>
                <w:szCs w:val="24"/>
                <w:lang w:val="en-US" w:eastAsia="zh-CN" w:bidi="ar"/>
              </w:rPr>
              <w:t>《合成树脂工业污染物排放标准》（GB31572</w:t>
            </w:r>
            <w:r>
              <w:rPr>
                <w:rFonts w:hint="eastAsia" w:ascii="Times New Roman" w:hAnsi="Times New Roman" w:eastAsia="宋体" w:cs="var(--dsw-font-markdown-table)"/>
                <w:kern w:val="0"/>
                <w:sz w:val="21"/>
                <w:szCs w:val="24"/>
                <w:lang w:val="en-US" w:eastAsia="zh-CN" w:bidi="ar"/>
              </w:rPr>
              <w:t xml:space="preserve">- </w:t>
            </w:r>
            <w:r>
              <w:rPr>
                <w:rFonts w:hint="default" w:ascii="Times New Roman" w:hAnsi="Times New Roman" w:eastAsia="宋体" w:cs="var(--dsw-font-markdown-table)"/>
                <w:kern w:val="0"/>
                <w:sz w:val="21"/>
                <w:szCs w:val="24"/>
                <w:lang w:val="en-US" w:eastAsia="zh-CN" w:bidi="ar"/>
              </w:rPr>
              <w:t>2015）及其修改单表4限值</w:t>
            </w:r>
            <w:r>
              <w:rPr>
                <w:rFonts w:hint="default" w:ascii="Times New Roman" w:hAnsi="Times New Roman" w:eastAsia="宋体" w:cs="var(--dsw-font-markdown-table)"/>
                <w:b/>
                <w:bCs/>
                <w:kern w:val="0"/>
                <w:sz w:val="21"/>
                <w:szCs w:val="24"/>
                <w:lang w:val="en-US" w:eastAsia="zh-CN" w:bidi="ar"/>
              </w:rPr>
              <w:t>较严值</w:t>
            </w:r>
            <w:r>
              <w:rPr>
                <w:rFonts w:hint="default" w:ascii="Times New Roman" w:hAnsi="Times New Roman" w:eastAsia="宋体" w:cs="Segoe UI"/>
                <w:i w:val="0"/>
                <w:iCs w:val="0"/>
                <w:caps w:val="0"/>
                <w:color w:val="auto"/>
                <w:spacing w:val="0"/>
                <w:sz w:val="21"/>
                <w:szCs w:val="24"/>
                <w:shd w:val="clear" w:fill="FFFFFF"/>
                <w:lang w:val="en-US" w:eastAsia="zh-CN"/>
              </w:rPr>
              <w:t>；总VOCs执行广东省《制鞋行业挥发性有机化合物排放标准》（DB44/817</w:t>
            </w:r>
            <w:r>
              <w:rPr>
                <w:rFonts w:hint="eastAsia" w:ascii="Times New Roman" w:hAnsi="Times New Roman" w:cs="Segoe UI"/>
                <w:i w:val="0"/>
                <w:iCs w:val="0"/>
                <w:caps w:val="0"/>
                <w:color w:val="auto"/>
                <w:spacing w:val="0"/>
                <w:sz w:val="21"/>
                <w:szCs w:val="24"/>
                <w:shd w:val="clear" w:fill="FFFFFF"/>
                <w:lang w:val="en-US" w:eastAsia="zh-CN"/>
              </w:rPr>
              <w:t xml:space="preserve"> -</w:t>
            </w:r>
            <w:r>
              <w:rPr>
                <w:rFonts w:hint="default" w:ascii="Times New Roman" w:hAnsi="Times New Roman" w:eastAsia="宋体" w:cs="Segoe UI"/>
                <w:i w:val="0"/>
                <w:iCs w:val="0"/>
                <w:caps w:val="0"/>
                <w:color w:val="auto"/>
                <w:spacing w:val="0"/>
                <w:sz w:val="21"/>
                <w:szCs w:val="24"/>
                <w:shd w:val="clear" w:fill="FFFFFF"/>
                <w:lang w:val="en-US" w:eastAsia="zh-CN"/>
              </w:rPr>
              <w:t>2010）表1第Ⅱ时段限值；颗粒物执行《合成树脂工业污染物排放标准》（GB31572</w:t>
            </w:r>
            <w:r>
              <w:rPr>
                <w:rFonts w:hint="eastAsia" w:ascii="Times New Roman" w:hAnsi="Times New Roman" w:cs="Segoe UI"/>
                <w:i w:val="0"/>
                <w:iCs w:val="0"/>
                <w:caps w:val="0"/>
                <w:color w:val="auto"/>
                <w:spacing w:val="0"/>
                <w:sz w:val="21"/>
                <w:szCs w:val="24"/>
                <w:shd w:val="clear" w:fill="FFFFFF"/>
                <w:lang w:val="en-US" w:eastAsia="zh-CN"/>
              </w:rPr>
              <w:t xml:space="preserve">- </w:t>
            </w:r>
            <w:r>
              <w:rPr>
                <w:rFonts w:hint="default" w:ascii="Times New Roman" w:hAnsi="Times New Roman" w:eastAsia="宋体" w:cs="Segoe UI"/>
                <w:i w:val="0"/>
                <w:iCs w:val="0"/>
                <w:caps w:val="0"/>
                <w:color w:val="auto"/>
                <w:spacing w:val="0"/>
                <w:sz w:val="21"/>
                <w:szCs w:val="24"/>
                <w:shd w:val="clear" w:fill="FFFFFF"/>
                <w:lang w:val="en-US" w:eastAsia="zh-CN"/>
              </w:rPr>
              <w:t>2015）</w:t>
            </w:r>
            <w:r>
              <w:rPr>
                <w:rFonts w:hint="default" w:ascii="Times New Roman" w:hAnsi="Times New Roman" w:eastAsia="宋体" w:cs="var(--dsw-font-markdown-table)"/>
                <w:kern w:val="0"/>
                <w:sz w:val="21"/>
                <w:szCs w:val="24"/>
                <w:lang w:val="en-US" w:eastAsia="zh-CN" w:bidi="ar"/>
              </w:rPr>
              <w:t>及其修改单</w:t>
            </w:r>
            <w:r>
              <w:rPr>
                <w:rFonts w:hint="default" w:ascii="Times New Roman" w:hAnsi="Times New Roman" w:eastAsia="宋体" w:cs="Segoe UI"/>
                <w:i w:val="0"/>
                <w:iCs w:val="0"/>
                <w:caps w:val="0"/>
                <w:color w:val="auto"/>
                <w:spacing w:val="0"/>
                <w:sz w:val="21"/>
                <w:szCs w:val="24"/>
                <w:shd w:val="clear" w:fill="FFFFFF"/>
                <w:lang w:val="en-US" w:eastAsia="zh-CN"/>
              </w:rPr>
              <w:t>表4限值；臭气浓度执行《恶臭污染物排放标准》（GB14554</w:t>
            </w:r>
            <w:r>
              <w:rPr>
                <w:rFonts w:hint="eastAsia" w:ascii="Times New Roman" w:hAnsi="Times New Roman" w:cs="Segoe UI"/>
                <w:i w:val="0"/>
                <w:iCs w:val="0"/>
                <w:caps w:val="0"/>
                <w:color w:val="auto"/>
                <w:spacing w:val="0"/>
                <w:sz w:val="21"/>
                <w:szCs w:val="24"/>
                <w:shd w:val="clear" w:fill="FFFFFF"/>
                <w:lang w:val="en-US" w:eastAsia="zh-CN"/>
              </w:rPr>
              <w:t xml:space="preserve">- </w:t>
            </w:r>
            <w:r>
              <w:rPr>
                <w:rFonts w:hint="default" w:ascii="Times New Roman" w:hAnsi="Times New Roman" w:eastAsia="宋体" w:cs="Segoe UI"/>
                <w:i w:val="0"/>
                <w:iCs w:val="0"/>
                <w:caps w:val="0"/>
                <w:color w:val="auto"/>
                <w:spacing w:val="0"/>
                <w:sz w:val="21"/>
                <w:szCs w:val="24"/>
                <w:shd w:val="clear" w:fill="FFFFFF"/>
                <w:lang w:val="en-US" w:eastAsia="zh-CN"/>
              </w:rPr>
              <w:t>93）表2限值</w:t>
            </w:r>
            <w:r>
              <w:rPr>
                <w:rFonts w:hint="eastAsia" w:ascii="Times New Roman" w:hAnsi="Times New Roman" w:cs="Segoe UI"/>
                <w:i w:val="0"/>
                <w:iCs w:val="0"/>
                <w:caps w:val="0"/>
                <w:color w:val="auto"/>
                <w:spacing w:val="0"/>
                <w:sz w:val="21"/>
                <w:szCs w:val="24"/>
                <w:shd w:val="clear" w:fill="FFFFFF"/>
                <w:lang w:val="en-US" w:eastAsia="zh-CN"/>
              </w:rPr>
              <w:t>；</w:t>
            </w:r>
            <w:r>
              <w:rPr>
                <w:rFonts w:hint="default" w:ascii="Times New Roman" w:hAnsi="Times New Roman" w:eastAsia="宋体" w:cs="Segoe UI"/>
                <w:i w:val="0"/>
                <w:iCs w:val="0"/>
                <w:caps w:val="0"/>
                <w:color w:val="auto"/>
                <w:spacing w:val="0"/>
                <w:sz w:val="21"/>
                <w:szCs w:val="24"/>
                <w:shd w:val="clear" w:fill="FFFFFF"/>
                <w:lang w:val="en-US" w:eastAsia="zh-CN"/>
              </w:rPr>
              <w:t>各污染物均能实现达标排放，对周围大气环境影响不大。</w:t>
            </w:r>
          </w:p>
          <w:p w14:paraId="64D3AC35">
            <w:pPr>
              <w:pStyle w:val="44"/>
              <w:keepNext w:val="0"/>
              <w:keepLines w:val="0"/>
              <w:widowControl/>
              <w:numPr>
                <w:ilvl w:val="0"/>
                <w:numId w:val="24"/>
              </w:numPr>
              <w:suppressLineNumbers w:val="0"/>
              <w:spacing w:before="0" w:beforeAutospacing="0" w:after="0" w:afterAutospacing="0" w:line="360" w:lineRule="auto"/>
              <w:ind w:left="0" w:right="0" w:firstLine="0"/>
              <w:jc w:val="both"/>
              <w:rPr>
                <w:rFonts w:hint="default" w:ascii="Times New Roman" w:hAnsi="Times New Roman" w:eastAsia="宋体" w:cs="Segoe UI"/>
                <w:b/>
                <w:bCs/>
                <w:i w:val="0"/>
                <w:iCs w:val="0"/>
                <w:caps w:val="0"/>
                <w:strike w:val="0"/>
                <w:color w:val="auto"/>
                <w:spacing w:val="0"/>
                <w:sz w:val="21"/>
                <w:szCs w:val="24"/>
                <w:u w:val="none"/>
              </w:rPr>
            </w:pPr>
            <w:r>
              <w:rPr>
                <w:rFonts w:hint="default" w:ascii="Times New Roman" w:hAnsi="Times New Roman" w:eastAsia="宋体" w:cs="Segoe UI"/>
                <w:b/>
                <w:bCs/>
                <w:i w:val="0"/>
                <w:iCs w:val="0"/>
                <w:caps w:val="0"/>
                <w:strike w:val="0"/>
                <w:color w:val="auto"/>
                <w:spacing w:val="0"/>
                <w:sz w:val="21"/>
                <w:szCs w:val="24"/>
                <w:u w:val="none"/>
              </w:rPr>
              <w:t>鞋面制造工序废气</w:t>
            </w:r>
          </w:p>
          <w:p w14:paraId="0C71D07C">
            <w:pPr>
              <w:pStyle w:val="4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rightChars="0" w:firstLine="420" w:firstLineChars="200"/>
              <w:jc w:val="both"/>
              <w:textAlignment w:val="auto"/>
              <w:rPr>
                <w:rFonts w:hint="default" w:ascii="Times New Roman" w:hAnsi="Times New Roman" w:eastAsia="宋体" w:cs="Segoe UI"/>
                <w:b/>
                <w:bCs/>
                <w:i w:val="0"/>
                <w:iCs w:val="0"/>
                <w:caps w:val="0"/>
                <w:strike w:val="0"/>
                <w:color w:val="auto"/>
                <w:spacing w:val="0"/>
                <w:sz w:val="21"/>
                <w:szCs w:val="24"/>
                <w:u w:val="none"/>
              </w:rPr>
            </w:pPr>
            <w:r>
              <w:rPr>
                <w:rFonts w:hint="default" w:ascii="Times New Roman" w:hAnsi="Times New Roman" w:eastAsia="宋体" w:cs="Segoe UI"/>
                <w:i w:val="0"/>
                <w:iCs w:val="0"/>
                <w:caps w:val="0"/>
                <w:color w:val="auto"/>
                <w:spacing w:val="0"/>
                <w:sz w:val="21"/>
                <w:szCs w:val="24"/>
                <w:shd w:val="clear" w:fill="FFFFFF"/>
              </w:rPr>
              <w:t>本项目鞋面制造工序产生的废气主要包括激光切割烟尘、UV打印废气、打转印纸废气、丝印废气以及热转印/高频/热压/熔断/烫布标废气。根据各工序废气产生特点，采取分类控制措施：</w:t>
            </w:r>
          </w:p>
          <w:p w14:paraId="10DB1741">
            <w:pPr>
              <w:pStyle w:val="44"/>
              <w:keepNext w:val="0"/>
              <w:keepLines w:val="0"/>
              <w:widowControl/>
              <w:numPr>
                <w:ilvl w:val="0"/>
                <w:numId w:val="25"/>
              </w:numPr>
              <w:suppressLineNumbers w:val="0"/>
              <w:spacing w:before="0" w:beforeAutospacing="0" w:after="0" w:afterAutospacing="0" w:line="360" w:lineRule="auto"/>
              <w:ind w:left="210" w:leftChars="0" w:right="0" w:firstLine="420" w:firstLineChars="0"/>
              <w:jc w:val="both"/>
              <w:rPr>
                <w:rFonts w:hint="default" w:ascii="Times New Roman" w:hAnsi="Times New Roman" w:eastAsia="宋体" w:cs="Segoe UI"/>
                <w:b w:val="0"/>
                <w:bCs/>
                <w:i w:val="0"/>
                <w:iCs w:val="0"/>
                <w:caps w:val="0"/>
                <w:strike w:val="0"/>
                <w:color w:val="auto"/>
                <w:spacing w:val="0"/>
                <w:sz w:val="21"/>
                <w:szCs w:val="24"/>
                <w:u w:val="none"/>
                <w:lang w:val="en-US" w:eastAsia="zh-CN"/>
              </w:rPr>
            </w:pPr>
            <w:r>
              <w:rPr>
                <w:rFonts w:hint="default" w:ascii="Times New Roman" w:hAnsi="Times New Roman" w:eastAsia="宋体" w:cs="Segoe UI"/>
                <w:b w:val="0"/>
                <w:bCs/>
                <w:i w:val="0"/>
                <w:iCs w:val="0"/>
                <w:caps w:val="0"/>
                <w:strike w:val="0"/>
                <w:color w:val="auto"/>
                <w:spacing w:val="0"/>
                <w:sz w:val="21"/>
                <w:szCs w:val="24"/>
                <w:u w:val="none"/>
                <w:lang w:val="en-US" w:eastAsia="zh-CN"/>
              </w:rPr>
              <w:t>激光切割烟尘</w:t>
            </w:r>
          </w:p>
          <w:p w14:paraId="753DAD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b w:val="0"/>
                <w:i w:val="0"/>
                <w:iCs w:val="0"/>
                <w:caps w:val="0"/>
                <w:strike w:val="0"/>
                <w:color w:val="auto"/>
                <w:spacing w:val="0"/>
                <w:kern w:val="0"/>
                <w:sz w:val="21"/>
                <w:szCs w:val="24"/>
                <w:u w:val="none"/>
                <w:lang w:val="en-US" w:eastAsia="zh-CN" w:bidi="ar-SA"/>
              </w:rPr>
            </w:pP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激光切割工序利用高能激光束对合成革、网布等材料进行热切割，切割过程中材料受热熔融会产生少量烟尘（颗粒物）和异味（臭气浓度）。由于激光切割为瞬间局部加热，产生的烟尘量极少，本次评价仅作定性分析，通过加强车间通风换气后以无组织形式排放。</w:t>
            </w:r>
          </w:p>
          <w:p w14:paraId="27C4C621">
            <w:pPr>
              <w:pStyle w:val="44"/>
              <w:keepNext w:val="0"/>
              <w:keepLines w:val="0"/>
              <w:widowControl/>
              <w:numPr>
                <w:ilvl w:val="0"/>
                <w:numId w:val="25"/>
              </w:numPr>
              <w:suppressLineNumbers w:val="0"/>
              <w:spacing w:before="0" w:beforeAutospacing="0" w:after="0" w:afterAutospacing="0" w:line="360" w:lineRule="auto"/>
              <w:ind w:left="210" w:leftChars="0" w:right="0" w:firstLine="420" w:firstLineChars="0"/>
              <w:jc w:val="both"/>
              <w:rPr>
                <w:rFonts w:hint="default" w:ascii="Times New Roman" w:hAnsi="Times New Roman" w:eastAsia="宋体" w:cs="Segoe UI"/>
                <w:b w:val="0"/>
                <w:bCs/>
                <w:i w:val="0"/>
                <w:iCs w:val="0"/>
                <w:caps w:val="0"/>
                <w:strike w:val="0"/>
                <w:color w:val="auto"/>
                <w:spacing w:val="0"/>
                <w:sz w:val="21"/>
                <w:szCs w:val="24"/>
                <w:u w:val="none"/>
                <w:lang w:val="en-US" w:eastAsia="zh-CN"/>
              </w:rPr>
            </w:pPr>
            <w:r>
              <w:rPr>
                <w:rFonts w:hint="default" w:ascii="Times New Roman" w:hAnsi="Times New Roman" w:eastAsia="宋体" w:cs="Segoe UI"/>
                <w:b w:val="0"/>
                <w:bCs/>
                <w:i w:val="0"/>
                <w:iCs w:val="0"/>
                <w:caps w:val="0"/>
                <w:strike w:val="0"/>
                <w:color w:val="auto"/>
                <w:spacing w:val="0"/>
                <w:sz w:val="21"/>
                <w:szCs w:val="24"/>
                <w:u w:val="none"/>
                <w:lang w:val="en-US" w:eastAsia="zh-CN"/>
              </w:rPr>
              <w:t>UV打印工序</w:t>
            </w:r>
          </w:p>
          <w:p w14:paraId="2B28BA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b/>
                <w:bCs/>
                <w:i w:val="0"/>
                <w:iCs w:val="0"/>
                <w:caps w:val="0"/>
                <w:strike w:val="0"/>
                <w:color w:val="auto"/>
                <w:spacing w:val="0"/>
                <w:kern w:val="0"/>
                <w:sz w:val="21"/>
                <w:szCs w:val="24"/>
                <w:u w:val="none"/>
                <w:lang w:val="en-US" w:eastAsia="zh-CN" w:bidi="ar-SA"/>
              </w:rPr>
            </w:pP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UV打印机将UV油墨直接喷印在鞋面裁片表面，经UV灯照射瞬间固化。UV油墨中的有机成分在喷印和固化过程中会挥发产生有机废气。根据企业提供MSDS，UV油墨VOCs含量极低（＜5%），本项目UV油墨年用量0.3t/a，保守按最不利情况取5%计算，UV打印工序挥发性有机物（以非甲烷总烃、总VOCs计）产生量约为</w:t>
            </w:r>
            <w:r>
              <w:rPr>
                <w:rFonts w:hint="default" w:ascii="Times New Roman" w:hAnsi="Times New Roman" w:eastAsia="宋体" w:cs="Segoe UI"/>
                <w:b/>
                <w:bCs/>
                <w:i w:val="0"/>
                <w:iCs w:val="0"/>
                <w:caps w:val="0"/>
                <w:strike w:val="0"/>
                <w:color w:val="auto"/>
                <w:spacing w:val="0"/>
                <w:kern w:val="0"/>
                <w:sz w:val="21"/>
                <w:szCs w:val="24"/>
                <w:u w:val="none"/>
                <w:lang w:val="en-US" w:eastAsia="zh-CN" w:bidi="ar-SA"/>
              </w:rPr>
              <w:t>0.015t/a</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w:t>
            </w:r>
          </w:p>
          <w:p w14:paraId="0903550E">
            <w:pPr>
              <w:pStyle w:val="44"/>
              <w:keepNext w:val="0"/>
              <w:keepLines w:val="0"/>
              <w:widowControl/>
              <w:numPr>
                <w:ilvl w:val="0"/>
                <w:numId w:val="25"/>
              </w:numPr>
              <w:suppressLineNumbers w:val="0"/>
              <w:spacing w:before="0" w:beforeAutospacing="0" w:after="0" w:afterAutospacing="0" w:line="360" w:lineRule="auto"/>
              <w:ind w:left="210" w:leftChars="0" w:right="0" w:firstLine="420" w:firstLineChars="0"/>
              <w:jc w:val="both"/>
              <w:rPr>
                <w:rFonts w:hint="default" w:ascii="Times New Roman" w:hAnsi="Times New Roman" w:eastAsia="宋体" w:cs="Segoe UI"/>
                <w:b w:val="0"/>
                <w:bCs/>
                <w:i w:val="0"/>
                <w:iCs w:val="0"/>
                <w:caps w:val="0"/>
                <w:strike w:val="0"/>
                <w:color w:val="auto"/>
                <w:spacing w:val="0"/>
                <w:sz w:val="21"/>
                <w:szCs w:val="24"/>
                <w:u w:val="none"/>
                <w:lang w:val="en-US" w:eastAsia="zh-CN"/>
              </w:rPr>
            </w:pPr>
            <w:r>
              <w:rPr>
                <w:rFonts w:hint="default" w:ascii="Times New Roman" w:hAnsi="Times New Roman" w:eastAsia="宋体" w:cs="Segoe UI"/>
                <w:b w:val="0"/>
                <w:bCs/>
                <w:i w:val="0"/>
                <w:iCs w:val="0"/>
                <w:caps w:val="0"/>
                <w:strike w:val="0"/>
                <w:color w:val="auto"/>
                <w:spacing w:val="0"/>
                <w:sz w:val="21"/>
                <w:szCs w:val="24"/>
                <w:u w:val="none"/>
                <w:lang w:val="en-US" w:eastAsia="zh-CN"/>
              </w:rPr>
              <w:t>打转印纸工序</w:t>
            </w:r>
          </w:p>
          <w:p w14:paraId="391FF25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b/>
                <w:bCs/>
                <w:i w:val="0"/>
                <w:iCs w:val="0"/>
                <w:caps w:val="0"/>
                <w:strike w:val="0"/>
                <w:color w:val="auto"/>
                <w:spacing w:val="0"/>
                <w:kern w:val="0"/>
                <w:sz w:val="21"/>
                <w:szCs w:val="24"/>
                <w:u w:val="none"/>
                <w:lang w:val="en-US" w:eastAsia="zh-CN" w:bidi="ar-SA"/>
              </w:rPr>
            </w:pP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采用转印纸打印机将图案打印在转印纸上。打印过</w:t>
            </w:r>
            <w:r>
              <w:rPr>
                <w:rFonts w:hint="eastAsia" w:cs="Segoe UI"/>
                <w:b w:val="0"/>
                <w:i w:val="0"/>
                <w:iCs w:val="0"/>
                <w:caps w:val="0"/>
                <w:strike w:val="0"/>
                <w:color w:val="auto"/>
                <w:spacing w:val="0"/>
                <w:kern w:val="0"/>
                <w:sz w:val="21"/>
                <w:szCs w:val="24"/>
                <w:u w:val="none"/>
                <w:lang w:val="en-US" w:eastAsia="zh-CN" w:bidi="ar-SA"/>
              </w:rPr>
              <w:t>程中</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使用的墨水在喷印过程中会有少量有机成分挥发。打转印纸工序使用的墨水为水性墨水，根据MSDS及挥发性有机物检测报告，</w:t>
            </w:r>
            <w:r>
              <w:rPr>
                <w:rFonts w:hint="default" w:ascii="Times New Roman" w:hAnsi="Times New Roman" w:eastAsia="宋体" w:cs="var(--dsw-font-markdown-table)"/>
                <w:color w:val="auto"/>
                <w:kern w:val="0"/>
                <w:sz w:val="21"/>
                <w:szCs w:val="24"/>
                <w:lang w:val="en-US" w:eastAsia="zh-CN" w:bidi="ar"/>
              </w:rPr>
              <w:t>按最不利原则估算（助剂</w:t>
            </w:r>
            <w:r>
              <w:rPr>
                <w:rFonts w:hint="eastAsia" w:cs="var(--dsw-font-markdown-table)"/>
                <w:color w:val="auto"/>
                <w:kern w:val="0"/>
                <w:sz w:val="21"/>
                <w:szCs w:val="24"/>
                <w:lang w:val="en-US" w:eastAsia="zh-CN" w:bidi="ar"/>
              </w:rPr>
              <w:t>3%～5%</w:t>
            </w:r>
            <w:r>
              <w:rPr>
                <w:rFonts w:hint="default" w:ascii="Times New Roman" w:hAnsi="Times New Roman" w:eastAsia="宋体" w:cs="var(--dsw-font-markdown-table)"/>
                <w:color w:val="auto"/>
                <w:kern w:val="0"/>
                <w:sz w:val="21"/>
                <w:szCs w:val="24"/>
                <w:lang w:val="en-US" w:eastAsia="zh-CN" w:bidi="ar"/>
              </w:rPr>
              <w:t>全部挥发），助剂</w:t>
            </w:r>
            <w:r>
              <w:rPr>
                <w:rFonts w:hint="eastAsia" w:ascii="Times New Roman" w:hAnsi="Times New Roman" w:eastAsia="宋体" w:cs="var(--dsw-font-markdown-table)"/>
                <w:color w:val="auto"/>
                <w:kern w:val="0"/>
                <w:sz w:val="21"/>
                <w:szCs w:val="24"/>
                <w:lang w:val="en-US" w:eastAsia="zh-CN" w:bidi="ar"/>
              </w:rPr>
              <w:t>为</w:t>
            </w:r>
            <w:r>
              <w:rPr>
                <w:rFonts w:hint="default" w:ascii="Times New Roman" w:hAnsi="Times New Roman" w:eastAsia="宋体" w:cs="var(--dsw-font-markdown-table)"/>
                <w:color w:val="auto"/>
                <w:kern w:val="0"/>
                <w:sz w:val="21"/>
                <w:szCs w:val="24"/>
                <w:lang w:val="en-US" w:eastAsia="zh-CN" w:bidi="ar"/>
              </w:rPr>
              <w:t>挥发组分（VOCs产生系数按油墨用量的</w:t>
            </w:r>
            <w:r>
              <w:rPr>
                <w:rFonts w:hint="eastAsia" w:ascii="Times New Roman" w:hAnsi="Times New Roman" w:eastAsia="宋体" w:cs="var(--dsw-font-markdown-table)"/>
                <w:color w:val="auto"/>
                <w:kern w:val="0"/>
                <w:sz w:val="21"/>
                <w:szCs w:val="24"/>
                <w:lang w:val="en-US" w:eastAsia="zh-CN" w:bidi="ar"/>
              </w:rPr>
              <w:t>5</w:t>
            </w:r>
            <w:r>
              <w:rPr>
                <w:rFonts w:hint="default" w:ascii="Times New Roman" w:hAnsi="Times New Roman" w:eastAsia="宋体" w:cs="var(--dsw-font-markdown-table)"/>
                <w:color w:val="auto"/>
                <w:kern w:val="0"/>
                <w:sz w:val="21"/>
                <w:szCs w:val="24"/>
                <w:lang w:val="en-US" w:eastAsia="zh-CN" w:bidi="ar"/>
              </w:rPr>
              <w:t>%计）</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，打转印纸工序挥发性有机物（以非甲烷总烃、总VOCs计）产生量约为</w:t>
            </w:r>
            <w:r>
              <w:rPr>
                <w:rFonts w:hint="default" w:ascii="Times New Roman" w:hAnsi="Times New Roman" w:eastAsia="宋体" w:cs="Segoe UI"/>
                <w:b/>
                <w:bCs/>
                <w:i w:val="0"/>
                <w:iCs w:val="0"/>
                <w:caps w:val="0"/>
                <w:strike w:val="0"/>
                <w:color w:val="auto"/>
                <w:spacing w:val="0"/>
                <w:kern w:val="0"/>
                <w:sz w:val="21"/>
                <w:szCs w:val="24"/>
                <w:u w:val="none"/>
                <w:lang w:val="en-US" w:eastAsia="zh-CN" w:bidi="ar-SA"/>
              </w:rPr>
              <w:t>0.0</w:t>
            </w:r>
            <w:r>
              <w:rPr>
                <w:rFonts w:hint="eastAsia" w:cs="Segoe UI"/>
                <w:b/>
                <w:bCs/>
                <w:i w:val="0"/>
                <w:iCs w:val="0"/>
                <w:caps w:val="0"/>
                <w:strike w:val="0"/>
                <w:color w:val="auto"/>
                <w:spacing w:val="0"/>
                <w:kern w:val="0"/>
                <w:sz w:val="21"/>
                <w:szCs w:val="24"/>
                <w:u w:val="none"/>
                <w:lang w:val="en-US" w:eastAsia="zh-CN" w:bidi="ar-SA"/>
              </w:rPr>
              <w:t>2</w:t>
            </w:r>
            <w:r>
              <w:rPr>
                <w:rFonts w:hint="default" w:ascii="Times New Roman" w:hAnsi="Times New Roman" w:eastAsia="宋体" w:cs="Segoe UI"/>
                <w:b/>
                <w:bCs/>
                <w:i w:val="0"/>
                <w:iCs w:val="0"/>
                <w:caps w:val="0"/>
                <w:strike w:val="0"/>
                <w:color w:val="auto"/>
                <w:spacing w:val="0"/>
                <w:kern w:val="0"/>
                <w:sz w:val="21"/>
                <w:szCs w:val="24"/>
                <w:u w:val="none"/>
                <w:lang w:val="en-US" w:eastAsia="zh-CN" w:bidi="ar-SA"/>
              </w:rPr>
              <w:t>t/a</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（0.</w:t>
            </w:r>
            <w:r>
              <w:rPr>
                <w:rFonts w:hint="eastAsia" w:cs="Segoe UI"/>
                <w:b w:val="0"/>
                <w:i w:val="0"/>
                <w:iCs w:val="0"/>
                <w:caps w:val="0"/>
                <w:strike w:val="0"/>
                <w:color w:val="auto"/>
                <w:spacing w:val="0"/>
                <w:kern w:val="0"/>
                <w:sz w:val="21"/>
                <w:szCs w:val="24"/>
                <w:u w:val="none"/>
                <w:lang w:val="en-US" w:eastAsia="zh-CN" w:bidi="ar-SA"/>
              </w:rPr>
              <w:t>4</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w:t>
            </w:r>
            <w:r>
              <w:rPr>
                <w:rFonts w:hint="eastAsia" w:cs="Segoe UI"/>
                <w:b w:val="0"/>
                <w:i w:val="0"/>
                <w:iCs w:val="0"/>
                <w:caps w:val="0"/>
                <w:strike w:val="0"/>
                <w:color w:val="auto"/>
                <w:spacing w:val="0"/>
                <w:kern w:val="0"/>
                <w:sz w:val="21"/>
                <w:szCs w:val="24"/>
                <w:u w:val="none"/>
                <w:lang w:val="en-US" w:eastAsia="zh-CN" w:bidi="ar-SA"/>
              </w:rPr>
              <w:t>5%</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w:t>
            </w:r>
            <w:r>
              <w:rPr>
                <w:rFonts w:hint="default" w:ascii="Times New Roman" w:hAnsi="Times New Roman" w:eastAsia="宋体" w:cs="Segoe UI"/>
                <w:i w:val="0"/>
                <w:iCs w:val="0"/>
                <w:caps w:val="0"/>
                <w:color w:val="auto"/>
                <w:spacing w:val="0"/>
                <w:kern w:val="0"/>
                <w:sz w:val="21"/>
                <w:szCs w:val="24"/>
                <w:lang w:val="en-US" w:eastAsia="zh-CN" w:bidi="ar-SA"/>
              </w:rPr>
              <w:t>。</w:t>
            </w:r>
          </w:p>
          <w:p w14:paraId="5276B026">
            <w:pPr>
              <w:pStyle w:val="44"/>
              <w:keepNext w:val="0"/>
              <w:keepLines w:val="0"/>
              <w:widowControl/>
              <w:numPr>
                <w:ilvl w:val="0"/>
                <w:numId w:val="25"/>
              </w:numPr>
              <w:suppressLineNumbers w:val="0"/>
              <w:spacing w:before="0" w:beforeAutospacing="0" w:after="0" w:afterAutospacing="0" w:line="360" w:lineRule="auto"/>
              <w:ind w:left="210" w:leftChars="0" w:right="0" w:firstLine="420" w:firstLineChars="0"/>
              <w:jc w:val="both"/>
              <w:rPr>
                <w:rFonts w:hint="default" w:ascii="Times New Roman" w:hAnsi="Times New Roman" w:eastAsia="宋体" w:cs="Segoe UI"/>
                <w:b w:val="0"/>
                <w:bCs/>
                <w:i w:val="0"/>
                <w:iCs w:val="0"/>
                <w:caps w:val="0"/>
                <w:strike w:val="0"/>
                <w:color w:val="auto"/>
                <w:spacing w:val="0"/>
                <w:sz w:val="21"/>
                <w:szCs w:val="24"/>
                <w:u w:val="none"/>
                <w:lang w:val="en-US" w:eastAsia="zh-CN"/>
              </w:rPr>
            </w:pPr>
            <w:r>
              <w:rPr>
                <w:rFonts w:hint="default" w:ascii="Times New Roman" w:hAnsi="Times New Roman" w:eastAsia="宋体" w:cs="Segoe UI"/>
                <w:b w:val="0"/>
                <w:bCs/>
                <w:i w:val="0"/>
                <w:iCs w:val="0"/>
                <w:caps w:val="0"/>
                <w:strike w:val="0"/>
                <w:color w:val="auto"/>
                <w:spacing w:val="0"/>
                <w:sz w:val="21"/>
                <w:szCs w:val="24"/>
                <w:u w:val="none"/>
                <w:lang w:val="en-US" w:eastAsia="zh-CN"/>
              </w:rPr>
              <w:t>印花（丝印）工序</w:t>
            </w:r>
          </w:p>
          <w:p w14:paraId="61E2611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b/>
                <w:bCs/>
                <w:i w:val="0"/>
                <w:iCs w:val="0"/>
                <w:caps w:val="0"/>
                <w:strike w:val="0"/>
                <w:color w:val="auto"/>
                <w:spacing w:val="0"/>
                <w:kern w:val="0"/>
                <w:sz w:val="21"/>
                <w:szCs w:val="24"/>
                <w:u w:val="none"/>
                <w:lang w:val="en-US" w:eastAsia="zh-CN" w:bidi="ar-SA"/>
              </w:rPr>
            </w:pP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通过丝网印花方式在鞋面裁片上批量印刷图案。丝印油墨在印刷过程中，有机溶剂成分会挥发产生有机废气。根据企业提供的MSDS及VOCs检测报告，丝印油墨总挥发性有机物含量为未检出（ND，检出限0.2%），丝印油墨年用量1.</w:t>
            </w:r>
            <w:r>
              <w:rPr>
                <w:rFonts w:hint="eastAsia" w:cs="Segoe UI"/>
                <w:b w:val="0"/>
                <w:i w:val="0"/>
                <w:iCs w:val="0"/>
                <w:caps w:val="0"/>
                <w:strike w:val="0"/>
                <w:color w:val="auto"/>
                <w:spacing w:val="0"/>
                <w:kern w:val="0"/>
                <w:sz w:val="21"/>
                <w:szCs w:val="24"/>
                <w:u w:val="none"/>
                <w:lang w:val="en-US" w:eastAsia="zh-CN" w:bidi="ar-SA"/>
              </w:rPr>
              <w:t>5</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t/a，保守按最不利情况取0.2%计算，则丝印工序挥发性有机物（以非甲烷总烃、总VOCs计）产生量约为</w:t>
            </w:r>
            <w:r>
              <w:rPr>
                <w:rFonts w:hint="default" w:ascii="Times New Roman" w:hAnsi="Times New Roman" w:eastAsia="宋体" w:cs="Segoe UI"/>
                <w:b/>
                <w:bCs/>
                <w:i w:val="0"/>
                <w:iCs w:val="0"/>
                <w:caps w:val="0"/>
                <w:strike w:val="0"/>
                <w:color w:val="auto"/>
                <w:spacing w:val="0"/>
                <w:kern w:val="0"/>
                <w:sz w:val="21"/>
                <w:szCs w:val="24"/>
                <w:u w:val="none"/>
                <w:lang w:val="en-US" w:eastAsia="zh-CN" w:bidi="ar-SA"/>
              </w:rPr>
              <w:t>0.003t/a</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（1.</w:t>
            </w:r>
            <w:r>
              <w:rPr>
                <w:rFonts w:hint="eastAsia" w:cs="Segoe UI"/>
                <w:b w:val="0"/>
                <w:i w:val="0"/>
                <w:iCs w:val="0"/>
                <w:caps w:val="0"/>
                <w:strike w:val="0"/>
                <w:color w:val="auto"/>
                <w:spacing w:val="0"/>
                <w:kern w:val="0"/>
                <w:sz w:val="21"/>
                <w:szCs w:val="24"/>
                <w:u w:val="none"/>
                <w:lang w:val="en-US" w:eastAsia="zh-CN" w:bidi="ar-SA"/>
              </w:rPr>
              <w:t>5</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×0.002）</w:t>
            </w:r>
            <w:r>
              <w:rPr>
                <w:rFonts w:hint="default" w:ascii="Times New Roman" w:hAnsi="Times New Roman" w:eastAsia="宋体" w:cs="Segoe UI"/>
                <w:i w:val="0"/>
                <w:iCs w:val="0"/>
                <w:caps w:val="0"/>
                <w:color w:val="auto"/>
                <w:spacing w:val="0"/>
                <w:kern w:val="0"/>
                <w:sz w:val="21"/>
                <w:szCs w:val="24"/>
                <w:lang w:val="en-US" w:eastAsia="zh-CN" w:bidi="ar-SA"/>
              </w:rPr>
              <w:t>，经加强车间通风换气后以无组织形式排放。</w:t>
            </w:r>
          </w:p>
          <w:p w14:paraId="42EA79BD">
            <w:pPr>
              <w:pStyle w:val="44"/>
              <w:keepNext w:val="0"/>
              <w:keepLines w:val="0"/>
              <w:widowControl/>
              <w:numPr>
                <w:ilvl w:val="0"/>
                <w:numId w:val="25"/>
              </w:numPr>
              <w:suppressLineNumbers w:val="0"/>
              <w:spacing w:before="0" w:beforeAutospacing="0" w:after="0" w:afterAutospacing="0" w:line="360" w:lineRule="auto"/>
              <w:ind w:left="210" w:leftChars="0" w:right="0" w:firstLine="420" w:firstLineChars="0"/>
              <w:jc w:val="both"/>
              <w:rPr>
                <w:rFonts w:hint="default" w:ascii="Times New Roman" w:hAnsi="Times New Roman" w:eastAsia="宋体" w:cs="Segoe UI"/>
                <w:b w:val="0"/>
                <w:bCs/>
                <w:i w:val="0"/>
                <w:iCs w:val="0"/>
                <w:caps w:val="0"/>
                <w:strike w:val="0"/>
                <w:color w:val="auto"/>
                <w:spacing w:val="0"/>
                <w:sz w:val="21"/>
                <w:szCs w:val="24"/>
                <w:u w:val="none"/>
                <w:lang w:val="en-US" w:eastAsia="zh-CN"/>
              </w:rPr>
            </w:pPr>
            <w:r>
              <w:rPr>
                <w:rFonts w:hint="default" w:ascii="Times New Roman" w:hAnsi="Times New Roman" w:eastAsia="宋体" w:cs="Segoe UI"/>
                <w:b w:val="0"/>
                <w:bCs/>
                <w:i w:val="0"/>
                <w:iCs w:val="0"/>
                <w:caps w:val="0"/>
                <w:strike w:val="0"/>
                <w:color w:val="auto"/>
                <w:spacing w:val="0"/>
                <w:sz w:val="21"/>
                <w:szCs w:val="24"/>
                <w:u w:val="none"/>
                <w:lang w:val="en-US" w:eastAsia="zh-CN"/>
              </w:rPr>
              <w:t>热转印/高频/热压/熔断/烫布标废气</w:t>
            </w:r>
          </w:p>
          <w:p w14:paraId="777111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b w:val="0"/>
                <w:i w:val="0"/>
                <w:iCs w:val="0"/>
                <w:caps w:val="0"/>
                <w:strike w:val="0"/>
                <w:color w:val="auto"/>
                <w:spacing w:val="0"/>
                <w:kern w:val="0"/>
                <w:sz w:val="21"/>
                <w:szCs w:val="24"/>
                <w:u w:val="none"/>
                <w:lang w:val="en-US" w:eastAsia="zh-CN" w:bidi="ar-SA"/>
              </w:rPr>
            </w:pP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热转印、高频、热压、熔断、烫布标等工序在加热过程中，鞋面材料（合成革、网布等）受热会产生少量有机废气和异味。上述工序加热温度相对较低（热转印约120℃、熔断约120~150℃），未达到材料热分解温度，废气产生量极少，本次评价仅作定性分析，通过加强车间通风换气后以无组织形式排放。</w:t>
            </w:r>
          </w:p>
          <w:p w14:paraId="77B5C474">
            <w:pPr>
              <w:keepNext w:val="0"/>
              <w:keepLines w:val="0"/>
              <w:suppressLineNumbers w:val="0"/>
              <w:spacing w:before="0" w:beforeAutospacing="0" w:after="0" w:afterAutospacing="0" w:line="348" w:lineRule="auto"/>
              <w:ind w:left="0" w:right="0" w:firstLine="413" w:firstLineChars="196"/>
              <w:rPr>
                <w:rFonts w:hint="eastAsia" w:ascii="Times New Roman" w:hAnsi="Times New Roman" w:eastAsia="宋体" w:cs="Times New Roman"/>
                <w:b/>
                <w:bCs/>
                <w:color w:val="auto"/>
                <w:sz w:val="21"/>
                <w:szCs w:val="24"/>
                <w:highlight w:val="none"/>
                <w:lang w:val="en-US" w:eastAsia="zh-CN"/>
              </w:rPr>
            </w:pPr>
            <w:r>
              <w:rPr>
                <w:rFonts w:hint="eastAsia" w:ascii="Times New Roman" w:hAnsi="Times New Roman" w:eastAsia="宋体" w:cs="Times New Roman"/>
                <w:b/>
                <w:bCs/>
                <w:color w:val="auto"/>
                <w:sz w:val="21"/>
                <w:szCs w:val="24"/>
                <w:highlight w:val="none"/>
                <w:lang w:val="en-US" w:eastAsia="zh-CN"/>
              </w:rPr>
              <w:t>综上</w:t>
            </w:r>
            <w:r>
              <w:rPr>
                <w:rFonts w:hint="default" w:ascii="Times New Roman" w:hAnsi="Times New Roman" w:eastAsia="宋体" w:cs="Segoe UI"/>
                <w:b/>
                <w:bCs/>
                <w:i w:val="0"/>
                <w:iCs w:val="0"/>
                <w:caps w:val="0"/>
                <w:strike w:val="0"/>
                <w:color w:val="auto"/>
                <w:spacing w:val="0"/>
                <w:sz w:val="21"/>
                <w:szCs w:val="24"/>
                <w:u w:val="none"/>
                <w:lang w:val="en-US" w:eastAsia="zh-CN"/>
              </w:rPr>
              <w:t>UV打印</w:t>
            </w:r>
            <w:r>
              <w:rPr>
                <w:rFonts w:hint="eastAsia" w:ascii="Times New Roman" w:hAnsi="Times New Roman" w:eastAsia="宋体" w:cs="Segoe UI"/>
                <w:b/>
                <w:bCs/>
                <w:i w:val="0"/>
                <w:iCs w:val="0"/>
                <w:caps w:val="0"/>
                <w:strike w:val="0"/>
                <w:color w:val="auto"/>
                <w:spacing w:val="0"/>
                <w:sz w:val="21"/>
                <w:szCs w:val="24"/>
                <w:u w:val="none"/>
                <w:lang w:val="en-US" w:eastAsia="zh-CN"/>
              </w:rPr>
              <w:t>、</w:t>
            </w:r>
            <w:r>
              <w:rPr>
                <w:rFonts w:hint="default" w:ascii="Times New Roman" w:hAnsi="Times New Roman" w:eastAsia="宋体" w:cs="Segoe UI"/>
                <w:b/>
                <w:bCs/>
                <w:i w:val="0"/>
                <w:iCs w:val="0"/>
                <w:caps w:val="0"/>
                <w:strike w:val="0"/>
                <w:color w:val="auto"/>
                <w:spacing w:val="0"/>
                <w:sz w:val="21"/>
                <w:szCs w:val="24"/>
                <w:u w:val="none"/>
                <w:lang w:val="en-US" w:eastAsia="zh-CN"/>
              </w:rPr>
              <w:t>打转印纸工序</w:t>
            </w:r>
            <w:r>
              <w:rPr>
                <w:rFonts w:hint="eastAsia" w:ascii="Times New Roman" w:hAnsi="Times New Roman" w:eastAsia="宋体" w:cs="Times New Roman"/>
                <w:b/>
                <w:bCs/>
                <w:color w:val="auto"/>
                <w:sz w:val="21"/>
                <w:szCs w:val="24"/>
                <w:highlight w:val="none"/>
                <w:lang w:val="en-US" w:eastAsia="zh-CN"/>
              </w:rPr>
              <w:t>产生的</w:t>
            </w:r>
            <w:r>
              <w:rPr>
                <w:rFonts w:hint="default" w:ascii="Times New Roman" w:hAnsi="Times New Roman" w:eastAsia="宋体" w:cs="Segoe UI"/>
                <w:b/>
                <w:bCs/>
                <w:i w:val="0"/>
                <w:iCs w:val="0"/>
                <w:caps w:val="0"/>
                <w:strike w:val="0"/>
                <w:color w:val="auto"/>
                <w:spacing w:val="0"/>
                <w:kern w:val="0"/>
                <w:sz w:val="21"/>
                <w:szCs w:val="24"/>
                <w:u w:val="none"/>
                <w:lang w:val="en-US" w:eastAsia="zh-CN" w:bidi="ar-SA"/>
              </w:rPr>
              <w:t>挥发性有机物（以非甲烷总烃、总VOCs计）</w:t>
            </w:r>
            <w:r>
              <w:rPr>
                <w:rFonts w:hint="eastAsia" w:ascii="Times New Roman" w:hAnsi="Times New Roman" w:eastAsia="宋体" w:cs="Times New Roman"/>
                <w:b/>
                <w:bCs/>
                <w:color w:val="auto"/>
                <w:sz w:val="21"/>
                <w:szCs w:val="24"/>
                <w:highlight w:val="none"/>
                <w:lang w:val="en-US" w:eastAsia="zh-CN"/>
              </w:rPr>
              <w:t>产生量合计为0.015+0.02=0.035t/a。</w:t>
            </w:r>
          </w:p>
          <w:p w14:paraId="7909B5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b w:val="0"/>
                <w:i w:val="0"/>
                <w:iCs w:val="0"/>
                <w:caps w:val="0"/>
                <w:strike w:val="0"/>
                <w:color w:val="auto"/>
                <w:spacing w:val="0"/>
                <w:kern w:val="0"/>
                <w:sz w:val="21"/>
                <w:szCs w:val="24"/>
                <w:u w:val="none"/>
                <w:lang w:val="en-US" w:eastAsia="zh-CN" w:bidi="ar-SA"/>
              </w:rPr>
            </w:pPr>
            <w:r>
              <w:rPr>
                <w:rFonts w:hint="default" w:ascii="Times New Roman" w:hAnsi="Times New Roman" w:eastAsia="宋体" w:cs="Segoe UI"/>
                <w:b w:val="0"/>
                <w:bCs w:val="0"/>
                <w:i w:val="0"/>
                <w:iCs w:val="0"/>
                <w:caps w:val="0"/>
                <w:strike w:val="0"/>
                <w:color w:val="auto"/>
                <w:spacing w:val="0"/>
                <w:sz w:val="21"/>
                <w:szCs w:val="24"/>
                <w:u w:val="none"/>
                <w:lang w:val="en-US" w:eastAsia="zh-CN"/>
              </w:rPr>
              <w:t>UV打印</w:t>
            </w:r>
            <w:r>
              <w:rPr>
                <w:rFonts w:hint="eastAsia" w:ascii="Times New Roman" w:hAnsi="Times New Roman" w:eastAsia="宋体" w:cs="Segoe UI"/>
                <w:b w:val="0"/>
                <w:bCs w:val="0"/>
                <w:i w:val="0"/>
                <w:iCs w:val="0"/>
                <w:caps w:val="0"/>
                <w:strike w:val="0"/>
                <w:color w:val="auto"/>
                <w:spacing w:val="0"/>
                <w:sz w:val="21"/>
                <w:szCs w:val="24"/>
                <w:u w:val="none"/>
                <w:lang w:val="en-US" w:eastAsia="zh-CN"/>
              </w:rPr>
              <w:t>、</w:t>
            </w:r>
            <w:r>
              <w:rPr>
                <w:rFonts w:hint="default" w:ascii="Times New Roman" w:hAnsi="Times New Roman" w:eastAsia="宋体" w:cs="Segoe UI"/>
                <w:b w:val="0"/>
                <w:bCs w:val="0"/>
                <w:i w:val="0"/>
                <w:iCs w:val="0"/>
                <w:caps w:val="0"/>
                <w:strike w:val="0"/>
                <w:color w:val="auto"/>
                <w:spacing w:val="0"/>
                <w:sz w:val="21"/>
                <w:szCs w:val="24"/>
                <w:u w:val="none"/>
                <w:lang w:val="en-US" w:eastAsia="zh-CN"/>
              </w:rPr>
              <w:t>打转印纸工序</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废气在</w:t>
            </w:r>
            <w:r>
              <w:rPr>
                <w:rFonts w:hint="eastAsia" w:cs="Segoe UI"/>
                <w:b w:val="0"/>
                <w:i w:val="0"/>
                <w:iCs w:val="0"/>
                <w:caps w:val="0"/>
                <w:strike w:val="0"/>
                <w:color w:val="auto"/>
                <w:spacing w:val="0"/>
                <w:kern w:val="0"/>
                <w:sz w:val="21"/>
                <w:szCs w:val="24"/>
                <w:u w:val="none"/>
                <w:lang w:val="en-US" w:eastAsia="zh-CN" w:bidi="ar-SA"/>
              </w:rPr>
              <w:t>密闭负压车间</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负压收集，</w:t>
            </w:r>
            <w:r>
              <w:rPr>
                <w:rFonts w:hint="default" w:ascii="Times New Roman" w:hAnsi="Times New Roman" w:eastAsia="宋体" w:cs="Segoe UI"/>
                <w:b w:val="0"/>
                <w:bCs w:val="0"/>
                <w:i w:val="0"/>
                <w:iCs w:val="0"/>
                <w:caps w:val="0"/>
                <w:strike w:val="0"/>
                <w:color w:val="auto"/>
                <w:spacing w:val="0"/>
                <w:sz w:val="21"/>
                <w:szCs w:val="24"/>
                <w:u w:val="none"/>
                <w:lang w:val="en-US" w:eastAsia="zh-CN"/>
              </w:rPr>
              <w:t>UV打印</w:t>
            </w:r>
            <w:r>
              <w:rPr>
                <w:rFonts w:hint="eastAsia" w:cs="Segoe UI"/>
                <w:b w:val="0"/>
                <w:i w:val="0"/>
                <w:iCs w:val="0"/>
                <w:caps w:val="0"/>
                <w:strike w:val="0"/>
                <w:color w:val="auto"/>
                <w:spacing w:val="0"/>
                <w:kern w:val="0"/>
                <w:sz w:val="21"/>
                <w:szCs w:val="24"/>
                <w:u w:val="none"/>
                <w:lang w:val="en-US" w:eastAsia="zh-CN" w:bidi="ar-SA"/>
              </w:rPr>
              <w:t>密闭负压车间</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面积为</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121</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平方米，高3米。</w:t>
            </w:r>
            <w:r>
              <w:rPr>
                <w:rFonts w:hint="default" w:ascii="Times New Roman" w:hAnsi="Times New Roman" w:eastAsia="宋体" w:cs="Segoe UI"/>
                <w:b w:val="0"/>
                <w:bCs w:val="0"/>
                <w:i w:val="0"/>
                <w:iCs w:val="0"/>
                <w:caps w:val="0"/>
                <w:strike w:val="0"/>
                <w:color w:val="auto"/>
                <w:spacing w:val="0"/>
                <w:sz w:val="21"/>
                <w:szCs w:val="24"/>
                <w:u w:val="none"/>
                <w:lang w:val="en-US" w:eastAsia="zh-CN"/>
              </w:rPr>
              <w:t>打转印纸工序</w:t>
            </w:r>
            <w:r>
              <w:rPr>
                <w:rFonts w:hint="eastAsia" w:cs="Segoe UI"/>
                <w:b w:val="0"/>
                <w:i w:val="0"/>
                <w:iCs w:val="0"/>
                <w:caps w:val="0"/>
                <w:strike w:val="0"/>
                <w:color w:val="auto"/>
                <w:spacing w:val="0"/>
                <w:kern w:val="0"/>
                <w:sz w:val="21"/>
                <w:szCs w:val="24"/>
                <w:u w:val="none"/>
                <w:lang w:val="en-US" w:eastAsia="zh-CN" w:bidi="ar-SA"/>
              </w:rPr>
              <w:t>密闭负压车间</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面积为</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55</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平方米，高3米，则总体积为</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528</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m</w:t>
            </w:r>
            <w:r>
              <w:rPr>
                <w:rFonts w:hint="default" w:ascii="Times New Roman" w:hAnsi="Times New Roman" w:eastAsia="宋体" w:cs="Segoe UI"/>
                <w:b w:val="0"/>
                <w:i w:val="0"/>
                <w:iCs w:val="0"/>
                <w:caps w:val="0"/>
                <w:strike w:val="0"/>
                <w:color w:val="auto"/>
                <w:spacing w:val="0"/>
                <w:kern w:val="0"/>
                <w:sz w:val="21"/>
                <w:szCs w:val="24"/>
                <w:u w:val="none"/>
                <w:vertAlign w:val="superscript"/>
                <w:lang w:val="en-US" w:eastAsia="zh-CN" w:bidi="ar-SA"/>
              </w:rPr>
              <w:t>3</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，车间空间体积10次/小时换气次数的要求（参考中山市工业涂装、包装印刷行业挥发性有机物废气控制技术指引），则所需风量为</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5280</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m</w:t>
            </w:r>
            <w:r>
              <w:rPr>
                <w:rFonts w:hint="default" w:ascii="Times New Roman" w:hAnsi="Times New Roman" w:eastAsia="宋体" w:cs="Segoe UI"/>
                <w:b w:val="0"/>
                <w:i w:val="0"/>
                <w:iCs w:val="0"/>
                <w:caps w:val="0"/>
                <w:strike w:val="0"/>
                <w:color w:val="auto"/>
                <w:spacing w:val="0"/>
                <w:kern w:val="0"/>
                <w:sz w:val="21"/>
                <w:szCs w:val="24"/>
                <w:u w:val="none"/>
                <w:vertAlign w:val="superscript"/>
                <w:lang w:val="en-US" w:eastAsia="zh-CN" w:bidi="ar-SA"/>
              </w:rPr>
              <w:t>3</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/h，本项目所设风量为</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6000</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m</w:t>
            </w:r>
            <w:r>
              <w:rPr>
                <w:rFonts w:hint="default" w:ascii="Times New Roman" w:hAnsi="Times New Roman" w:eastAsia="宋体" w:cs="Segoe UI"/>
                <w:b w:val="0"/>
                <w:i w:val="0"/>
                <w:iCs w:val="0"/>
                <w:caps w:val="0"/>
                <w:strike w:val="0"/>
                <w:color w:val="auto"/>
                <w:spacing w:val="0"/>
                <w:kern w:val="0"/>
                <w:sz w:val="21"/>
                <w:szCs w:val="24"/>
                <w:u w:val="none"/>
                <w:vertAlign w:val="superscript"/>
                <w:lang w:val="en-US" w:eastAsia="zh-CN" w:bidi="ar-SA"/>
              </w:rPr>
              <w:t>3</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/h能满足生产需要。</w:t>
            </w:r>
          </w:p>
          <w:p w14:paraId="4C09EB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b w:val="0"/>
                <w:i w:val="0"/>
                <w:iCs w:val="0"/>
                <w:caps w:val="0"/>
                <w:strike w:val="0"/>
                <w:color w:val="auto"/>
                <w:spacing w:val="0"/>
                <w:kern w:val="0"/>
                <w:sz w:val="21"/>
                <w:szCs w:val="24"/>
                <w:u w:val="none"/>
                <w:lang w:val="en-US" w:eastAsia="zh-CN" w:bidi="ar-SA"/>
              </w:rPr>
            </w:pP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参考“《广东省工业源挥发性有机物减排量核算方法（2023年修订版）》中表3.3-2 废气收集集气效率参考值：废气经密闭收集，单层密闭负压收集效率可达90%，</w:t>
            </w:r>
            <w:r>
              <w:rPr>
                <w:rFonts w:hint="default" w:ascii="Times New Roman" w:hAnsi="Times New Roman" w:eastAsia="宋体" w:cs="Segoe UI"/>
                <w:b w:val="0"/>
                <w:bCs w:val="0"/>
                <w:i w:val="0"/>
                <w:iCs w:val="0"/>
                <w:caps w:val="0"/>
                <w:strike w:val="0"/>
                <w:color w:val="auto"/>
                <w:spacing w:val="0"/>
                <w:sz w:val="21"/>
                <w:szCs w:val="24"/>
                <w:u w:val="none"/>
                <w:lang w:val="en-US" w:eastAsia="zh-CN"/>
              </w:rPr>
              <w:t>UV打印</w:t>
            </w:r>
            <w:r>
              <w:rPr>
                <w:rFonts w:hint="eastAsia" w:ascii="Times New Roman" w:hAnsi="Times New Roman" w:eastAsia="宋体" w:cs="Segoe UI"/>
                <w:b w:val="0"/>
                <w:bCs w:val="0"/>
                <w:i w:val="0"/>
                <w:iCs w:val="0"/>
                <w:caps w:val="0"/>
                <w:strike w:val="0"/>
                <w:color w:val="auto"/>
                <w:spacing w:val="0"/>
                <w:sz w:val="21"/>
                <w:szCs w:val="24"/>
                <w:u w:val="none"/>
                <w:lang w:val="en-US" w:eastAsia="zh-CN"/>
              </w:rPr>
              <w:t>、</w:t>
            </w:r>
            <w:r>
              <w:rPr>
                <w:rFonts w:hint="default" w:ascii="Times New Roman" w:hAnsi="Times New Roman" w:eastAsia="宋体" w:cs="Segoe UI"/>
                <w:b w:val="0"/>
                <w:bCs w:val="0"/>
                <w:i w:val="0"/>
                <w:iCs w:val="0"/>
                <w:caps w:val="0"/>
                <w:strike w:val="0"/>
                <w:color w:val="auto"/>
                <w:spacing w:val="0"/>
                <w:sz w:val="21"/>
                <w:szCs w:val="24"/>
                <w:u w:val="none"/>
                <w:lang w:val="en-US" w:eastAsia="zh-CN"/>
              </w:rPr>
              <w:t>打转印纸工序</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废气经</w:t>
            </w:r>
            <w:r>
              <w:rPr>
                <w:rFonts w:hint="eastAsia" w:cs="Segoe UI"/>
                <w:b w:val="0"/>
                <w:i w:val="0"/>
                <w:iCs w:val="0"/>
                <w:caps w:val="0"/>
                <w:strike w:val="0"/>
                <w:color w:val="auto"/>
                <w:spacing w:val="0"/>
                <w:kern w:val="0"/>
                <w:sz w:val="21"/>
                <w:szCs w:val="24"/>
                <w:u w:val="none"/>
                <w:lang w:val="en-US" w:eastAsia="zh-CN" w:bidi="ar-SA"/>
              </w:rPr>
              <w:t>密闭负压车间</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负压收集</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，收集效率</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取</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达</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90</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%，收集后经二级活性炭装置处理后经1条</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50</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m高排气筒达标排放（G</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9</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w:t>
            </w:r>
          </w:p>
          <w:p w14:paraId="193E69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eastAsia" w:ascii="Times New Roman" w:hAnsi="Times New Roman" w:eastAsia="宋体" w:cs="Segoe UI"/>
                <w:b w:val="0"/>
                <w:i w:val="0"/>
                <w:iCs w:val="0"/>
                <w:caps w:val="0"/>
                <w:strike w:val="0"/>
                <w:color w:val="auto"/>
                <w:spacing w:val="0"/>
                <w:kern w:val="0"/>
                <w:sz w:val="21"/>
                <w:szCs w:val="24"/>
                <w:u w:val="none"/>
                <w:lang w:val="en-US" w:eastAsia="zh-CN" w:bidi="ar-SA"/>
              </w:rPr>
            </w:pP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参照《广东省印刷行业挥发性有机化合物废气治理技术指南》《广东省家具制造行业挥发性有机废气治理技术指南》，吸附法对有机废气处理效率为 50~80%，本项目取单级活性炭处理效率为</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60</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%，则二级活性炭处理效率=1-(1-</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60</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%)×(1-</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60</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84</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%，本项目的有机废气处理效率保守取</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70</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w:t>
            </w:r>
          </w:p>
          <w:p w14:paraId="305E20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Segoe UI"/>
                <w:b w:val="0"/>
                <w:i w:val="0"/>
                <w:iCs w:val="0"/>
                <w:caps w:val="0"/>
                <w:strike w:val="0"/>
                <w:color w:val="auto"/>
                <w:spacing w:val="0"/>
                <w:kern w:val="0"/>
                <w:sz w:val="21"/>
                <w:szCs w:val="24"/>
                <w:u w:val="none"/>
                <w:lang w:val="en-US" w:eastAsia="zh-CN" w:bidi="ar-SA"/>
              </w:rPr>
            </w:pPr>
            <w:r>
              <w:rPr>
                <w:rFonts w:hint="default" w:ascii="Times New Roman" w:hAnsi="Times New Roman" w:eastAsia="宋体" w:cs="Segoe UI"/>
                <w:b w:val="0"/>
                <w:bCs w:val="0"/>
                <w:i w:val="0"/>
                <w:iCs w:val="0"/>
                <w:caps w:val="0"/>
                <w:strike w:val="0"/>
                <w:color w:val="auto"/>
                <w:spacing w:val="0"/>
                <w:sz w:val="21"/>
                <w:szCs w:val="24"/>
                <w:u w:val="none"/>
                <w:lang w:val="en-US" w:eastAsia="zh-CN"/>
              </w:rPr>
              <w:t>UV打印</w:t>
            </w:r>
            <w:r>
              <w:rPr>
                <w:rFonts w:hint="eastAsia" w:ascii="Times New Roman" w:hAnsi="Times New Roman" w:eastAsia="宋体" w:cs="Segoe UI"/>
                <w:b w:val="0"/>
                <w:bCs w:val="0"/>
                <w:i w:val="0"/>
                <w:iCs w:val="0"/>
                <w:caps w:val="0"/>
                <w:strike w:val="0"/>
                <w:color w:val="auto"/>
                <w:spacing w:val="0"/>
                <w:sz w:val="21"/>
                <w:szCs w:val="24"/>
                <w:u w:val="none"/>
                <w:lang w:val="en-US" w:eastAsia="zh-CN"/>
              </w:rPr>
              <w:t>、</w:t>
            </w:r>
            <w:r>
              <w:rPr>
                <w:rFonts w:hint="default" w:ascii="Times New Roman" w:hAnsi="Times New Roman" w:eastAsia="宋体" w:cs="Segoe UI"/>
                <w:b w:val="0"/>
                <w:bCs w:val="0"/>
                <w:i w:val="0"/>
                <w:iCs w:val="0"/>
                <w:caps w:val="0"/>
                <w:strike w:val="0"/>
                <w:color w:val="auto"/>
                <w:spacing w:val="0"/>
                <w:sz w:val="21"/>
                <w:szCs w:val="24"/>
                <w:u w:val="none"/>
                <w:lang w:val="en-US" w:eastAsia="zh-CN"/>
              </w:rPr>
              <w:t>打转印纸工序</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废气产排情况见下表。</w:t>
            </w:r>
          </w:p>
          <w:p w14:paraId="14263803">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color w:val="auto"/>
                <w:lang w:val="en-US" w:eastAsia="zh-CN"/>
              </w:rPr>
            </w:pPr>
            <w:r>
              <w:rPr>
                <w:rFonts w:hint="eastAsia" w:ascii="Times New Roman" w:hAnsi="Times New Roman" w:eastAsia="宋体" w:cs="Times New Roman"/>
                <w:b/>
                <w:bCs w:val="0"/>
                <w:color w:val="auto"/>
                <w:sz w:val="21"/>
                <w:szCs w:val="24"/>
                <w:lang w:val="en-US" w:eastAsia="zh-CN"/>
              </w:rPr>
              <w:t>项目</w:t>
            </w:r>
            <w:r>
              <w:rPr>
                <w:rFonts w:hint="default" w:ascii="Times New Roman" w:hAnsi="Times New Roman" w:eastAsia="宋体" w:cs="Segoe UI"/>
                <w:b/>
                <w:bCs w:val="0"/>
                <w:i w:val="0"/>
                <w:iCs w:val="0"/>
                <w:caps w:val="0"/>
                <w:strike w:val="0"/>
                <w:color w:val="auto"/>
                <w:spacing w:val="0"/>
                <w:sz w:val="21"/>
                <w:szCs w:val="24"/>
                <w:u w:val="none"/>
                <w:lang w:val="en-US" w:eastAsia="zh-CN"/>
              </w:rPr>
              <w:t>UV打印</w:t>
            </w:r>
            <w:r>
              <w:rPr>
                <w:rFonts w:hint="eastAsia" w:ascii="Times New Roman" w:hAnsi="Times New Roman" w:eastAsia="宋体" w:cs="Segoe UI"/>
                <w:b/>
                <w:bCs w:val="0"/>
                <w:i w:val="0"/>
                <w:iCs w:val="0"/>
                <w:caps w:val="0"/>
                <w:strike w:val="0"/>
                <w:color w:val="auto"/>
                <w:spacing w:val="0"/>
                <w:sz w:val="21"/>
                <w:szCs w:val="24"/>
                <w:u w:val="none"/>
                <w:lang w:val="en-US" w:eastAsia="zh-CN"/>
              </w:rPr>
              <w:t>、</w:t>
            </w:r>
            <w:r>
              <w:rPr>
                <w:rFonts w:hint="default" w:ascii="Times New Roman" w:hAnsi="Times New Roman" w:eastAsia="宋体" w:cs="Segoe UI"/>
                <w:b/>
                <w:bCs w:val="0"/>
                <w:i w:val="0"/>
                <w:iCs w:val="0"/>
                <w:caps w:val="0"/>
                <w:strike w:val="0"/>
                <w:color w:val="auto"/>
                <w:spacing w:val="0"/>
                <w:sz w:val="21"/>
                <w:szCs w:val="24"/>
                <w:u w:val="none"/>
                <w:lang w:val="en-US" w:eastAsia="zh-CN"/>
              </w:rPr>
              <w:t>打转印纸工序</w:t>
            </w:r>
            <w:r>
              <w:rPr>
                <w:rFonts w:hint="eastAsia" w:ascii="Times New Roman" w:hAnsi="Times New Roman" w:eastAsia="宋体" w:cs="Times New Roman"/>
                <w:b/>
                <w:bCs w:val="0"/>
                <w:color w:val="auto"/>
                <w:sz w:val="21"/>
                <w:szCs w:val="24"/>
                <w:lang w:val="en-US" w:eastAsia="zh-CN"/>
              </w:rPr>
              <w:t>废</w:t>
            </w:r>
            <w:r>
              <w:rPr>
                <w:rFonts w:hint="eastAsia" w:ascii="Times New Roman" w:hAnsi="Times New Roman" w:eastAsia="宋体" w:cs="Times New Roman"/>
                <w:b/>
                <w:color w:val="auto"/>
                <w:sz w:val="21"/>
                <w:szCs w:val="24"/>
                <w:lang w:val="en-US" w:eastAsia="zh-CN"/>
              </w:rPr>
              <w:t>气产排情况一览表</w:t>
            </w:r>
          </w:p>
          <w:tbl>
            <w:tblPr>
              <w:tblStyle w:val="48"/>
              <w:tblW w:w="9819" w:type="dxa"/>
              <w:tblInd w:w="-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94"/>
              <w:gridCol w:w="2832"/>
              <w:gridCol w:w="5493"/>
            </w:tblGrid>
            <w:tr w14:paraId="6C1C4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4326"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68CC2A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排气筒编号</w:t>
                  </w:r>
                </w:p>
              </w:tc>
              <w:tc>
                <w:tcPr>
                  <w:tcW w:w="549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661C68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G9</w:t>
                  </w:r>
                </w:p>
              </w:tc>
            </w:tr>
            <w:tr w14:paraId="0EFD8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326" w:type="dxa"/>
                  <w:gridSpan w:val="2"/>
                  <w:tcBorders>
                    <w:top w:val="nil"/>
                    <w:left w:val="single" w:color="000000" w:sz="8" w:space="0"/>
                    <w:bottom w:val="single" w:color="000000" w:sz="8" w:space="0"/>
                    <w:right w:val="single" w:color="000000" w:sz="8" w:space="0"/>
                  </w:tcBorders>
                  <w:shd w:val="clear" w:color="auto" w:fill="auto"/>
                  <w:vAlign w:val="center"/>
                </w:tcPr>
                <w:p w14:paraId="037229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工序</w:t>
                  </w:r>
                </w:p>
              </w:tc>
              <w:tc>
                <w:tcPr>
                  <w:tcW w:w="5493" w:type="dxa"/>
                  <w:tcBorders>
                    <w:top w:val="nil"/>
                    <w:left w:val="single" w:color="000000" w:sz="8" w:space="0"/>
                    <w:bottom w:val="single" w:color="000000" w:sz="8" w:space="0"/>
                    <w:right w:val="single" w:color="000000" w:sz="8" w:space="0"/>
                  </w:tcBorders>
                  <w:shd w:val="clear" w:color="auto" w:fill="auto"/>
                  <w:vAlign w:val="center"/>
                </w:tcPr>
                <w:p w14:paraId="5146D3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800080"/>
                      <w:sz w:val="21"/>
                      <w:szCs w:val="21"/>
                      <w:u w:val="none"/>
                    </w:rPr>
                  </w:pPr>
                  <w:r>
                    <w:rPr>
                      <w:rFonts w:hint="eastAsia" w:ascii="宋体" w:hAnsi="宋体" w:eastAsia="宋体" w:cs="宋体"/>
                      <w:i w:val="0"/>
                      <w:iCs w:val="0"/>
                      <w:color w:val="auto"/>
                      <w:kern w:val="0"/>
                      <w:sz w:val="21"/>
                      <w:szCs w:val="21"/>
                      <w:u w:val="none"/>
                      <w:lang w:val="en-US" w:eastAsia="zh-CN" w:bidi="ar"/>
                    </w:rPr>
                    <w:t>UV打印、打转印纸工序</w:t>
                  </w:r>
                </w:p>
              </w:tc>
            </w:tr>
            <w:tr w14:paraId="623F3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4326" w:type="dxa"/>
                  <w:gridSpan w:val="2"/>
                  <w:tcBorders>
                    <w:top w:val="nil"/>
                    <w:left w:val="single" w:color="000000" w:sz="8" w:space="0"/>
                    <w:bottom w:val="single" w:color="000000" w:sz="8" w:space="0"/>
                    <w:right w:val="single" w:color="000000" w:sz="8" w:space="0"/>
                  </w:tcBorders>
                  <w:shd w:val="clear" w:color="auto" w:fill="auto"/>
                  <w:vAlign w:val="center"/>
                </w:tcPr>
                <w:p w14:paraId="68DF30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污染物</w:t>
                  </w:r>
                </w:p>
              </w:tc>
              <w:tc>
                <w:tcPr>
                  <w:tcW w:w="5493" w:type="dxa"/>
                  <w:tcBorders>
                    <w:top w:val="nil"/>
                    <w:left w:val="single" w:color="000000" w:sz="8" w:space="0"/>
                    <w:bottom w:val="single" w:color="000000" w:sz="8" w:space="0"/>
                    <w:right w:val="single" w:color="000000" w:sz="8" w:space="0"/>
                  </w:tcBorders>
                  <w:shd w:val="clear" w:color="auto" w:fill="auto"/>
                  <w:vAlign w:val="center"/>
                </w:tcPr>
                <w:p w14:paraId="7E27BD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挥发性有机物（非甲烷总烃、总</w:t>
                  </w:r>
                  <w:r>
                    <w:rPr>
                      <w:rFonts w:hint="default" w:ascii="Times New Roman" w:hAnsi="Times New Roman" w:eastAsia="宋体" w:cs="Times New Roman"/>
                      <w:i w:val="0"/>
                      <w:iCs w:val="0"/>
                      <w:color w:val="000000"/>
                      <w:kern w:val="0"/>
                      <w:sz w:val="21"/>
                      <w:szCs w:val="21"/>
                      <w:u w:val="none"/>
                      <w:lang w:val="en-US" w:eastAsia="zh-CN" w:bidi="ar"/>
                    </w:rPr>
                    <w:t>VOCs</w:t>
                  </w:r>
                  <w:r>
                    <w:rPr>
                      <w:rFonts w:hint="eastAsia" w:ascii="宋体" w:hAnsi="宋体" w:eastAsia="宋体" w:cs="宋体"/>
                      <w:i w:val="0"/>
                      <w:iCs w:val="0"/>
                      <w:color w:val="000000"/>
                      <w:kern w:val="0"/>
                      <w:sz w:val="21"/>
                      <w:szCs w:val="21"/>
                      <w:u w:val="none"/>
                      <w:lang w:val="en-US" w:eastAsia="zh-CN" w:bidi="ar"/>
                    </w:rPr>
                    <w:t>）</w:t>
                  </w:r>
                </w:p>
              </w:tc>
            </w:tr>
            <w:tr w14:paraId="4F02D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4326" w:type="dxa"/>
                  <w:gridSpan w:val="2"/>
                  <w:tcBorders>
                    <w:top w:val="nil"/>
                    <w:left w:val="single" w:color="000000" w:sz="8" w:space="0"/>
                    <w:bottom w:val="single" w:color="000000" w:sz="8" w:space="0"/>
                    <w:right w:val="single" w:color="000000" w:sz="8" w:space="0"/>
                  </w:tcBorders>
                  <w:shd w:val="clear" w:color="auto" w:fill="auto"/>
                  <w:vAlign w:val="center"/>
                </w:tcPr>
                <w:p w14:paraId="705BF7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产生量（</w:t>
                  </w:r>
                  <w:r>
                    <w:rPr>
                      <w:rFonts w:hint="default" w:ascii="Times New Roman" w:hAnsi="Times New Roman" w:eastAsia="宋体" w:cs="Times New Roman"/>
                      <w:i w:val="0"/>
                      <w:iCs w:val="0"/>
                      <w:color w:val="000000"/>
                      <w:kern w:val="0"/>
                      <w:sz w:val="21"/>
                      <w:szCs w:val="21"/>
                      <w:u w:val="none"/>
                      <w:lang w:val="en-US" w:eastAsia="zh-CN" w:bidi="ar"/>
                    </w:rPr>
                    <w:t>t/a</w:t>
                  </w:r>
                  <w:r>
                    <w:rPr>
                      <w:rFonts w:hint="eastAsia" w:ascii="宋体" w:hAnsi="宋体" w:eastAsia="宋体" w:cs="宋体"/>
                      <w:i w:val="0"/>
                      <w:iCs w:val="0"/>
                      <w:color w:val="000000"/>
                      <w:kern w:val="0"/>
                      <w:sz w:val="21"/>
                      <w:szCs w:val="21"/>
                      <w:u w:val="none"/>
                      <w:lang w:val="en-US" w:eastAsia="zh-CN" w:bidi="ar"/>
                    </w:rPr>
                    <w:t>）</w:t>
                  </w:r>
                </w:p>
              </w:tc>
              <w:tc>
                <w:tcPr>
                  <w:tcW w:w="5493" w:type="dxa"/>
                  <w:tcBorders>
                    <w:top w:val="nil"/>
                    <w:left w:val="single" w:color="000000" w:sz="8" w:space="0"/>
                    <w:bottom w:val="single" w:color="000000" w:sz="8" w:space="0"/>
                    <w:right w:val="single" w:color="000000" w:sz="8" w:space="0"/>
                  </w:tcBorders>
                  <w:shd w:val="clear" w:color="auto" w:fill="auto"/>
                  <w:vAlign w:val="center"/>
                </w:tcPr>
                <w:p w14:paraId="67C965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0.035</w:t>
                  </w:r>
                </w:p>
              </w:tc>
            </w:tr>
            <w:tr w14:paraId="1C116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1494" w:type="dxa"/>
                  <w:vMerge w:val="restart"/>
                  <w:tcBorders>
                    <w:top w:val="nil"/>
                    <w:left w:val="single" w:color="000000" w:sz="8" w:space="0"/>
                    <w:bottom w:val="single" w:color="000000" w:sz="8" w:space="0"/>
                    <w:right w:val="single" w:color="000000" w:sz="8" w:space="0"/>
                  </w:tcBorders>
                  <w:shd w:val="clear" w:color="auto" w:fill="auto"/>
                  <w:vAlign w:val="center"/>
                </w:tcPr>
                <w:p w14:paraId="007346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有组织</w:t>
                  </w:r>
                </w:p>
              </w:tc>
              <w:tc>
                <w:tcPr>
                  <w:tcW w:w="2832" w:type="dxa"/>
                  <w:tcBorders>
                    <w:top w:val="nil"/>
                    <w:left w:val="single" w:color="000000" w:sz="8" w:space="0"/>
                    <w:bottom w:val="single" w:color="000000" w:sz="8" w:space="0"/>
                    <w:right w:val="single" w:color="000000" w:sz="8" w:space="0"/>
                  </w:tcBorders>
                  <w:shd w:val="clear" w:color="auto" w:fill="auto"/>
                  <w:vAlign w:val="center"/>
                </w:tcPr>
                <w:p w14:paraId="71E37A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产生量（</w:t>
                  </w:r>
                  <w:r>
                    <w:rPr>
                      <w:rFonts w:hint="default" w:ascii="Times New Roman" w:hAnsi="Times New Roman" w:eastAsia="宋体" w:cs="Times New Roman"/>
                      <w:i w:val="0"/>
                      <w:iCs w:val="0"/>
                      <w:color w:val="000000"/>
                      <w:kern w:val="0"/>
                      <w:sz w:val="21"/>
                      <w:szCs w:val="21"/>
                      <w:u w:val="none"/>
                      <w:lang w:val="en-US" w:eastAsia="zh-CN" w:bidi="ar"/>
                    </w:rPr>
                    <w:t>t/a</w:t>
                  </w:r>
                  <w:r>
                    <w:rPr>
                      <w:rFonts w:hint="eastAsia" w:ascii="宋体" w:hAnsi="宋体" w:eastAsia="宋体" w:cs="宋体"/>
                      <w:i w:val="0"/>
                      <w:iCs w:val="0"/>
                      <w:color w:val="000000"/>
                      <w:kern w:val="0"/>
                      <w:sz w:val="21"/>
                      <w:szCs w:val="21"/>
                      <w:u w:val="none"/>
                      <w:lang w:val="en-US" w:eastAsia="zh-CN" w:bidi="ar"/>
                    </w:rPr>
                    <w:t>）</w:t>
                  </w:r>
                </w:p>
              </w:tc>
              <w:tc>
                <w:tcPr>
                  <w:tcW w:w="549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564BF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0.032</w:t>
                  </w:r>
                </w:p>
              </w:tc>
            </w:tr>
            <w:tr w14:paraId="6B7F0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 w:hRule="atLeast"/>
              </w:trPr>
              <w:tc>
                <w:tcPr>
                  <w:tcW w:w="1494" w:type="dxa"/>
                  <w:vMerge w:val="continue"/>
                  <w:tcBorders>
                    <w:top w:val="nil"/>
                    <w:left w:val="single" w:color="000000" w:sz="8" w:space="0"/>
                    <w:bottom w:val="single" w:color="000000" w:sz="8" w:space="0"/>
                    <w:right w:val="single" w:color="000000" w:sz="8" w:space="0"/>
                  </w:tcBorders>
                  <w:shd w:val="clear" w:color="auto" w:fill="auto"/>
                  <w:vAlign w:val="center"/>
                </w:tcPr>
                <w:p w14:paraId="78392AF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1"/>
                      <w:szCs w:val="21"/>
                      <w:u w:val="none"/>
                    </w:rPr>
                  </w:pPr>
                </w:p>
              </w:tc>
              <w:tc>
                <w:tcPr>
                  <w:tcW w:w="2832" w:type="dxa"/>
                  <w:tcBorders>
                    <w:top w:val="nil"/>
                    <w:left w:val="single" w:color="000000" w:sz="8" w:space="0"/>
                    <w:bottom w:val="single" w:color="000000" w:sz="8" w:space="0"/>
                    <w:right w:val="single" w:color="000000" w:sz="8" w:space="0"/>
                  </w:tcBorders>
                  <w:shd w:val="clear" w:color="auto" w:fill="auto"/>
                  <w:vAlign w:val="center"/>
                </w:tcPr>
                <w:p w14:paraId="24F8A9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产生速率（</w:t>
                  </w:r>
                  <w:r>
                    <w:rPr>
                      <w:rFonts w:hint="default" w:ascii="Times New Roman" w:hAnsi="Times New Roman" w:eastAsia="宋体" w:cs="Times New Roman"/>
                      <w:i w:val="0"/>
                      <w:iCs w:val="0"/>
                      <w:color w:val="000000"/>
                      <w:kern w:val="0"/>
                      <w:sz w:val="21"/>
                      <w:szCs w:val="21"/>
                      <w:u w:val="none"/>
                      <w:lang w:val="en-US" w:eastAsia="zh-CN" w:bidi="ar"/>
                    </w:rPr>
                    <w:t>kg/h</w:t>
                  </w:r>
                  <w:r>
                    <w:rPr>
                      <w:rFonts w:hint="eastAsia" w:ascii="宋体" w:hAnsi="宋体" w:eastAsia="宋体" w:cs="宋体"/>
                      <w:i w:val="0"/>
                      <w:iCs w:val="0"/>
                      <w:color w:val="000000"/>
                      <w:kern w:val="0"/>
                      <w:sz w:val="21"/>
                      <w:szCs w:val="21"/>
                      <w:u w:val="none"/>
                      <w:lang w:val="en-US" w:eastAsia="zh-CN" w:bidi="ar"/>
                    </w:rPr>
                    <w:t>）</w:t>
                  </w:r>
                </w:p>
              </w:tc>
              <w:tc>
                <w:tcPr>
                  <w:tcW w:w="5493" w:type="dxa"/>
                  <w:tcBorders>
                    <w:top w:val="nil"/>
                    <w:left w:val="single" w:color="000000" w:sz="8" w:space="0"/>
                    <w:bottom w:val="single" w:color="000000" w:sz="8" w:space="0"/>
                    <w:right w:val="single" w:color="000000" w:sz="8" w:space="0"/>
                  </w:tcBorders>
                  <w:shd w:val="clear" w:color="auto" w:fill="auto"/>
                  <w:vAlign w:val="center"/>
                </w:tcPr>
                <w:p w14:paraId="2F3D23A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w:t>
                  </w:r>
                </w:p>
              </w:tc>
            </w:tr>
            <w:tr w14:paraId="02D1B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 w:hRule="atLeast"/>
              </w:trPr>
              <w:tc>
                <w:tcPr>
                  <w:tcW w:w="1494" w:type="dxa"/>
                  <w:vMerge w:val="continue"/>
                  <w:tcBorders>
                    <w:top w:val="nil"/>
                    <w:left w:val="single" w:color="000000" w:sz="8" w:space="0"/>
                    <w:bottom w:val="single" w:color="000000" w:sz="8" w:space="0"/>
                    <w:right w:val="single" w:color="000000" w:sz="8" w:space="0"/>
                  </w:tcBorders>
                  <w:shd w:val="clear" w:color="auto" w:fill="auto"/>
                  <w:vAlign w:val="center"/>
                </w:tcPr>
                <w:p w14:paraId="281CF305">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1"/>
                      <w:szCs w:val="21"/>
                      <w:u w:val="none"/>
                    </w:rPr>
                  </w:pPr>
                </w:p>
              </w:tc>
              <w:tc>
                <w:tcPr>
                  <w:tcW w:w="2832" w:type="dxa"/>
                  <w:tcBorders>
                    <w:top w:val="nil"/>
                    <w:left w:val="single" w:color="000000" w:sz="8" w:space="0"/>
                    <w:bottom w:val="single" w:color="000000" w:sz="8" w:space="0"/>
                    <w:right w:val="single" w:color="000000" w:sz="8" w:space="0"/>
                  </w:tcBorders>
                  <w:shd w:val="clear" w:color="auto" w:fill="auto"/>
                  <w:vAlign w:val="center"/>
                </w:tcPr>
                <w:p w14:paraId="7FFA83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产生浓度（</w:t>
                  </w:r>
                  <w:r>
                    <w:rPr>
                      <w:rFonts w:hint="default" w:ascii="Times New Roman" w:hAnsi="Times New Roman" w:eastAsia="宋体" w:cs="Times New Roman"/>
                      <w:i w:val="0"/>
                      <w:iCs w:val="0"/>
                      <w:color w:val="000000"/>
                      <w:kern w:val="0"/>
                      <w:sz w:val="21"/>
                      <w:szCs w:val="21"/>
                      <w:u w:val="none"/>
                      <w:lang w:val="en-US" w:eastAsia="zh-CN" w:bidi="ar"/>
                    </w:rPr>
                    <w:t>mg/m³</w:t>
                  </w:r>
                  <w:r>
                    <w:rPr>
                      <w:rFonts w:hint="eastAsia" w:ascii="宋体" w:hAnsi="宋体" w:eastAsia="宋体" w:cs="宋体"/>
                      <w:i w:val="0"/>
                      <w:iCs w:val="0"/>
                      <w:color w:val="000000"/>
                      <w:kern w:val="0"/>
                      <w:sz w:val="21"/>
                      <w:szCs w:val="21"/>
                      <w:u w:val="none"/>
                      <w:lang w:val="en-US" w:eastAsia="zh-CN" w:bidi="ar"/>
                    </w:rPr>
                    <w:t>）</w:t>
                  </w:r>
                </w:p>
              </w:tc>
              <w:tc>
                <w:tcPr>
                  <w:tcW w:w="5493" w:type="dxa"/>
                  <w:tcBorders>
                    <w:top w:val="nil"/>
                    <w:left w:val="single" w:color="000000" w:sz="8" w:space="0"/>
                    <w:bottom w:val="single" w:color="000000" w:sz="8" w:space="0"/>
                    <w:right w:val="single" w:color="000000" w:sz="8" w:space="0"/>
                  </w:tcBorders>
                  <w:shd w:val="clear" w:color="auto" w:fill="auto"/>
                  <w:vAlign w:val="center"/>
                </w:tcPr>
                <w:p w14:paraId="2DA6B8F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2.198</w:t>
                  </w:r>
                </w:p>
              </w:tc>
            </w:tr>
            <w:tr w14:paraId="2DBF4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3" w:hRule="atLeast"/>
              </w:trPr>
              <w:tc>
                <w:tcPr>
                  <w:tcW w:w="1494" w:type="dxa"/>
                  <w:vMerge w:val="continue"/>
                  <w:tcBorders>
                    <w:top w:val="nil"/>
                    <w:left w:val="single" w:color="000000" w:sz="8" w:space="0"/>
                    <w:bottom w:val="single" w:color="000000" w:sz="8" w:space="0"/>
                    <w:right w:val="single" w:color="000000" w:sz="8" w:space="0"/>
                  </w:tcBorders>
                  <w:shd w:val="clear" w:color="auto" w:fill="auto"/>
                  <w:vAlign w:val="center"/>
                </w:tcPr>
                <w:p w14:paraId="6AD6B9B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1"/>
                      <w:szCs w:val="21"/>
                      <w:u w:val="none"/>
                    </w:rPr>
                  </w:pPr>
                </w:p>
              </w:tc>
              <w:tc>
                <w:tcPr>
                  <w:tcW w:w="2832" w:type="dxa"/>
                  <w:tcBorders>
                    <w:top w:val="nil"/>
                    <w:left w:val="single" w:color="000000" w:sz="8" w:space="0"/>
                    <w:bottom w:val="single" w:color="000000" w:sz="8" w:space="0"/>
                    <w:right w:val="single" w:color="000000" w:sz="8" w:space="0"/>
                  </w:tcBorders>
                  <w:shd w:val="clear" w:color="auto" w:fill="auto"/>
                  <w:vAlign w:val="center"/>
                </w:tcPr>
                <w:p w14:paraId="0886B3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排放量（</w:t>
                  </w:r>
                  <w:r>
                    <w:rPr>
                      <w:rFonts w:hint="default" w:ascii="Times New Roman" w:hAnsi="Times New Roman" w:eastAsia="宋体" w:cs="Times New Roman"/>
                      <w:i w:val="0"/>
                      <w:iCs w:val="0"/>
                      <w:color w:val="000000"/>
                      <w:kern w:val="0"/>
                      <w:sz w:val="21"/>
                      <w:szCs w:val="21"/>
                      <w:u w:val="none"/>
                      <w:lang w:val="en-US" w:eastAsia="zh-CN" w:bidi="ar"/>
                    </w:rPr>
                    <w:t>t/a</w:t>
                  </w:r>
                  <w:r>
                    <w:rPr>
                      <w:rFonts w:hint="eastAsia" w:ascii="宋体" w:hAnsi="宋体" w:eastAsia="宋体" w:cs="宋体"/>
                      <w:i w:val="0"/>
                      <w:iCs w:val="0"/>
                      <w:color w:val="000000"/>
                      <w:kern w:val="0"/>
                      <w:sz w:val="21"/>
                      <w:szCs w:val="21"/>
                      <w:u w:val="none"/>
                      <w:lang w:val="en-US" w:eastAsia="zh-CN" w:bidi="ar"/>
                    </w:rPr>
                    <w:t>）</w:t>
                  </w:r>
                </w:p>
              </w:tc>
              <w:tc>
                <w:tcPr>
                  <w:tcW w:w="5493" w:type="dxa"/>
                  <w:tcBorders>
                    <w:top w:val="nil"/>
                    <w:left w:val="single" w:color="000000" w:sz="8" w:space="0"/>
                    <w:bottom w:val="single" w:color="000000" w:sz="8" w:space="0"/>
                    <w:right w:val="single" w:color="000000" w:sz="8" w:space="0"/>
                  </w:tcBorders>
                  <w:shd w:val="clear" w:color="auto" w:fill="auto"/>
                  <w:vAlign w:val="center"/>
                </w:tcPr>
                <w:p w14:paraId="7816E50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0.009</w:t>
                  </w:r>
                </w:p>
              </w:tc>
            </w:tr>
            <w:tr w14:paraId="5637B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 w:hRule="atLeast"/>
              </w:trPr>
              <w:tc>
                <w:tcPr>
                  <w:tcW w:w="1494" w:type="dxa"/>
                  <w:vMerge w:val="continue"/>
                  <w:tcBorders>
                    <w:top w:val="nil"/>
                    <w:left w:val="single" w:color="000000" w:sz="8" w:space="0"/>
                    <w:bottom w:val="single" w:color="000000" w:sz="8" w:space="0"/>
                    <w:right w:val="single" w:color="000000" w:sz="8" w:space="0"/>
                  </w:tcBorders>
                  <w:shd w:val="clear" w:color="auto" w:fill="auto"/>
                  <w:vAlign w:val="center"/>
                </w:tcPr>
                <w:p w14:paraId="0ECA6228">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1"/>
                      <w:szCs w:val="21"/>
                      <w:u w:val="none"/>
                    </w:rPr>
                  </w:pPr>
                </w:p>
              </w:tc>
              <w:tc>
                <w:tcPr>
                  <w:tcW w:w="2832" w:type="dxa"/>
                  <w:tcBorders>
                    <w:top w:val="nil"/>
                    <w:left w:val="single" w:color="000000" w:sz="8" w:space="0"/>
                    <w:bottom w:val="single" w:color="000000" w:sz="8" w:space="0"/>
                    <w:right w:val="single" w:color="000000" w:sz="8" w:space="0"/>
                  </w:tcBorders>
                  <w:shd w:val="clear" w:color="auto" w:fill="auto"/>
                  <w:vAlign w:val="center"/>
                </w:tcPr>
                <w:p w14:paraId="4FB634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排放速率（</w:t>
                  </w:r>
                  <w:r>
                    <w:rPr>
                      <w:rFonts w:hint="default" w:ascii="Times New Roman" w:hAnsi="Times New Roman" w:eastAsia="宋体" w:cs="Times New Roman"/>
                      <w:i w:val="0"/>
                      <w:iCs w:val="0"/>
                      <w:color w:val="000000"/>
                      <w:kern w:val="0"/>
                      <w:sz w:val="21"/>
                      <w:szCs w:val="21"/>
                      <w:u w:val="none"/>
                      <w:lang w:val="en-US" w:eastAsia="zh-CN" w:bidi="ar"/>
                    </w:rPr>
                    <w:t>kg/h</w:t>
                  </w:r>
                  <w:r>
                    <w:rPr>
                      <w:rFonts w:hint="eastAsia" w:ascii="宋体" w:hAnsi="宋体" w:eastAsia="宋体" w:cs="宋体"/>
                      <w:i w:val="0"/>
                      <w:iCs w:val="0"/>
                      <w:color w:val="000000"/>
                      <w:kern w:val="0"/>
                      <w:sz w:val="21"/>
                      <w:szCs w:val="21"/>
                      <w:u w:val="none"/>
                      <w:lang w:val="en-US" w:eastAsia="zh-CN" w:bidi="ar"/>
                    </w:rPr>
                    <w:t>）</w:t>
                  </w:r>
                </w:p>
              </w:tc>
              <w:tc>
                <w:tcPr>
                  <w:tcW w:w="5493" w:type="dxa"/>
                  <w:tcBorders>
                    <w:top w:val="nil"/>
                    <w:left w:val="single" w:color="000000" w:sz="8" w:space="0"/>
                    <w:bottom w:val="single" w:color="000000" w:sz="8" w:space="0"/>
                    <w:right w:val="single" w:color="000000" w:sz="8" w:space="0"/>
                  </w:tcBorders>
                  <w:shd w:val="clear" w:color="auto" w:fill="auto"/>
                  <w:vAlign w:val="center"/>
                </w:tcPr>
                <w:p w14:paraId="42C27AF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w:t>
                  </w:r>
                </w:p>
              </w:tc>
            </w:tr>
            <w:tr w14:paraId="72D6B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1494" w:type="dxa"/>
                  <w:vMerge w:val="continue"/>
                  <w:tcBorders>
                    <w:top w:val="nil"/>
                    <w:left w:val="single" w:color="000000" w:sz="8" w:space="0"/>
                    <w:bottom w:val="single" w:color="000000" w:sz="8" w:space="0"/>
                    <w:right w:val="single" w:color="000000" w:sz="8" w:space="0"/>
                  </w:tcBorders>
                  <w:shd w:val="clear" w:color="auto" w:fill="auto"/>
                  <w:vAlign w:val="center"/>
                </w:tcPr>
                <w:p w14:paraId="59E7AA4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1"/>
                      <w:szCs w:val="21"/>
                      <w:u w:val="none"/>
                    </w:rPr>
                  </w:pPr>
                </w:p>
              </w:tc>
              <w:tc>
                <w:tcPr>
                  <w:tcW w:w="2832" w:type="dxa"/>
                  <w:tcBorders>
                    <w:top w:val="nil"/>
                    <w:left w:val="single" w:color="000000" w:sz="8" w:space="0"/>
                    <w:bottom w:val="single" w:color="000000" w:sz="8" w:space="0"/>
                    <w:right w:val="single" w:color="000000" w:sz="8" w:space="0"/>
                  </w:tcBorders>
                  <w:shd w:val="clear" w:color="auto" w:fill="auto"/>
                  <w:vAlign w:val="center"/>
                </w:tcPr>
                <w:p w14:paraId="57C364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排放浓度（</w:t>
                  </w:r>
                  <w:r>
                    <w:rPr>
                      <w:rFonts w:hint="default" w:ascii="Times New Roman" w:hAnsi="Times New Roman" w:eastAsia="宋体" w:cs="Times New Roman"/>
                      <w:i w:val="0"/>
                      <w:iCs w:val="0"/>
                      <w:color w:val="000000"/>
                      <w:kern w:val="0"/>
                      <w:sz w:val="21"/>
                      <w:szCs w:val="21"/>
                      <w:u w:val="none"/>
                      <w:lang w:val="en-US" w:eastAsia="zh-CN" w:bidi="ar"/>
                    </w:rPr>
                    <w:t>mg/m³</w:t>
                  </w:r>
                  <w:r>
                    <w:rPr>
                      <w:rFonts w:hint="eastAsia" w:ascii="宋体" w:hAnsi="宋体" w:eastAsia="宋体" w:cs="宋体"/>
                      <w:i w:val="0"/>
                      <w:iCs w:val="0"/>
                      <w:color w:val="000000"/>
                      <w:kern w:val="0"/>
                      <w:sz w:val="21"/>
                      <w:szCs w:val="21"/>
                      <w:u w:val="none"/>
                      <w:lang w:val="en-US" w:eastAsia="zh-CN" w:bidi="ar"/>
                    </w:rPr>
                    <w:t>）</w:t>
                  </w:r>
                </w:p>
              </w:tc>
              <w:tc>
                <w:tcPr>
                  <w:tcW w:w="5493" w:type="dxa"/>
                  <w:tcBorders>
                    <w:top w:val="nil"/>
                    <w:left w:val="single" w:color="000000" w:sz="8" w:space="0"/>
                    <w:bottom w:val="single" w:color="000000" w:sz="8" w:space="0"/>
                    <w:right w:val="single" w:color="000000" w:sz="8" w:space="0"/>
                  </w:tcBorders>
                  <w:shd w:val="clear" w:color="auto" w:fill="auto"/>
                  <w:vAlign w:val="center"/>
                </w:tcPr>
                <w:p w14:paraId="119A19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0.659</w:t>
                  </w:r>
                </w:p>
              </w:tc>
            </w:tr>
            <w:tr w14:paraId="2FB6F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1494" w:type="dxa"/>
                  <w:vMerge w:val="restart"/>
                  <w:tcBorders>
                    <w:top w:val="nil"/>
                    <w:left w:val="single" w:color="000000" w:sz="8" w:space="0"/>
                    <w:bottom w:val="single" w:color="000000" w:sz="8" w:space="0"/>
                    <w:right w:val="single" w:color="000000" w:sz="8" w:space="0"/>
                  </w:tcBorders>
                  <w:shd w:val="clear" w:color="auto" w:fill="auto"/>
                  <w:vAlign w:val="center"/>
                </w:tcPr>
                <w:p w14:paraId="3EB44B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无组织</w:t>
                  </w:r>
                </w:p>
              </w:tc>
              <w:tc>
                <w:tcPr>
                  <w:tcW w:w="2832" w:type="dxa"/>
                  <w:tcBorders>
                    <w:top w:val="nil"/>
                    <w:left w:val="single" w:color="000000" w:sz="8" w:space="0"/>
                    <w:bottom w:val="single" w:color="000000" w:sz="8" w:space="0"/>
                    <w:right w:val="single" w:color="000000" w:sz="8" w:space="0"/>
                  </w:tcBorders>
                  <w:shd w:val="clear" w:color="auto" w:fill="auto"/>
                  <w:vAlign w:val="center"/>
                </w:tcPr>
                <w:p w14:paraId="2DE26E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排放量（</w:t>
                  </w:r>
                  <w:r>
                    <w:rPr>
                      <w:rFonts w:hint="default" w:ascii="Times New Roman" w:hAnsi="Times New Roman" w:eastAsia="宋体" w:cs="Times New Roman"/>
                      <w:i w:val="0"/>
                      <w:iCs w:val="0"/>
                      <w:color w:val="000000"/>
                      <w:kern w:val="0"/>
                      <w:sz w:val="21"/>
                      <w:szCs w:val="21"/>
                      <w:u w:val="none"/>
                      <w:lang w:val="en-US" w:eastAsia="zh-CN" w:bidi="ar"/>
                    </w:rPr>
                    <w:t>t/a</w:t>
                  </w:r>
                  <w:r>
                    <w:rPr>
                      <w:rFonts w:hint="eastAsia" w:ascii="宋体" w:hAnsi="宋体" w:eastAsia="宋体" w:cs="宋体"/>
                      <w:i w:val="0"/>
                      <w:iCs w:val="0"/>
                      <w:color w:val="000000"/>
                      <w:kern w:val="0"/>
                      <w:sz w:val="21"/>
                      <w:szCs w:val="21"/>
                      <w:u w:val="none"/>
                      <w:lang w:val="en-US" w:eastAsia="zh-CN" w:bidi="ar"/>
                    </w:rPr>
                    <w:t>）</w:t>
                  </w:r>
                </w:p>
              </w:tc>
              <w:tc>
                <w:tcPr>
                  <w:tcW w:w="5493" w:type="dxa"/>
                  <w:tcBorders>
                    <w:top w:val="nil"/>
                    <w:left w:val="single" w:color="000000" w:sz="8" w:space="0"/>
                    <w:bottom w:val="single" w:color="000000" w:sz="8" w:space="0"/>
                    <w:right w:val="single" w:color="000000" w:sz="8" w:space="0"/>
                  </w:tcBorders>
                  <w:shd w:val="clear" w:color="auto" w:fill="auto"/>
                  <w:vAlign w:val="center"/>
                </w:tcPr>
                <w:p w14:paraId="12EF4A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w:t>
                  </w:r>
                </w:p>
              </w:tc>
            </w:tr>
            <w:tr w14:paraId="70D15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 w:hRule="atLeast"/>
              </w:trPr>
              <w:tc>
                <w:tcPr>
                  <w:tcW w:w="1494" w:type="dxa"/>
                  <w:vMerge w:val="continue"/>
                  <w:tcBorders>
                    <w:top w:val="nil"/>
                    <w:left w:val="single" w:color="000000" w:sz="8" w:space="0"/>
                    <w:bottom w:val="single" w:color="000000" w:sz="8" w:space="0"/>
                    <w:right w:val="single" w:color="000000" w:sz="8" w:space="0"/>
                  </w:tcBorders>
                  <w:shd w:val="clear" w:color="auto" w:fill="auto"/>
                  <w:vAlign w:val="center"/>
                </w:tcPr>
                <w:p w14:paraId="0DAFC3D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1"/>
                      <w:szCs w:val="21"/>
                      <w:u w:val="none"/>
                    </w:rPr>
                  </w:pPr>
                </w:p>
              </w:tc>
              <w:tc>
                <w:tcPr>
                  <w:tcW w:w="2832" w:type="dxa"/>
                  <w:tcBorders>
                    <w:top w:val="nil"/>
                    <w:left w:val="single" w:color="000000" w:sz="8" w:space="0"/>
                    <w:bottom w:val="single" w:color="000000" w:sz="8" w:space="0"/>
                    <w:right w:val="single" w:color="000000" w:sz="8" w:space="0"/>
                  </w:tcBorders>
                  <w:shd w:val="clear" w:color="auto" w:fill="auto"/>
                  <w:vAlign w:val="center"/>
                </w:tcPr>
                <w:p w14:paraId="1D3FFF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排放速率（</w:t>
                  </w:r>
                  <w:r>
                    <w:rPr>
                      <w:rFonts w:hint="default" w:ascii="Times New Roman" w:hAnsi="Times New Roman" w:eastAsia="宋体" w:cs="Times New Roman"/>
                      <w:i w:val="0"/>
                      <w:iCs w:val="0"/>
                      <w:color w:val="000000"/>
                      <w:kern w:val="0"/>
                      <w:sz w:val="21"/>
                      <w:szCs w:val="21"/>
                      <w:u w:val="none"/>
                      <w:lang w:val="en-US" w:eastAsia="zh-CN" w:bidi="ar"/>
                    </w:rPr>
                    <w:t>kg/h</w:t>
                  </w:r>
                  <w:r>
                    <w:rPr>
                      <w:rFonts w:hint="eastAsia" w:ascii="宋体" w:hAnsi="宋体" w:eastAsia="宋体" w:cs="宋体"/>
                      <w:i w:val="0"/>
                      <w:iCs w:val="0"/>
                      <w:color w:val="000000"/>
                      <w:kern w:val="0"/>
                      <w:sz w:val="21"/>
                      <w:szCs w:val="21"/>
                      <w:u w:val="none"/>
                      <w:lang w:val="en-US" w:eastAsia="zh-CN" w:bidi="ar"/>
                    </w:rPr>
                    <w:t>）</w:t>
                  </w:r>
                </w:p>
              </w:tc>
              <w:tc>
                <w:tcPr>
                  <w:tcW w:w="5493" w:type="dxa"/>
                  <w:tcBorders>
                    <w:top w:val="nil"/>
                    <w:left w:val="single" w:color="000000" w:sz="8" w:space="0"/>
                    <w:bottom w:val="single" w:color="000000" w:sz="8" w:space="0"/>
                    <w:right w:val="single" w:color="000000" w:sz="8" w:space="0"/>
                  </w:tcBorders>
                  <w:shd w:val="clear" w:color="auto" w:fill="auto"/>
                  <w:vAlign w:val="center"/>
                </w:tcPr>
                <w:p w14:paraId="2B75D2F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0.001</w:t>
                  </w:r>
                </w:p>
              </w:tc>
            </w:tr>
            <w:tr w14:paraId="753B5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 w:hRule="atLeast"/>
              </w:trPr>
              <w:tc>
                <w:tcPr>
                  <w:tcW w:w="4326" w:type="dxa"/>
                  <w:gridSpan w:val="2"/>
                  <w:tcBorders>
                    <w:top w:val="nil"/>
                    <w:left w:val="single" w:color="000000" w:sz="8" w:space="0"/>
                    <w:bottom w:val="single" w:color="000000" w:sz="8" w:space="0"/>
                    <w:right w:val="single" w:color="000000" w:sz="8" w:space="0"/>
                  </w:tcBorders>
                  <w:shd w:val="clear" w:color="auto" w:fill="auto"/>
                  <w:vAlign w:val="center"/>
                </w:tcPr>
                <w:p w14:paraId="35C20A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总抽风量（</w:t>
                  </w:r>
                  <w:r>
                    <w:rPr>
                      <w:rFonts w:hint="default" w:ascii="Times New Roman" w:hAnsi="Times New Roman" w:eastAsia="宋体" w:cs="Times New Roman"/>
                      <w:i w:val="0"/>
                      <w:iCs w:val="0"/>
                      <w:color w:val="000000"/>
                      <w:kern w:val="0"/>
                      <w:sz w:val="21"/>
                      <w:szCs w:val="21"/>
                      <w:u w:val="none"/>
                      <w:lang w:val="en-US" w:eastAsia="zh-CN" w:bidi="ar"/>
                    </w:rPr>
                    <w:t>m³/h</w:t>
                  </w:r>
                  <w:r>
                    <w:rPr>
                      <w:rFonts w:hint="eastAsia" w:ascii="宋体" w:hAnsi="宋体" w:eastAsia="宋体" w:cs="宋体"/>
                      <w:i w:val="0"/>
                      <w:iCs w:val="0"/>
                      <w:color w:val="000000"/>
                      <w:kern w:val="0"/>
                      <w:sz w:val="21"/>
                      <w:szCs w:val="21"/>
                      <w:u w:val="none"/>
                      <w:lang w:val="en-US" w:eastAsia="zh-CN" w:bidi="ar"/>
                    </w:rPr>
                    <w:t>）</w:t>
                  </w:r>
                </w:p>
              </w:tc>
              <w:tc>
                <w:tcPr>
                  <w:tcW w:w="5493" w:type="dxa"/>
                  <w:tcBorders>
                    <w:top w:val="nil"/>
                    <w:left w:val="single" w:color="000000" w:sz="8" w:space="0"/>
                    <w:bottom w:val="single" w:color="000000" w:sz="8" w:space="0"/>
                    <w:right w:val="single" w:color="000000" w:sz="8" w:space="0"/>
                  </w:tcBorders>
                  <w:shd w:val="clear" w:color="auto" w:fill="auto"/>
                  <w:vAlign w:val="center"/>
                </w:tcPr>
                <w:p w14:paraId="54C58A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6000</w:t>
                  </w:r>
                </w:p>
              </w:tc>
            </w:tr>
            <w:tr w14:paraId="23E37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 w:hRule="atLeast"/>
              </w:trPr>
              <w:tc>
                <w:tcPr>
                  <w:tcW w:w="4326" w:type="dxa"/>
                  <w:gridSpan w:val="2"/>
                  <w:tcBorders>
                    <w:top w:val="nil"/>
                    <w:left w:val="single" w:color="000000" w:sz="8" w:space="0"/>
                    <w:bottom w:val="single" w:color="000000" w:sz="8" w:space="0"/>
                    <w:right w:val="single" w:color="000000" w:sz="8" w:space="0"/>
                  </w:tcBorders>
                  <w:shd w:val="clear" w:color="auto" w:fill="auto"/>
                  <w:vAlign w:val="center"/>
                </w:tcPr>
                <w:p w14:paraId="6F3C72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工作时间（</w:t>
                  </w:r>
                  <w:r>
                    <w:rPr>
                      <w:rFonts w:hint="default" w:ascii="Times New Roman" w:hAnsi="Times New Roman" w:eastAsia="宋体" w:cs="Times New Roman"/>
                      <w:i w:val="0"/>
                      <w:iCs w:val="0"/>
                      <w:color w:val="000000"/>
                      <w:kern w:val="0"/>
                      <w:sz w:val="21"/>
                      <w:szCs w:val="21"/>
                      <w:u w:val="none"/>
                      <w:lang w:val="en-US" w:eastAsia="zh-CN" w:bidi="ar"/>
                    </w:rPr>
                    <w:t>h/a</w:t>
                  </w:r>
                  <w:r>
                    <w:rPr>
                      <w:rFonts w:hint="eastAsia" w:ascii="宋体" w:hAnsi="宋体" w:eastAsia="宋体" w:cs="宋体"/>
                      <w:i w:val="0"/>
                      <w:iCs w:val="0"/>
                      <w:color w:val="000000"/>
                      <w:kern w:val="0"/>
                      <w:sz w:val="21"/>
                      <w:szCs w:val="21"/>
                      <w:u w:val="none"/>
                      <w:lang w:val="en-US" w:eastAsia="zh-CN" w:bidi="ar"/>
                    </w:rPr>
                    <w:t>）</w:t>
                  </w:r>
                </w:p>
              </w:tc>
              <w:tc>
                <w:tcPr>
                  <w:tcW w:w="5493" w:type="dxa"/>
                  <w:tcBorders>
                    <w:top w:val="nil"/>
                    <w:left w:val="single" w:color="000000" w:sz="8" w:space="0"/>
                    <w:bottom w:val="single" w:color="000000" w:sz="8" w:space="0"/>
                    <w:right w:val="single" w:color="000000" w:sz="8" w:space="0"/>
                  </w:tcBorders>
                  <w:shd w:val="clear" w:color="auto" w:fill="auto"/>
                  <w:vAlign w:val="center"/>
                </w:tcPr>
                <w:p w14:paraId="4861CB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2400</w:t>
                  </w:r>
                </w:p>
              </w:tc>
            </w:tr>
          </w:tbl>
          <w:p w14:paraId="20A4AA4F">
            <w:pPr>
              <w:pStyle w:val="4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cs="Segoe UI"/>
                <w:b w:val="0"/>
                <w:i w:val="0"/>
                <w:iCs w:val="0"/>
                <w:caps w:val="0"/>
                <w:strike w:val="0"/>
                <w:color w:val="auto"/>
                <w:spacing w:val="0"/>
                <w:kern w:val="0"/>
                <w:sz w:val="21"/>
                <w:szCs w:val="24"/>
                <w:u w:val="none"/>
                <w:lang w:val="en-US" w:eastAsia="zh-CN" w:bidi="ar-SA"/>
              </w:rPr>
            </w:pPr>
            <w:r>
              <w:rPr>
                <w:rFonts w:hint="default" w:ascii="Times New Roman" w:hAnsi="Times New Roman" w:eastAsia="宋体" w:cs="Segoe UI"/>
                <w:b w:val="0"/>
                <w:bCs w:val="0"/>
                <w:i w:val="0"/>
                <w:iCs w:val="0"/>
                <w:caps w:val="0"/>
                <w:strike w:val="0"/>
                <w:color w:val="auto"/>
                <w:spacing w:val="0"/>
                <w:sz w:val="21"/>
                <w:szCs w:val="24"/>
                <w:u w:val="none"/>
                <w:lang w:val="en-US" w:eastAsia="zh-CN"/>
              </w:rPr>
              <w:t>由上表可知，非甲烷总烃满足</w:t>
            </w:r>
            <w:r>
              <w:rPr>
                <w:rFonts w:hint="eastAsia" w:ascii="Times New Roman" w:hAnsi="Times New Roman" w:eastAsia="宋体" w:cs="Segoe UI"/>
                <w:b w:val="0"/>
                <w:bCs w:val="0"/>
                <w:i w:val="0"/>
                <w:iCs w:val="0"/>
                <w:caps w:val="0"/>
                <w:strike w:val="0"/>
                <w:color w:val="auto"/>
                <w:spacing w:val="0"/>
                <w:sz w:val="21"/>
                <w:szCs w:val="24"/>
                <w:u w:val="none"/>
                <w:lang w:val="en-US" w:eastAsia="zh-CN"/>
              </w:rPr>
              <w:t>《印刷工业大气污染物排放标准》（</w:t>
            </w:r>
            <w:r>
              <w:rPr>
                <w:rFonts w:hint="default" w:ascii="Times New Roman" w:hAnsi="Times New Roman" w:eastAsia="宋体" w:cs="Segoe UI"/>
                <w:b w:val="0"/>
                <w:bCs w:val="0"/>
                <w:i w:val="0"/>
                <w:iCs w:val="0"/>
                <w:caps w:val="0"/>
                <w:strike w:val="0"/>
                <w:color w:val="auto"/>
                <w:spacing w:val="0"/>
                <w:sz w:val="21"/>
                <w:szCs w:val="24"/>
                <w:u w:val="none"/>
                <w:lang w:val="en-US" w:eastAsia="zh-CN"/>
              </w:rPr>
              <w:t>GB41616-2022</w:t>
            </w:r>
            <w:r>
              <w:rPr>
                <w:rFonts w:hint="eastAsia" w:ascii="Times New Roman" w:hAnsi="Times New Roman" w:eastAsia="宋体" w:cs="Segoe UI"/>
                <w:b w:val="0"/>
                <w:bCs w:val="0"/>
                <w:i w:val="0"/>
                <w:iCs w:val="0"/>
                <w:caps w:val="0"/>
                <w:strike w:val="0"/>
                <w:color w:val="auto"/>
                <w:spacing w:val="0"/>
                <w:sz w:val="21"/>
                <w:szCs w:val="24"/>
                <w:u w:val="none"/>
                <w:lang w:val="en-US" w:eastAsia="zh-CN"/>
              </w:rPr>
              <w:t>）表</w:t>
            </w:r>
            <w:r>
              <w:rPr>
                <w:rFonts w:hint="default" w:ascii="Times New Roman" w:hAnsi="Times New Roman" w:eastAsia="宋体" w:cs="Segoe UI"/>
                <w:b w:val="0"/>
                <w:bCs w:val="0"/>
                <w:i w:val="0"/>
                <w:iCs w:val="0"/>
                <w:caps w:val="0"/>
                <w:strike w:val="0"/>
                <w:color w:val="auto"/>
                <w:spacing w:val="0"/>
                <w:sz w:val="21"/>
                <w:szCs w:val="24"/>
                <w:u w:val="none"/>
                <w:lang w:val="en-US" w:eastAsia="zh-CN"/>
              </w:rPr>
              <w:t>1</w:t>
            </w:r>
            <w:r>
              <w:rPr>
                <w:rFonts w:hint="eastAsia" w:ascii="Times New Roman" w:hAnsi="Times New Roman" w:eastAsia="宋体" w:cs="Segoe UI"/>
                <w:b w:val="0"/>
                <w:bCs w:val="0"/>
                <w:i w:val="0"/>
                <w:iCs w:val="0"/>
                <w:caps w:val="0"/>
                <w:strike w:val="0"/>
                <w:color w:val="auto"/>
                <w:spacing w:val="0"/>
                <w:sz w:val="21"/>
                <w:szCs w:val="24"/>
                <w:u w:val="none"/>
                <w:lang w:val="en-US" w:eastAsia="zh-CN"/>
              </w:rPr>
              <w:t>大气污染物排放限值</w:t>
            </w:r>
            <w:r>
              <w:rPr>
                <w:rFonts w:hint="default" w:ascii="Times New Roman" w:hAnsi="Times New Roman" w:eastAsia="宋体" w:cs="Segoe UI"/>
                <w:b w:val="0"/>
                <w:bCs w:val="0"/>
                <w:i w:val="0"/>
                <w:iCs w:val="0"/>
                <w:caps w:val="0"/>
                <w:strike w:val="0"/>
                <w:color w:val="auto"/>
                <w:spacing w:val="0"/>
                <w:sz w:val="21"/>
                <w:szCs w:val="24"/>
                <w:u w:val="none"/>
                <w:lang w:val="en-US" w:eastAsia="zh-CN"/>
              </w:rPr>
              <w:t>；</w:t>
            </w:r>
            <w:r>
              <w:rPr>
                <w:rFonts w:hint="eastAsia" w:ascii="Times New Roman" w:hAnsi="Times New Roman" w:eastAsia="宋体" w:cs="Segoe UI"/>
                <w:b w:val="0"/>
                <w:bCs w:val="0"/>
                <w:i w:val="0"/>
                <w:iCs w:val="0"/>
                <w:caps w:val="0"/>
                <w:strike w:val="0"/>
                <w:color w:val="auto"/>
                <w:spacing w:val="0"/>
                <w:sz w:val="21"/>
                <w:szCs w:val="24"/>
                <w:u w:val="none"/>
                <w:lang w:val="en-US" w:eastAsia="zh-CN"/>
              </w:rPr>
              <w:t>总</w:t>
            </w:r>
            <w:r>
              <w:rPr>
                <w:rFonts w:hint="default" w:ascii="Times New Roman" w:hAnsi="Times New Roman" w:eastAsia="宋体" w:cs="Segoe UI"/>
                <w:b w:val="0"/>
                <w:bCs w:val="0"/>
                <w:i w:val="0"/>
                <w:iCs w:val="0"/>
                <w:caps w:val="0"/>
                <w:strike w:val="0"/>
                <w:color w:val="auto"/>
                <w:spacing w:val="0"/>
                <w:sz w:val="21"/>
                <w:szCs w:val="24"/>
                <w:u w:val="none"/>
                <w:lang w:val="en-US" w:eastAsia="zh-CN"/>
              </w:rPr>
              <w:t>VOCs</w:t>
            </w:r>
            <w:r>
              <w:rPr>
                <w:rFonts w:hint="eastAsia" w:ascii="Times New Roman" w:hAnsi="Times New Roman" w:eastAsia="宋体" w:cs="Segoe UI"/>
                <w:b w:val="0"/>
                <w:bCs w:val="0"/>
                <w:i w:val="0"/>
                <w:iCs w:val="0"/>
                <w:caps w:val="0"/>
                <w:strike w:val="0"/>
                <w:color w:val="auto"/>
                <w:spacing w:val="0"/>
                <w:sz w:val="21"/>
                <w:szCs w:val="24"/>
                <w:u w:val="none"/>
                <w:lang w:val="en-US" w:eastAsia="zh-CN"/>
              </w:rPr>
              <w:t>满足《制鞋行业挥发性有机化合物排放标准》（</w:t>
            </w:r>
            <w:r>
              <w:rPr>
                <w:rFonts w:hint="default" w:ascii="Times New Roman" w:hAnsi="Times New Roman" w:eastAsia="宋体" w:cs="Segoe UI"/>
                <w:b w:val="0"/>
                <w:bCs w:val="0"/>
                <w:i w:val="0"/>
                <w:iCs w:val="0"/>
                <w:caps w:val="0"/>
                <w:strike w:val="0"/>
                <w:color w:val="auto"/>
                <w:spacing w:val="0"/>
                <w:sz w:val="21"/>
                <w:szCs w:val="24"/>
                <w:u w:val="none"/>
                <w:lang w:val="en-US" w:eastAsia="zh-CN"/>
              </w:rPr>
              <w:t>DB44 817-2010</w:t>
            </w:r>
            <w:r>
              <w:rPr>
                <w:rFonts w:hint="eastAsia" w:ascii="Times New Roman" w:hAnsi="Times New Roman" w:eastAsia="宋体" w:cs="Segoe UI"/>
                <w:b w:val="0"/>
                <w:bCs w:val="0"/>
                <w:i w:val="0"/>
                <w:iCs w:val="0"/>
                <w:caps w:val="0"/>
                <w:strike w:val="0"/>
                <w:color w:val="auto"/>
                <w:spacing w:val="0"/>
                <w:sz w:val="21"/>
                <w:szCs w:val="24"/>
                <w:u w:val="none"/>
                <w:lang w:val="en-US" w:eastAsia="zh-CN"/>
              </w:rPr>
              <w:t>）表</w:t>
            </w:r>
            <w:r>
              <w:rPr>
                <w:rFonts w:hint="default" w:ascii="Times New Roman" w:hAnsi="Times New Roman" w:eastAsia="宋体" w:cs="Segoe UI"/>
                <w:b w:val="0"/>
                <w:bCs w:val="0"/>
                <w:i w:val="0"/>
                <w:iCs w:val="0"/>
                <w:caps w:val="0"/>
                <w:strike w:val="0"/>
                <w:color w:val="auto"/>
                <w:spacing w:val="0"/>
                <w:sz w:val="21"/>
                <w:szCs w:val="24"/>
                <w:u w:val="none"/>
                <w:lang w:val="en-US" w:eastAsia="zh-CN"/>
              </w:rPr>
              <w:t>1</w:t>
            </w:r>
            <w:r>
              <w:rPr>
                <w:rFonts w:hint="eastAsia" w:ascii="Times New Roman" w:hAnsi="Times New Roman" w:eastAsia="宋体" w:cs="Segoe UI"/>
                <w:b w:val="0"/>
                <w:bCs w:val="0"/>
                <w:i w:val="0"/>
                <w:iCs w:val="0"/>
                <w:caps w:val="0"/>
                <w:strike w:val="0"/>
                <w:color w:val="auto"/>
                <w:spacing w:val="0"/>
                <w:sz w:val="21"/>
                <w:szCs w:val="24"/>
                <w:u w:val="none"/>
                <w:lang w:val="en-US" w:eastAsia="zh-CN"/>
              </w:rPr>
              <w:t>第</w:t>
            </w:r>
            <w:r>
              <w:rPr>
                <w:rFonts w:hint="default" w:ascii="Times New Roman" w:hAnsi="Times New Roman" w:eastAsia="宋体" w:cs="Segoe UI"/>
                <w:b w:val="0"/>
                <w:bCs w:val="0"/>
                <w:i w:val="0"/>
                <w:iCs w:val="0"/>
                <w:caps w:val="0"/>
                <w:strike w:val="0"/>
                <w:color w:val="auto"/>
                <w:spacing w:val="0"/>
                <w:sz w:val="21"/>
                <w:szCs w:val="24"/>
                <w:u w:val="none"/>
                <w:lang w:val="en-US" w:eastAsia="zh-CN"/>
              </w:rPr>
              <w:t>II</w:t>
            </w:r>
            <w:r>
              <w:rPr>
                <w:rFonts w:hint="eastAsia" w:ascii="Times New Roman" w:hAnsi="Times New Roman" w:eastAsia="宋体" w:cs="Segoe UI"/>
                <w:b w:val="0"/>
                <w:bCs w:val="0"/>
                <w:i w:val="0"/>
                <w:iCs w:val="0"/>
                <w:caps w:val="0"/>
                <w:strike w:val="0"/>
                <w:color w:val="auto"/>
                <w:spacing w:val="0"/>
                <w:sz w:val="21"/>
                <w:szCs w:val="24"/>
                <w:u w:val="none"/>
                <w:lang w:val="en-US" w:eastAsia="zh-CN"/>
              </w:rPr>
              <w:t>时段排放限值要求与广东省地方标准《印刷行业挥发性有机化合物排放标准》（</w:t>
            </w:r>
            <w:r>
              <w:rPr>
                <w:rFonts w:hint="default" w:ascii="Times New Roman" w:hAnsi="Times New Roman" w:eastAsia="宋体" w:cs="Segoe UI"/>
                <w:b w:val="0"/>
                <w:bCs w:val="0"/>
                <w:i w:val="0"/>
                <w:iCs w:val="0"/>
                <w:caps w:val="0"/>
                <w:strike w:val="0"/>
                <w:color w:val="auto"/>
                <w:spacing w:val="0"/>
                <w:sz w:val="21"/>
                <w:szCs w:val="24"/>
                <w:u w:val="none"/>
                <w:lang w:val="en-US" w:eastAsia="zh-CN"/>
              </w:rPr>
              <w:t>DB44/815-2010</w:t>
            </w:r>
            <w:r>
              <w:rPr>
                <w:rFonts w:hint="eastAsia" w:ascii="Times New Roman" w:hAnsi="Times New Roman" w:eastAsia="宋体" w:cs="Segoe UI"/>
                <w:b w:val="0"/>
                <w:bCs w:val="0"/>
                <w:i w:val="0"/>
                <w:iCs w:val="0"/>
                <w:caps w:val="0"/>
                <w:strike w:val="0"/>
                <w:color w:val="auto"/>
                <w:spacing w:val="0"/>
                <w:sz w:val="21"/>
                <w:szCs w:val="24"/>
                <w:u w:val="none"/>
                <w:lang w:val="en-US" w:eastAsia="zh-CN"/>
              </w:rPr>
              <w:t>）表</w:t>
            </w:r>
            <w:r>
              <w:rPr>
                <w:rFonts w:hint="default" w:ascii="Times New Roman" w:hAnsi="Times New Roman" w:eastAsia="宋体" w:cs="Segoe UI"/>
                <w:b w:val="0"/>
                <w:bCs w:val="0"/>
                <w:i w:val="0"/>
                <w:iCs w:val="0"/>
                <w:caps w:val="0"/>
                <w:strike w:val="0"/>
                <w:color w:val="auto"/>
                <w:spacing w:val="0"/>
                <w:sz w:val="21"/>
                <w:szCs w:val="24"/>
                <w:u w:val="none"/>
                <w:lang w:val="en-US" w:eastAsia="zh-CN"/>
              </w:rPr>
              <w:t>2</w:t>
            </w:r>
            <w:r>
              <w:rPr>
                <w:rFonts w:hint="eastAsia" w:ascii="Times New Roman" w:hAnsi="Times New Roman" w:eastAsia="宋体" w:cs="Segoe UI"/>
                <w:b w:val="0"/>
                <w:bCs w:val="0"/>
                <w:i w:val="0"/>
                <w:iCs w:val="0"/>
                <w:caps w:val="0"/>
                <w:strike w:val="0"/>
                <w:color w:val="auto"/>
                <w:spacing w:val="0"/>
                <w:sz w:val="21"/>
                <w:szCs w:val="24"/>
                <w:u w:val="none"/>
                <w:lang w:val="en-US" w:eastAsia="zh-CN"/>
              </w:rPr>
              <w:t>排气筒</w:t>
            </w:r>
            <w:r>
              <w:rPr>
                <w:rFonts w:hint="default" w:ascii="Times New Roman" w:hAnsi="Times New Roman" w:eastAsia="宋体" w:cs="Segoe UI"/>
                <w:b w:val="0"/>
                <w:bCs w:val="0"/>
                <w:i w:val="0"/>
                <w:iCs w:val="0"/>
                <w:caps w:val="0"/>
                <w:strike w:val="0"/>
                <w:color w:val="auto"/>
                <w:spacing w:val="0"/>
                <w:sz w:val="21"/>
                <w:szCs w:val="24"/>
                <w:u w:val="none"/>
                <w:lang w:val="en-US" w:eastAsia="zh-CN"/>
              </w:rPr>
              <w:t>VOCs</w:t>
            </w:r>
            <w:r>
              <w:rPr>
                <w:rFonts w:hint="eastAsia" w:ascii="Times New Roman" w:hAnsi="Times New Roman" w:eastAsia="宋体" w:cs="Segoe UI"/>
                <w:b w:val="0"/>
                <w:bCs w:val="0"/>
                <w:i w:val="0"/>
                <w:iCs w:val="0"/>
                <w:caps w:val="0"/>
                <w:strike w:val="0"/>
                <w:color w:val="auto"/>
                <w:spacing w:val="0"/>
                <w:sz w:val="21"/>
                <w:szCs w:val="24"/>
                <w:u w:val="none"/>
                <w:lang w:val="en-US" w:eastAsia="zh-CN"/>
              </w:rPr>
              <w:t>排放限值（第</w:t>
            </w:r>
            <w:r>
              <w:rPr>
                <w:rFonts w:hint="default" w:ascii="Times New Roman" w:hAnsi="Times New Roman" w:eastAsia="宋体" w:cs="Segoe UI"/>
                <w:b w:val="0"/>
                <w:bCs w:val="0"/>
                <w:i w:val="0"/>
                <w:iCs w:val="0"/>
                <w:caps w:val="0"/>
                <w:strike w:val="0"/>
                <w:color w:val="auto"/>
                <w:spacing w:val="0"/>
                <w:sz w:val="21"/>
                <w:szCs w:val="24"/>
                <w:u w:val="none"/>
                <w:lang w:val="en-US" w:eastAsia="zh-CN"/>
              </w:rPr>
              <w:t>Ⅱ</w:t>
            </w:r>
            <w:r>
              <w:rPr>
                <w:rFonts w:hint="eastAsia" w:ascii="Times New Roman" w:hAnsi="Times New Roman" w:eastAsia="宋体" w:cs="Segoe UI"/>
                <w:b w:val="0"/>
                <w:bCs w:val="0"/>
                <w:i w:val="0"/>
                <w:iCs w:val="0"/>
                <w:caps w:val="0"/>
                <w:strike w:val="0"/>
                <w:color w:val="auto"/>
                <w:spacing w:val="0"/>
                <w:sz w:val="21"/>
                <w:szCs w:val="24"/>
                <w:u w:val="none"/>
                <w:lang w:val="en-US" w:eastAsia="zh-CN"/>
              </w:rPr>
              <w:t>时段）较严值；</w:t>
            </w:r>
            <w:r>
              <w:rPr>
                <w:rFonts w:hint="default" w:ascii="Times New Roman" w:hAnsi="Times New Roman" w:eastAsia="宋体" w:cs="Segoe UI"/>
                <w:b w:val="0"/>
                <w:bCs w:val="0"/>
                <w:i w:val="0"/>
                <w:iCs w:val="0"/>
                <w:caps w:val="0"/>
                <w:strike w:val="0"/>
                <w:color w:val="auto"/>
                <w:spacing w:val="0"/>
                <w:sz w:val="21"/>
                <w:szCs w:val="24"/>
                <w:u w:val="none"/>
                <w:lang w:val="en-US" w:eastAsia="zh-CN"/>
              </w:rPr>
              <w:t>臭气浓度满足《恶臭污染物排放标准》（GB14554-93）表2恶臭污染物排放标准值；</w:t>
            </w:r>
            <w:r>
              <w:rPr>
                <w:rFonts w:hint="eastAsia" w:ascii="Times New Roman" w:hAnsi="Times New Roman" w:eastAsia="宋体" w:cs="var(--dsw-font-markdown-base)"/>
                <w:i w:val="0"/>
                <w:iCs w:val="0"/>
                <w:caps w:val="0"/>
                <w:color w:val="auto"/>
                <w:spacing w:val="0"/>
                <w:sz w:val="21"/>
                <w:szCs w:val="21"/>
                <w:shd w:val="clear" w:fill="FFFFFF"/>
                <w:lang w:val="en-US" w:eastAsia="zh-CN"/>
              </w:rPr>
              <w:t>激光切割、丝印、高频、热压、熔断、烫布标等工序在加热过程中会产生</w:t>
            </w:r>
            <w:r>
              <w:rPr>
                <w:rFonts w:hint="default" w:ascii="Times New Roman" w:hAnsi="Times New Roman" w:eastAsia="宋体" w:cs="var(--dsw-font-markdown-base)"/>
                <w:i w:val="0"/>
                <w:iCs w:val="0"/>
                <w:caps w:val="0"/>
                <w:color w:val="auto"/>
                <w:spacing w:val="0"/>
                <w:sz w:val="21"/>
                <w:szCs w:val="21"/>
                <w:shd w:val="clear" w:fill="FFFFFF"/>
              </w:rPr>
              <w:t>烟尘（颗粒物）</w:t>
            </w:r>
            <w:r>
              <w:rPr>
                <w:rFonts w:hint="eastAsia" w:ascii="Times New Roman" w:hAnsi="Times New Roman" w:eastAsia="宋体" w:cs="var(--dsw-font-markdown-base)"/>
                <w:i w:val="0"/>
                <w:iCs w:val="0"/>
                <w:caps w:val="0"/>
                <w:color w:val="auto"/>
                <w:spacing w:val="0"/>
                <w:sz w:val="21"/>
                <w:szCs w:val="21"/>
                <w:shd w:val="clear" w:fill="FFFFFF"/>
                <w:lang w:eastAsia="zh-CN"/>
              </w:rPr>
              <w:t>、</w:t>
            </w:r>
            <w:r>
              <w:rPr>
                <w:rFonts w:hint="default" w:ascii="Times New Roman" w:hAnsi="Times New Roman" w:eastAsia="宋体" w:cs="var(--dsw-font-markdown-base)"/>
                <w:i w:val="0"/>
                <w:iCs w:val="0"/>
                <w:caps w:val="0"/>
                <w:color w:val="auto"/>
                <w:spacing w:val="0"/>
                <w:sz w:val="21"/>
                <w:szCs w:val="21"/>
                <w:shd w:val="clear" w:fill="FFFFFF"/>
                <w:lang w:val="en-US" w:eastAsia="zh-CN"/>
              </w:rPr>
              <w:t>少量有机废气（非甲烷总烃）和臭气浓度</w:t>
            </w:r>
            <w:r>
              <w:rPr>
                <w:rFonts w:hint="eastAsia" w:ascii="Times New Roman" w:hAnsi="Times New Roman" w:eastAsia="宋体" w:cs="var(--dsw-font-markdown-base)"/>
                <w:i w:val="0"/>
                <w:iCs w:val="0"/>
                <w:caps w:val="0"/>
                <w:color w:val="auto"/>
                <w:spacing w:val="0"/>
                <w:sz w:val="21"/>
                <w:szCs w:val="21"/>
                <w:shd w:val="clear" w:fill="FFFFFF"/>
                <w:lang w:val="en-US" w:eastAsia="zh-CN"/>
              </w:rPr>
              <w:t>，由于产生量极少，经加强车间通风换气后以无组织形式排放后厂界非甲烷总烃排放浓度可满足</w:t>
            </w:r>
            <w:r>
              <w:rPr>
                <w:rFonts w:hint="default" w:ascii="Times New Roman" w:hAnsi="Times New Roman" w:eastAsia="宋体" w:cs="var(--dsw-font-markdown-table)"/>
                <w:b w:val="0"/>
                <w:bCs w:val="0"/>
                <w:color w:val="auto"/>
                <w:kern w:val="0"/>
                <w:sz w:val="21"/>
                <w:szCs w:val="24"/>
                <w:lang w:val="en-US" w:eastAsia="zh-CN" w:bidi="ar"/>
              </w:rPr>
              <w:t>《印刷工业大气污染物排放标准》（GB41616</w:t>
            </w:r>
            <w:r>
              <w:rPr>
                <w:rFonts w:hint="eastAsia" w:ascii="Times New Roman" w:hAnsi="Times New Roman" w:eastAsia="宋体" w:cs="var(--dsw-font-markdown-table)"/>
                <w:b w:val="0"/>
                <w:bCs w:val="0"/>
                <w:color w:val="auto"/>
                <w:kern w:val="0"/>
                <w:sz w:val="21"/>
                <w:szCs w:val="24"/>
                <w:lang w:val="en-US" w:eastAsia="zh-CN" w:bidi="ar"/>
              </w:rPr>
              <w:t>-</w:t>
            </w:r>
            <w:r>
              <w:rPr>
                <w:rFonts w:hint="eastAsia" w:cs="var(--dsw-font-markdown-table)"/>
                <w:b w:val="0"/>
                <w:bCs w:val="0"/>
                <w:color w:val="auto"/>
                <w:kern w:val="0"/>
                <w:sz w:val="21"/>
                <w:szCs w:val="24"/>
                <w:lang w:val="en-US" w:eastAsia="zh-CN" w:bidi="ar"/>
              </w:rPr>
              <w:t xml:space="preserve"> </w:t>
            </w:r>
            <w:r>
              <w:rPr>
                <w:rFonts w:hint="default" w:ascii="Times New Roman" w:hAnsi="Times New Roman" w:eastAsia="宋体" w:cs="var(--dsw-font-markdown-table)"/>
                <w:b w:val="0"/>
                <w:bCs w:val="0"/>
                <w:color w:val="auto"/>
                <w:kern w:val="0"/>
                <w:sz w:val="21"/>
                <w:szCs w:val="24"/>
                <w:lang w:val="en-US" w:eastAsia="zh-CN" w:bidi="ar"/>
              </w:rPr>
              <w:t>2022）与广东省《固定污染源挥发性有机物综合排放标准》（DB44/2367</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2022）较严者</w:t>
            </w:r>
            <w:r>
              <w:rPr>
                <w:rFonts w:hint="eastAsia" w:ascii="Times New Roman" w:hAnsi="Times New Roman" w:eastAsia="宋体" w:cs="var(--dsw-font-markdown-base)"/>
                <w:i w:val="0"/>
                <w:iCs w:val="0"/>
                <w:caps w:val="0"/>
                <w:color w:val="auto"/>
                <w:spacing w:val="0"/>
                <w:sz w:val="21"/>
                <w:szCs w:val="21"/>
                <w:shd w:val="clear" w:fill="FFFFFF"/>
                <w:lang w:val="en-US" w:eastAsia="zh-CN"/>
              </w:rPr>
              <w:t>；厂界总VOCs排放浓度满足</w:t>
            </w:r>
            <w:r>
              <w:rPr>
                <w:rFonts w:hint="eastAsia" w:ascii="Times New Roman" w:hAnsi="Times New Roman" w:eastAsia="宋体" w:cs="var(--dsw-font-markdown-table)"/>
                <w:b w:val="0"/>
                <w:bCs w:val="0"/>
                <w:color w:val="auto"/>
                <w:kern w:val="0"/>
                <w:sz w:val="21"/>
                <w:szCs w:val="24"/>
                <w:lang w:val="en-US" w:eastAsia="zh-CN" w:bidi="ar"/>
              </w:rPr>
              <w:t>《制鞋行业挥发性有机化合物排放标准》（</w:t>
            </w:r>
            <w:r>
              <w:rPr>
                <w:rFonts w:hint="default" w:ascii="Times New Roman" w:hAnsi="Times New Roman" w:eastAsia="宋体" w:cs="var(--dsw-font-markdown-table)"/>
                <w:b w:val="0"/>
                <w:bCs w:val="0"/>
                <w:color w:val="auto"/>
                <w:kern w:val="0"/>
                <w:sz w:val="21"/>
                <w:szCs w:val="24"/>
                <w:lang w:val="en-US" w:eastAsia="zh-CN" w:bidi="ar"/>
              </w:rPr>
              <w:t>DB44</w:t>
            </w:r>
            <w:r>
              <w:rPr>
                <w:rFonts w:hint="eastAsia" w:ascii="Times New Roman" w:hAnsi="Times New Roman"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 xml:space="preserve"> 817</w:t>
            </w:r>
            <w:r>
              <w:rPr>
                <w:rFonts w:hint="eastAsia" w:ascii="Times New Roman" w:hAnsi="Times New Roman" w:cs="var(--dsw-font-markdown-table)"/>
                <w:b w:val="0"/>
                <w:bCs w:val="0"/>
                <w:color w:val="auto"/>
                <w:kern w:val="0"/>
                <w:sz w:val="21"/>
                <w:szCs w:val="24"/>
                <w:lang w:val="en-US" w:eastAsia="zh-CN" w:bidi="ar"/>
              </w:rPr>
              <w:t xml:space="preserve">- </w:t>
            </w:r>
            <w:r>
              <w:rPr>
                <w:rFonts w:hint="default" w:ascii="Times New Roman" w:hAnsi="Times New Roman" w:eastAsia="宋体" w:cs="var(--dsw-font-markdown-table)"/>
                <w:b w:val="0"/>
                <w:bCs w:val="0"/>
                <w:color w:val="auto"/>
                <w:kern w:val="0"/>
                <w:sz w:val="21"/>
                <w:szCs w:val="24"/>
                <w:lang w:val="en-US" w:eastAsia="zh-CN" w:bidi="ar"/>
              </w:rPr>
              <w:t>2010</w:t>
            </w:r>
            <w:r>
              <w:rPr>
                <w:rFonts w:hint="eastAsia" w:ascii="Times New Roman" w:hAnsi="Times New Roman" w:eastAsia="宋体" w:cs="var(--dsw-font-markdown-table)"/>
                <w:b w:val="0"/>
                <w:bCs w:val="0"/>
                <w:color w:val="auto"/>
                <w:kern w:val="0"/>
                <w:sz w:val="21"/>
                <w:szCs w:val="24"/>
                <w:lang w:val="en-US" w:eastAsia="zh-CN" w:bidi="ar"/>
              </w:rPr>
              <w:t>）</w:t>
            </w:r>
            <w:r>
              <w:rPr>
                <w:rFonts w:hint="eastAsia" w:ascii="Times New Roman" w:hAnsi="Times New Roman" w:cs="var(--dsw-font-markdown-table)"/>
                <w:b w:val="0"/>
                <w:bCs w:val="0"/>
                <w:color w:val="auto"/>
                <w:kern w:val="0"/>
                <w:sz w:val="21"/>
                <w:szCs w:val="24"/>
                <w:lang w:val="en-US" w:eastAsia="zh-CN" w:bidi="ar"/>
              </w:rPr>
              <w:t xml:space="preserve"> 第二时段无组织排放监控浓度限值</w:t>
            </w:r>
            <w:r>
              <w:rPr>
                <w:rFonts w:hint="eastAsia" w:ascii="Times New Roman" w:hAnsi="Times New Roman" w:eastAsia="宋体" w:cs="var(--dsw-font-markdown-table)"/>
                <w:b w:val="0"/>
                <w:bCs w:val="0"/>
                <w:color w:val="auto"/>
                <w:kern w:val="0"/>
                <w:sz w:val="21"/>
                <w:szCs w:val="24"/>
                <w:lang w:val="en-US" w:eastAsia="zh-CN" w:bidi="ar"/>
              </w:rPr>
              <w:t>要求与广东省地方标准《印刷行业挥发性有机化合物排放标准》（</w:t>
            </w:r>
            <w:r>
              <w:rPr>
                <w:rFonts w:hint="default" w:ascii="Times New Roman" w:hAnsi="Times New Roman" w:eastAsia="宋体" w:cs="var(--dsw-font-markdown-table)"/>
                <w:b w:val="0"/>
                <w:bCs w:val="0"/>
                <w:color w:val="auto"/>
                <w:kern w:val="0"/>
                <w:sz w:val="21"/>
                <w:szCs w:val="24"/>
                <w:lang w:val="en-US" w:eastAsia="zh-CN" w:bidi="ar"/>
              </w:rPr>
              <w:t>DB44/815</w:t>
            </w:r>
            <w:r>
              <w:rPr>
                <w:rFonts w:hint="eastAsia" w:ascii="Times New Roman" w:hAnsi="Times New Roman" w:cs="var(--dsw-font-markdown-table)"/>
                <w:b w:val="0"/>
                <w:bCs w:val="0"/>
                <w:color w:val="auto"/>
                <w:kern w:val="0"/>
                <w:sz w:val="21"/>
                <w:szCs w:val="24"/>
                <w:lang w:val="en-US" w:eastAsia="zh-CN" w:bidi="ar"/>
              </w:rPr>
              <w:t xml:space="preserve">- </w:t>
            </w:r>
            <w:r>
              <w:rPr>
                <w:rFonts w:hint="default" w:ascii="Times New Roman" w:hAnsi="Times New Roman" w:eastAsia="宋体" w:cs="var(--dsw-font-markdown-table)"/>
                <w:b w:val="0"/>
                <w:bCs w:val="0"/>
                <w:color w:val="auto"/>
                <w:kern w:val="0"/>
                <w:sz w:val="21"/>
                <w:szCs w:val="24"/>
                <w:lang w:val="en-US" w:eastAsia="zh-CN" w:bidi="ar"/>
              </w:rPr>
              <w:t>2010</w:t>
            </w:r>
            <w:r>
              <w:rPr>
                <w:rFonts w:hint="eastAsia" w:ascii="Times New Roman" w:hAnsi="Times New Roman" w:eastAsia="宋体" w:cs="var(--dsw-font-markdown-table)"/>
                <w:b w:val="0"/>
                <w:bCs w:val="0"/>
                <w:color w:val="auto"/>
                <w:kern w:val="0"/>
                <w:sz w:val="21"/>
                <w:szCs w:val="24"/>
                <w:lang w:val="en-US" w:eastAsia="zh-CN" w:bidi="ar"/>
              </w:rPr>
              <w:t>）表</w:t>
            </w:r>
            <w:r>
              <w:rPr>
                <w:rFonts w:hint="default" w:ascii="Times New Roman" w:hAnsi="Times New Roman" w:eastAsia="宋体" w:cs="var(--dsw-font-markdown-table)"/>
                <w:b w:val="0"/>
                <w:bCs w:val="0"/>
                <w:color w:val="auto"/>
                <w:kern w:val="0"/>
                <w:sz w:val="21"/>
                <w:szCs w:val="24"/>
                <w:lang w:val="en-US" w:eastAsia="zh-CN" w:bidi="ar"/>
              </w:rPr>
              <w:t>3</w:t>
            </w:r>
            <w:r>
              <w:rPr>
                <w:rFonts w:hint="eastAsia" w:ascii="Times New Roman" w:hAnsi="Times New Roman" w:eastAsia="宋体" w:cs="var(--dsw-font-markdown-table)"/>
                <w:b w:val="0"/>
                <w:bCs w:val="0"/>
                <w:color w:val="auto"/>
                <w:kern w:val="0"/>
                <w:sz w:val="21"/>
                <w:szCs w:val="24"/>
                <w:lang w:val="en-US" w:eastAsia="zh-CN" w:bidi="ar"/>
              </w:rPr>
              <w:t>无组织排放监控点浓度</w:t>
            </w:r>
            <w:r>
              <w:rPr>
                <w:rFonts w:hint="eastAsia" w:cs="Segoe UI"/>
                <w:b w:val="0"/>
                <w:i w:val="0"/>
                <w:iCs w:val="0"/>
                <w:caps w:val="0"/>
                <w:strike w:val="0"/>
                <w:color w:val="auto"/>
                <w:spacing w:val="0"/>
                <w:kern w:val="0"/>
                <w:sz w:val="21"/>
                <w:szCs w:val="24"/>
                <w:u w:val="none"/>
                <w:lang w:val="en-US" w:eastAsia="zh-CN" w:bidi="ar-SA"/>
              </w:rPr>
              <w:t>；</w:t>
            </w:r>
            <w:r>
              <w:rPr>
                <w:rFonts w:hint="default" w:ascii="Times New Roman" w:hAnsi="Times New Roman" w:eastAsia="宋体" w:cs="Segoe UI"/>
                <w:i w:val="0"/>
                <w:iCs w:val="0"/>
                <w:caps w:val="0"/>
                <w:color w:val="auto"/>
                <w:spacing w:val="0"/>
                <w:sz w:val="21"/>
                <w:szCs w:val="24"/>
                <w:shd w:val="clear" w:fill="FFFFFF"/>
              </w:rPr>
              <w:t>厂界颗粒物无组织排放浓度可满足广东省《大气污染物排放限值》（DB44/27</w:t>
            </w:r>
            <w:r>
              <w:rPr>
                <w:rFonts w:hint="eastAsia" w:ascii="Times New Roman" w:hAnsi="Times New Roman" w:cs="Segoe UI"/>
                <w:i w:val="0"/>
                <w:iCs w:val="0"/>
                <w:caps w:val="0"/>
                <w:color w:val="auto"/>
                <w:spacing w:val="0"/>
                <w:sz w:val="21"/>
                <w:szCs w:val="24"/>
                <w:shd w:val="clear" w:fill="FFFFFF"/>
                <w:lang w:val="en-US" w:eastAsia="zh-CN"/>
              </w:rPr>
              <w:t>-</w:t>
            </w:r>
            <w:r>
              <w:rPr>
                <w:rFonts w:hint="default" w:ascii="Times New Roman" w:hAnsi="Times New Roman" w:eastAsia="宋体" w:cs="Segoe UI"/>
                <w:i w:val="0"/>
                <w:iCs w:val="0"/>
                <w:caps w:val="0"/>
                <w:color w:val="auto"/>
                <w:spacing w:val="0"/>
                <w:sz w:val="21"/>
                <w:szCs w:val="24"/>
                <w:shd w:val="clear" w:fill="FFFFFF"/>
              </w:rPr>
              <w:t>2001）第二时段无组织排放监控浓度限值</w:t>
            </w:r>
            <w:r>
              <w:rPr>
                <w:rFonts w:hint="eastAsia" w:cs="Segoe UI"/>
                <w:i w:val="0"/>
                <w:iCs w:val="0"/>
                <w:caps w:val="0"/>
                <w:color w:val="auto"/>
                <w:spacing w:val="0"/>
                <w:sz w:val="21"/>
                <w:szCs w:val="24"/>
                <w:shd w:val="clear" w:fill="FFFFFF"/>
                <w:lang w:eastAsia="zh-CN"/>
              </w:rPr>
              <w:t>；</w:t>
            </w:r>
            <w:r>
              <w:rPr>
                <w:rFonts w:hint="eastAsia" w:cs="Segoe UI"/>
                <w:b w:val="0"/>
                <w:i w:val="0"/>
                <w:iCs w:val="0"/>
                <w:caps w:val="0"/>
                <w:strike w:val="0"/>
                <w:color w:val="auto"/>
                <w:spacing w:val="0"/>
                <w:kern w:val="0"/>
                <w:sz w:val="21"/>
                <w:szCs w:val="24"/>
                <w:u w:val="none"/>
                <w:lang w:val="en-US" w:eastAsia="zh-CN" w:bidi="ar-SA"/>
              </w:rPr>
              <w:t>臭气浓度满足</w:t>
            </w:r>
            <w:r>
              <w:rPr>
                <w:rFonts w:hint="default" w:ascii="Times New Roman" w:hAnsi="Times New Roman" w:eastAsia="宋体" w:cs="var(--dsw-font-markdown-table)"/>
                <w:b w:val="0"/>
                <w:bCs w:val="0"/>
                <w:color w:val="auto"/>
                <w:kern w:val="0"/>
                <w:sz w:val="21"/>
                <w:szCs w:val="24"/>
                <w:lang w:val="en-US" w:eastAsia="zh-CN" w:bidi="ar"/>
              </w:rPr>
              <w:t>《恶臭污染物排放标准》（GB14554</w:t>
            </w:r>
            <w:r>
              <w:rPr>
                <w:rFonts w:hint="eastAsia" w:ascii="Times New Roman" w:hAnsi="Times New Roman" w:cs="var(--dsw-font-markdown-table)"/>
                <w:b w:val="0"/>
                <w:bCs w:val="0"/>
                <w:color w:val="auto"/>
                <w:kern w:val="0"/>
                <w:sz w:val="21"/>
                <w:szCs w:val="24"/>
                <w:lang w:val="en-US" w:eastAsia="zh-CN" w:bidi="ar"/>
              </w:rPr>
              <w:t xml:space="preserve">- </w:t>
            </w:r>
            <w:r>
              <w:rPr>
                <w:rFonts w:hint="default" w:ascii="Times New Roman" w:hAnsi="Times New Roman" w:eastAsia="宋体" w:cs="var(--dsw-font-markdown-table)"/>
                <w:b w:val="0"/>
                <w:bCs w:val="0"/>
                <w:color w:val="auto"/>
                <w:kern w:val="0"/>
                <w:sz w:val="21"/>
                <w:szCs w:val="24"/>
                <w:lang w:val="en-US" w:eastAsia="zh-CN" w:bidi="ar"/>
              </w:rPr>
              <w:t>93）表1</w:t>
            </w:r>
            <w:r>
              <w:rPr>
                <w:rFonts w:hint="eastAsia" w:ascii="Times New Roman" w:hAnsi="Times New Roman" w:eastAsia="宋体" w:cs="var(--dsw-font-markdown-table)"/>
                <w:color w:val="auto"/>
                <w:kern w:val="0"/>
                <w:sz w:val="21"/>
                <w:szCs w:val="24"/>
                <w:lang w:val="en-US" w:eastAsia="zh-CN" w:bidi="ar"/>
              </w:rPr>
              <w:t>恶臭污染物厂界二级新扩改建标准值</w:t>
            </w:r>
            <w:r>
              <w:rPr>
                <w:rFonts w:hint="eastAsia" w:ascii="Times New Roman" w:hAnsi="Times New Roman" w:cs="var(--dsw-font-markdown-table)"/>
                <w:b w:val="0"/>
                <w:bCs w:val="0"/>
                <w:color w:val="auto"/>
                <w:kern w:val="0"/>
                <w:sz w:val="21"/>
                <w:szCs w:val="24"/>
                <w:lang w:val="en-US" w:eastAsia="zh-CN" w:bidi="ar"/>
              </w:rPr>
              <w:t>。</w:t>
            </w:r>
            <w:r>
              <w:rPr>
                <w:rFonts w:hint="default" w:ascii="Times New Roman" w:hAnsi="Times New Roman" w:eastAsia="宋体" w:cs="var(--dsw-font-markdown-base)"/>
                <w:i w:val="0"/>
                <w:iCs w:val="0"/>
                <w:caps w:val="0"/>
                <w:color w:val="auto"/>
                <w:spacing w:val="0"/>
                <w:sz w:val="21"/>
                <w:szCs w:val="21"/>
                <w:shd w:val="clear" w:fill="FFFFFF"/>
              </w:rPr>
              <w:t>对周围环境影响不大。</w:t>
            </w:r>
          </w:p>
          <w:p w14:paraId="57353621">
            <w:pPr>
              <w:pStyle w:val="44"/>
              <w:keepNext w:val="0"/>
              <w:keepLines w:val="0"/>
              <w:widowControl/>
              <w:suppressLineNumbers w:val="0"/>
              <w:spacing w:before="0" w:beforeAutospacing="0" w:after="0" w:afterAutospacing="0" w:line="360" w:lineRule="auto"/>
              <w:ind w:left="0" w:right="0" w:firstLine="0"/>
              <w:jc w:val="both"/>
              <w:rPr>
                <w:rFonts w:hint="default" w:ascii="Times New Roman" w:hAnsi="Times New Roman" w:eastAsia="宋体" w:cs="Segoe UI"/>
                <w:b/>
                <w:i w:val="0"/>
                <w:iCs w:val="0"/>
                <w:caps w:val="0"/>
                <w:strike w:val="0"/>
                <w:color w:val="auto"/>
                <w:spacing w:val="0"/>
                <w:sz w:val="21"/>
                <w:szCs w:val="24"/>
                <w:u w:val="none"/>
              </w:rPr>
            </w:pPr>
            <w:r>
              <w:rPr>
                <w:rFonts w:hint="default" w:ascii="Times New Roman" w:hAnsi="Times New Roman" w:eastAsia="宋体" w:cs="Segoe UI"/>
                <w:b/>
                <w:bCs/>
                <w:i w:val="0"/>
                <w:iCs w:val="0"/>
                <w:caps w:val="0"/>
                <w:strike w:val="0"/>
                <w:color w:val="auto"/>
                <w:spacing w:val="0"/>
                <w:sz w:val="21"/>
                <w:szCs w:val="24"/>
                <w:u w:val="none"/>
              </w:rPr>
              <w:t>（三）成品组装（成型贴合）工序废气</w:t>
            </w:r>
          </w:p>
          <w:p w14:paraId="31950E97">
            <w:pPr>
              <w:pStyle w:val="4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项目成品组装工序主要产污环节包括刷处理剂</w:t>
            </w:r>
            <w:r>
              <w:rPr>
                <w:rFonts w:hint="eastAsia" w:ascii="Times New Roman" w:hAnsi="Times New Roman" w:cs="var(--dsw-font-markdown-base)"/>
                <w:i w:val="0"/>
                <w:iCs w:val="0"/>
                <w:caps w:val="0"/>
                <w:color w:val="auto"/>
                <w:spacing w:val="0"/>
                <w:sz w:val="21"/>
                <w:szCs w:val="21"/>
                <w:shd w:val="clear" w:fill="FFFFFF"/>
                <w:lang w:eastAsia="zh-CN"/>
              </w:rPr>
              <w:t>、</w:t>
            </w:r>
            <w:r>
              <w:rPr>
                <w:rFonts w:hint="eastAsia" w:ascii="Times New Roman" w:hAnsi="Times New Roman" w:cs="var(--dsw-font-markdown-base)"/>
                <w:i w:val="0"/>
                <w:iCs w:val="0"/>
                <w:caps w:val="0"/>
                <w:color w:val="auto"/>
                <w:spacing w:val="0"/>
                <w:sz w:val="21"/>
                <w:szCs w:val="21"/>
                <w:shd w:val="clear" w:fill="FFFFFF"/>
                <w:lang w:val="en-US" w:eastAsia="zh-CN"/>
              </w:rPr>
              <w:t>清洁、刷胶及烘干</w:t>
            </w:r>
            <w:r>
              <w:rPr>
                <w:rFonts w:hint="default" w:ascii="Times New Roman" w:hAnsi="Times New Roman" w:eastAsia="宋体" w:cs="var(--dsw-font-markdown-base)"/>
                <w:i w:val="0"/>
                <w:iCs w:val="0"/>
                <w:caps w:val="0"/>
                <w:color w:val="auto"/>
                <w:spacing w:val="0"/>
                <w:sz w:val="21"/>
                <w:szCs w:val="21"/>
                <w:shd w:val="clear" w:fill="FFFFFF"/>
              </w:rPr>
              <w:t>、补胶</w:t>
            </w:r>
            <w:r>
              <w:rPr>
                <w:rFonts w:hint="eastAsia" w:ascii="Times New Roman" w:hAnsi="Times New Roman" w:cs="var(--dsw-font-markdown-base)"/>
                <w:i w:val="0"/>
                <w:iCs w:val="0"/>
                <w:caps w:val="0"/>
                <w:color w:val="auto"/>
                <w:spacing w:val="0"/>
                <w:sz w:val="21"/>
                <w:szCs w:val="21"/>
                <w:shd w:val="clear" w:fill="FFFFFF"/>
                <w:lang w:val="en-US" w:eastAsia="zh-CN"/>
              </w:rPr>
              <w:t>及烘干</w:t>
            </w:r>
            <w:r>
              <w:rPr>
                <w:rFonts w:hint="eastAsia" w:ascii="Times New Roman" w:hAnsi="Times New Roman" w:cs="var(--dsw-font-markdown-base)"/>
                <w:i w:val="0"/>
                <w:iCs w:val="0"/>
                <w:caps w:val="0"/>
                <w:color w:val="auto"/>
                <w:spacing w:val="0"/>
                <w:sz w:val="21"/>
                <w:szCs w:val="21"/>
                <w:shd w:val="clear" w:fill="FFFFFF"/>
                <w:lang w:eastAsia="zh-CN"/>
              </w:rPr>
              <w:t>、</w:t>
            </w:r>
            <w:r>
              <w:rPr>
                <w:rFonts w:hint="default" w:ascii="Times New Roman" w:hAnsi="Times New Roman" w:eastAsia="宋体" w:cs="var(--dsw-font-markdown-base)"/>
                <w:i w:val="0"/>
                <w:iCs w:val="0"/>
                <w:caps w:val="0"/>
                <w:color w:val="auto"/>
                <w:spacing w:val="0"/>
                <w:sz w:val="21"/>
                <w:szCs w:val="21"/>
                <w:shd w:val="clear" w:fill="FFFFFF"/>
              </w:rPr>
              <w:t>打粗、加热定型等。</w:t>
            </w:r>
          </w:p>
          <w:p w14:paraId="6E2F2CC9">
            <w:pPr>
              <w:pStyle w:val="4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var(--dsw-font-markdown-h3)"/>
                <w:i w:val="0"/>
                <w:iCs w:val="0"/>
                <w:caps w:val="0"/>
                <w:color w:val="auto"/>
                <w:spacing w:val="0"/>
                <w:sz w:val="21"/>
                <w:shd w:val="clear" w:fill="FFFFFF"/>
              </w:rPr>
            </w:pPr>
            <w:r>
              <w:rPr>
                <w:rFonts w:hint="default" w:ascii="Times New Roman" w:hAnsi="Times New Roman" w:eastAsia="宋体" w:cs="var(--dsw-font-markdown-h3)"/>
                <w:i w:val="0"/>
                <w:iCs w:val="0"/>
                <w:caps w:val="0"/>
                <w:color w:val="auto"/>
                <w:spacing w:val="0"/>
                <w:sz w:val="21"/>
                <w:shd w:val="clear" w:fill="FFFFFF"/>
              </w:rPr>
              <w:t>（1）刷处理剂</w:t>
            </w:r>
            <w:r>
              <w:rPr>
                <w:rFonts w:hint="eastAsia" w:ascii="Times New Roman" w:hAnsi="Times New Roman" w:cs="var(--dsw-font-markdown-h3)"/>
                <w:i w:val="0"/>
                <w:iCs w:val="0"/>
                <w:caps w:val="0"/>
                <w:color w:val="auto"/>
                <w:spacing w:val="0"/>
                <w:sz w:val="21"/>
                <w:shd w:val="clear" w:fill="FFFFFF"/>
                <w:lang w:eastAsia="zh-CN"/>
              </w:rPr>
              <w:t>、</w:t>
            </w:r>
            <w:r>
              <w:rPr>
                <w:rFonts w:hint="eastAsia" w:ascii="Times New Roman" w:hAnsi="Times New Roman" w:cs="var(--dsw-font-markdown-h3)"/>
                <w:i w:val="0"/>
                <w:iCs w:val="0"/>
                <w:caps w:val="0"/>
                <w:color w:val="auto"/>
                <w:spacing w:val="0"/>
                <w:sz w:val="21"/>
                <w:shd w:val="clear" w:fill="FFFFFF"/>
                <w:lang w:val="en-US" w:eastAsia="zh-CN"/>
              </w:rPr>
              <w:t>清洁</w:t>
            </w:r>
            <w:r>
              <w:rPr>
                <w:rFonts w:hint="default" w:ascii="Times New Roman" w:hAnsi="Times New Roman" w:eastAsia="宋体" w:cs="var(--dsw-font-markdown-h3)"/>
                <w:i w:val="0"/>
                <w:iCs w:val="0"/>
                <w:caps w:val="0"/>
                <w:color w:val="auto"/>
                <w:spacing w:val="0"/>
                <w:sz w:val="21"/>
                <w:shd w:val="clear" w:fill="FFFFFF"/>
              </w:rPr>
              <w:t>工序</w:t>
            </w:r>
          </w:p>
          <w:p w14:paraId="6C764751">
            <w:pPr>
              <w:pStyle w:val="4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imes New Roman" w:hAnsi="Times New Roman" w:cs="var(--dsw-font-markdown-base)"/>
                <w:b/>
                <w:bCs/>
                <w:i w:val="0"/>
                <w:iCs w:val="0"/>
                <w:caps w:val="0"/>
                <w:color w:val="auto"/>
                <w:spacing w:val="0"/>
                <w:sz w:val="21"/>
                <w:szCs w:val="21"/>
                <w:shd w:val="clear" w:fill="FFFFFF"/>
                <w:lang w:eastAsia="zh-CN"/>
              </w:rPr>
            </w:pPr>
            <w:r>
              <w:rPr>
                <w:rFonts w:hint="default" w:ascii="Times New Roman" w:hAnsi="Times New Roman" w:eastAsia="宋体" w:cs="var(--dsw-font-markdown-base)"/>
                <w:i w:val="0"/>
                <w:iCs w:val="0"/>
                <w:caps w:val="0"/>
                <w:color w:val="auto"/>
                <w:spacing w:val="0"/>
                <w:sz w:val="21"/>
                <w:szCs w:val="21"/>
                <w:shd w:val="clear" w:fill="FFFFFF"/>
              </w:rPr>
              <w:t>项目</w:t>
            </w:r>
            <w:r>
              <w:rPr>
                <w:rFonts w:hint="eastAsia" w:ascii="Times New Roman" w:hAnsi="Times New Roman" w:cs="var(--dsw-font-markdown-base)"/>
                <w:i w:val="0"/>
                <w:iCs w:val="0"/>
                <w:caps w:val="0"/>
                <w:color w:val="auto"/>
                <w:spacing w:val="0"/>
                <w:sz w:val="21"/>
                <w:szCs w:val="21"/>
                <w:shd w:val="clear" w:fill="FFFFFF"/>
                <w:lang w:val="en-US" w:eastAsia="zh-CN"/>
              </w:rPr>
              <w:t>成品组装工序</w:t>
            </w:r>
            <w:r>
              <w:rPr>
                <w:rFonts w:hint="default" w:ascii="Times New Roman" w:hAnsi="Times New Roman" w:eastAsia="宋体" w:cs="var(--dsw-font-markdown-base)"/>
                <w:i w:val="0"/>
                <w:iCs w:val="0"/>
                <w:caps w:val="0"/>
                <w:color w:val="auto"/>
                <w:spacing w:val="0"/>
                <w:sz w:val="21"/>
                <w:szCs w:val="21"/>
                <w:shd w:val="clear" w:fill="FFFFFF"/>
              </w:rPr>
              <w:t>水性橡胶处理剂年用量为</w:t>
            </w:r>
            <w:r>
              <w:rPr>
                <w:rFonts w:hint="eastAsia" w:ascii="Times New Roman" w:hAnsi="Times New Roman" w:cs="var(--dsw-font-markdown-base)"/>
                <w:i w:val="0"/>
                <w:iCs w:val="0"/>
                <w:caps w:val="0"/>
                <w:color w:val="auto"/>
                <w:spacing w:val="0"/>
                <w:sz w:val="21"/>
                <w:szCs w:val="21"/>
                <w:shd w:val="clear" w:fill="FFFFFF"/>
                <w:lang w:val="en-US" w:eastAsia="zh-CN"/>
              </w:rPr>
              <w:t>1.5</w:t>
            </w:r>
            <w:r>
              <w:rPr>
                <w:rFonts w:hint="default" w:ascii="Times New Roman" w:hAnsi="Times New Roman" w:eastAsia="宋体" w:cs="var(--dsw-font-markdown-base)"/>
                <w:i w:val="0"/>
                <w:iCs w:val="0"/>
                <w:caps w:val="0"/>
                <w:color w:val="auto"/>
                <w:spacing w:val="0"/>
                <w:sz w:val="21"/>
                <w:szCs w:val="21"/>
                <w:shd w:val="clear" w:fill="FFFFFF"/>
              </w:rPr>
              <w:t>t，根据前文理化性质描述，水性橡胶处理剂VOCs含量为</w:t>
            </w:r>
            <w:r>
              <w:rPr>
                <w:rFonts w:hint="eastAsia" w:ascii="Times New Roman" w:hAnsi="Times New Roman" w:cs="var(--dsw-font-markdown-base)"/>
                <w:i w:val="0"/>
                <w:iCs w:val="0"/>
                <w:caps w:val="0"/>
                <w:color w:val="auto"/>
                <w:spacing w:val="0"/>
                <w:sz w:val="21"/>
                <w:szCs w:val="21"/>
                <w:shd w:val="clear" w:fill="FFFFFF"/>
                <w:lang w:eastAsia="zh-CN"/>
              </w:rPr>
              <w:t>1%～10%</w:t>
            </w:r>
            <w:r>
              <w:rPr>
                <w:rFonts w:hint="default" w:ascii="Times New Roman" w:hAnsi="Times New Roman" w:eastAsia="宋体" w:cs="var(--dsw-font-markdown-base)"/>
                <w:i w:val="0"/>
                <w:iCs w:val="0"/>
                <w:caps w:val="0"/>
                <w:color w:val="auto"/>
                <w:spacing w:val="0"/>
                <w:sz w:val="21"/>
                <w:szCs w:val="21"/>
                <w:shd w:val="clear" w:fill="FFFFFF"/>
              </w:rPr>
              <w:t>（主要为树脂中残留的少量游离单体），保守按最不利情况取最大值10%进行计算，则挥发性有机物（非甲烷总烃、总VOCs）产生量为</w:t>
            </w:r>
            <w:r>
              <w:rPr>
                <w:rFonts w:hint="eastAsia" w:ascii="Times New Roman" w:hAnsi="Times New Roman" w:cs="var(--dsw-font-markdown-base)"/>
                <w:b/>
                <w:bCs/>
                <w:i w:val="0"/>
                <w:iCs w:val="0"/>
                <w:caps w:val="0"/>
                <w:color w:val="auto"/>
                <w:spacing w:val="0"/>
                <w:sz w:val="21"/>
                <w:szCs w:val="21"/>
                <w:shd w:val="clear" w:fill="FFFFFF"/>
                <w:lang w:val="en-US" w:eastAsia="zh-CN"/>
              </w:rPr>
              <w:t>0.15</w:t>
            </w:r>
            <w:r>
              <w:rPr>
                <w:rFonts w:hint="default" w:ascii="Times New Roman" w:hAnsi="Times New Roman" w:eastAsia="宋体" w:cs="var(--dsw-font-markdown-base)"/>
                <w:b/>
                <w:bCs/>
                <w:i w:val="0"/>
                <w:iCs w:val="0"/>
                <w:caps w:val="0"/>
                <w:color w:val="auto"/>
                <w:spacing w:val="0"/>
                <w:sz w:val="21"/>
                <w:szCs w:val="21"/>
                <w:shd w:val="clear" w:fill="FFFFFF"/>
              </w:rPr>
              <w:t>t/a</w:t>
            </w:r>
            <w:r>
              <w:rPr>
                <w:rFonts w:hint="eastAsia" w:ascii="Times New Roman" w:hAnsi="Times New Roman" w:cs="var(--dsw-font-markdown-base)"/>
                <w:b/>
                <w:bCs/>
                <w:i w:val="0"/>
                <w:iCs w:val="0"/>
                <w:caps w:val="0"/>
                <w:color w:val="auto"/>
                <w:spacing w:val="0"/>
                <w:sz w:val="21"/>
                <w:szCs w:val="21"/>
                <w:shd w:val="clear" w:fill="FFFFFF"/>
                <w:lang w:eastAsia="zh-CN"/>
              </w:rPr>
              <w:t>。</w:t>
            </w:r>
          </w:p>
          <w:p w14:paraId="0B0F0190">
            <w:pPr>
              <w:pStyle w:val="4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imes New Roman" w:hAnsi="Times New Roman" w:cs="var(--dsw-font-markdown-base)"/>
                <w:b/>
                <w:bCs/>
                <w:i w:val="0"/>
                <w:iCs w:val="0"/>
                <w:caps w:val="0"/>
                <w:color w:val="auto"/>
                <w:spacing w:val="0"/>
                <w:sz w:val="21"/>
                <w:szCs w:val="21"/>
                <w:shd w:val="clear" w:fill="FFFFFF"/>
                <w:lang w:eastAsia="zh-CN"/>
              </w:rPr>
            </w:pPr>
            <w:r>
              <w:rPr>
                <w:rFonts w:hint="eastAsia" w:ascii="Times New Roman" w:hAnsi="Times New Roman" w:cs="var(--dsw-font-markdown-base)"/>
                <w:i w:val="0"/>
                <w:iCs w:val="0"/>
                <w:caps w:val="0"/>
                <w:color w:val="auto"/>
                <w:spacing w:val="0"/>
                <w:sz w:val="21"/>
                <w:szCs w:val="21"/>
                <w:shd w:val="clear" w:fill="FFFFFF"/>
                <w:lang w:val="en-US" w:eastAsia="zh-CN"/>
              </w:rPr>
              <w:t>EVA鞋底和鞋面清洁过程中使用清洁剂2.2t/a，根据前文分析，成品组装清洁工序产生的</w:t>
            </w:r>
            <w:r>
              <w:rPr>
                <w:rFonts w:hint="default" w:ascii="Times New Roman" w:hAnsi="Times New Roman" w:eastAsia="宋体" w:cs="var(--dsw-font-markdown-base)"/>
                <w:i w:val="0"/>
                <w:iCs w:val="0"/>
                <w:caps w:val="0"/>
                <w:color w:val="auto"/>
                <w:spacing w:val="0"/>
                <w:sz w:val="21"/>
                <w:szCs w:val="21"/>
                <w:shd w:val="clear" w:fill="FFFFFF"/>
              </w:rPr>
              <w:t>挥发性有机物（非甲烷总烃、总VOCs）产生量为</w:t>
            </w:r>
            <w:r>
              <w:rPr>
                <w:rFonts w:hint="eastAsia" w:ascii="Times New Roman" w:hAnsi="Times New Roman" w:cs="var(--dsw-font-markdown-base)"/>
                <w:i w:val="0"/>
                <w:iCs w:val="0"/>
                <w:caps w:val="0"/>
                <w:color w:val="auto"/>
                <w:spacing w:val="0"/>
                <w:sz w:val="21"/>
                <w:szCs w:val="21"/>
                <w:shd w:val="clear" w:fill="FFFFFF"/>
                <w:lang w:val="en-US" w:eastAsia="zh-CN"/>
              </w:rPr>
              <w:t>2.2</w:t>
            </w:r>
            <w:r>
              <w:rPr>
                <w:rFonts w:hint="default" w:ascii="Arial" w:hAnsi="Arial" w:cs="Arial"/>
                <w:i w:val="0"/>
                <w:iCs w:val="0"/>
                <w:caps w:val="0"/>
                <w:color w:val="auto"/>
                <w:spacing w:val="0"/>
                <w:sz w:val="21"/>
                <w:szCs w:val="21"/>
                <w:shd w:val="clear" w:fill="FFFFFF"/>
                <w:lang w:val="en-US" w:eastAsia="zh-CN"/>
              </w:rPr>
              <w:t>×</w:t>
            </w:r>
            <w:r>
              <w:rPr>
                <w:rFonts w:hint="eastAsia" w:ascii="Times New Roman" w:hAnsi="Times New Roman" w:cs="var(--dsw-font-markdown-base)"/>
                <w:i w:val="0"/>
                <w:iCs w:val="0"/>
                <w:caps w:val="0"/>
                <w:color w:val="auto"/>
                <w:spacing w:val="0"/>
                <w:sz w:val="21"/>
                <w:szCs w:val="21"/>
                <w:shd w:val="clear" w:fill="FFFFFF"/>
                <w:lang w:val="en-US" w:eastAsia="zh-CN"/>
              </w:rPr>
              <w:t>0.5%=</w:t>
            </w:r>
            <w:r>
              <w:rPr>
                <w:rFonts w:hint="eastAsia" w:ascii="Times New Roman" w:hAnsi="Times New Roman" w:cs="var(--dsw-font-markdown-base)"/>
                <w:b/>
                <w:bCs/>
                <w:i w:val="0"/>
                <w:iCs w:val="0"/>
                <w:caps w:val="0"/>
                <w:color w:val="auto"/>
                <w:spacing w:val="0"/>
                <w:sz w:val="21"/>
                <w:szCs w:val="21"/>
                <w:shd w:val="clear" w:fill="FFFFFF"/>
                <w:lang w:val="en-US" w:eastAsia="zh-CN"/>
              </w:rPr>
              <w:t>0.011</w:t>
            </w:r>
            <w:r>
              <w:rPr>
                <w:rFonts w:hint="default" w:ascii="Times New Roman" w:hAnsi="Times New Roman" w:eastAsia="宋体" w:cs="var(--dsw-font-markdown-base)"/>
                <w:b/>
                <w:bCs/>
                <w:i w:val="0"/>
                <w:iCs w:val="0"/>
                <w:caps w:val="0"/>
                <w:color w:val="auto"/>
                <w:spacing w:val="0"/>
                <w:sz w:val="21"/>
                <w:szCs w:val="21"/>
                <w:shd w:val="clear" w:fill="FFFFFF"/>
              </w:rPr>
              <w:t>t/a</w:t>
            </w:r>
            <w:r>
              <w:rPr>
                <w:rFonts w:hint="eastAsia" w:ascii="Times New Roman" w:hAnsi="Times New Roman" w:cs="var(--dsw-font-markdown-base)"/>
                <w:b/>
                <w:bCs/>
                <w:i w:val="0"/>
                <w:iCs w:val="0"/>
                <w:caps w:val="0"/>
                <w:color w:val="auto"/>
                <w:spacing w:val="0"/>
                <w:sz w:val="21"/>
                <w:szCs w:val="21"/>
                <w:shd w:val="clear" w:fill="FFFFFF"/>
                <w:lang w:eastAsia="zh-CN"/>
              </w:rPr>
              <w:t>。</w:t>
            </w:r>
          </w:p>
          <w:p w14:paraId="0F54DF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2" w:firstLineChars="200"/>
              <w:jc w:val="left"/>
              <w:textAlignment w:val="auto"/>
              <w:rPr>
                <w:rFonts w:hint="eastAsia" w:ascii="Times New Roman" w:hAnsi="Times New Roman" w:cs="var(--dsw-font-markdown-base)"/>
                <w:b/>
                <w:bCs/>
                <w:i w:val="0"/>
                <w:iCs w:val="0"/>
                <w:caps w:val="0"/>
                <w:color w:val="auto"/>
                <w:spacing w:val="0"/>
                <w:sz w:val="21"/>
                <w:szCs w:val="21"/>
                <w:shd w:val="clear" w:fill="FFFFFF"/>
                <w:lang w:eastAsia="zh-CN"/>
              </w:rPr>
            </w:pPr>
            <w:r>
              <w:rPr>
                <w:rFonts w:hint="eastAsia" w:ascii="Times New Roman" w:hAnsi="Times New Roman" w:cs="var(--dsw-font-markdown-base)"/>
                <w:b/>
                <w:bCs/>
                <w:i w:val="0"/>
                <w:iCs w:val="0"/>
                <w:caps w:val="0"/>
                <w:color w:val="auto"/>
                <w:spacing w:val="0"/>
                <w:sz w:val="21"/>
                <w:szCs w:val="21"/>
                <w:shd w:val="clear" w:fill="FFFFFF"/>
                <w:lang w:val="en-US" w:eastAsia="zh-CN"/>
              </w:rPr>
              <w:t>综上成品组装</w:t>
            </w:r>
            <w:r>
              <w:rPr>
                <w:rFonts w:hint="default" w:ascii="Times New Roman" w:hAnsi="Times New Roman" w:eastAsia="宋体" w:cs="var(--dsw-font-markdown-h3)"/>
                <w:i w:val="0"/>
                <w:iCs w:val="0"/>
                <w:caps w:val="0"/>
                <w:color w:val="auto"/>
                <w:spacing w:val="0"/>
                <w:sz w:val="21"/>
                <w:shd w:val="clear" w:fill="FFFFFF"/>
              </w:rPr>
              <w:t>刷处理剂</w:t>
            </w:r>
            <w:r>
              <w:rPr>
                <w:rFonts w:hint="eastAsia" w:ascii="Times New Roman" w:hAnsi="Times New Roman" w:cs="var(--dsw-font-markdown-h3)"/>
                <w:i w:val="0"/>
                <w:iCs w:val="0"/>
                <w:caps w:val="0"/>
                <w:color w:val="auto"/>
                <w:spacing w:val="0"/>
                <w:sz w:val="21"/>
                <w:shd w:val="clear" w:fill="FFFFFF"/>
                <w:lang w:eastAsia="zh-CN"/>
              </w:rPr>
              <w:t>、</w:t>
            </w:r>
            <w:r>
              <w:rPr>
                <w:rFonts w:hint="eastAsia" w:ascii="Times New Roman" w:hAnsi="Times New Roman" w:cs="var(--dsw-font-markdown-h3)"/>
                <w:i w:val="0"/>
                <w:iCs w:val="0"/>
                <w:caps w:val="0"/>
                <w:color w:val="auto"/>
                <w:spacing w:val="0"/>
                <w:sz w:val="21"/>
                <w:shd w:val="clear" w:fill="FFFFFF"/>
                <w:lang w:val="en-US" w:eastAsia="zh-CN"/>
              </w:rPr>
              <w:t>清洁</w:t>
            </w:r>
            <w:r>
              <w:rPr>
                <w:rFonts w:hint="default" w:ascii="Times New Roman" w:hAnsi="Times New Roman" w:eastAsia="宋体" w:cs="var(--dsw-font-markdown-h3)"/>
                <w:i w:val="0"/>
                <w:iCs w:val="0"/>
                <w:caps w:val="0"/>
                <w:color w:val="auto"/>
                <w:spacing w:val="0"/>
                <w:sz w:val="21"/>
                <w:shd w:val="clear" w:fill="FFFFFF"/>
              </w:rPr>
              <w:t>工序</w:t>
            </w:r>
            <w:r>
              <w:rPr>
                <w:rFonts w:hint="eastAsia" w:ascii="Times New Roman" w:hAnsi="Times New Roman" w:cs="var(--dsw-font-markdown-base)"/>
                <w:i w:val="0"/>
                <w:iCs w:val="0"/>
                <w:caps w:val="0"/>
                <w:color w:val="auto"/>
                <w:spacing w:val="0"/>
                <w:sz w:val="21"/>
                <w:szCs w:val="21"/>
                <w:shd w:val="clear" w:fill="FFFFFF"/>
                <w:lang w:val="en-US" w:eastAsia="zh-CN"/>
              </w:rPr>
              <w:t>产生的</w:t>
            </w:r>
            <w:r>
              <w:rPr>
                <w:rFonts w:hint="default" w:ascii="Times New Roman" w:hAnsi="Times New Roman" w:eastAsia="宋体" w:cs="var(--dsw-font-markdown-base)"/>
                <w:i w:val="0"/>
                <w:iCs w:val="0"/>
                <w:caps w:val="0"/>
                <w:color w:val="auto"/>
                <w:spacing w:val="0"/>
                <w:sz w:val="21"/>
                <w:szCs w:val="21"/>
                <w:shd w:val="clear" w:fill="FFFFFF"/>
              </w:rPr>
              <w:t>挥发性有机物（非甲烷总烃、总VOCs）产生量为</w:t>
            </w:r>
            <w:r>
              <w:rPr>
                <w:rFonts w:hint="eastAsia" w:ascii="Times New Roman" w:hAnsi="Times New Roman" w:cs="var(--dsw-font-markdown-base)"/>
                <w:i w:val="0"/>
                <w:iCs w:val="0"/>
                <w:caps w:val="0"/>
                <w:color w:val="auto"/>
                <w:spacing w:val="0"/>
                <w:sz w:val="21"/>
                <w:szCs w:val="21"/>
                <w:shd w:val="clear" w:fill="FFFFFF"/>
                <w:lang w:val="en-US" w:eastAsia="zh-CN"/>
              </w:rPr>
              <w:t>0.161t/a</w:t>
            </w:r>
            <w:r>
              <w:rPr>
                <w:rFonts w:hint="eastAsia" w:ascii="Times New Roman" w:hAnsi="Times New Roman" w:cs="var(--dsw-font-markdown-base)"/>
                <w:b/>
                <w:bCs/>
                <w:i w:val="0"/>
                <w:iCs w:val="0"/>
                <w:caps w:val="0"/>
                <w:color w:val="auto"/>
                <w:spacing w:val="0"/>
                <w:sz w:val="21"/>
                <w:szCs w:val="21"/>
                <w:shd w:val="clear" w:fill="FFFFFF"/>
                <w:lang w:eastAsia="zh-CN"/>
              </w:rPr>
              <w:t>。</w:t>
            </w:r>
            <w:r>
              <w:rPr>
                <w:rFonts w:hint="default" w:ascii="Times New Roman" w:hAnsi="Times New Roman" w:eastAsia="宋体" w:cs="var(--dsw-font-markdown-base)"/>
                <w:i w:val="0"/>
                <w:iCs w:val="0"/>
                <w:caps w:val="0"/>
                <w:color w:val="auto"/>
                <w:spacing w:val="0"/>
                <w:kern w:val="0"/>
                <w:sz w:val="21"/>
                <w:szCs w:val="21"/>
                <w:lang w:val="en-US" w:eastAsia="zh-CN" w:bidi="ar-SA"/>
              </w:rPr>
              <w:t>上述有机废气经集气</w:t>
            </w:r>
            <w:r>
              <w:rPr>
                <w:rFonts w:hint="eastAsia" w:ascii="Times New Roman" w:hAnsi="Times New Roman" w:eastAsia="宋体" w:cs="var(--dsw-font-markdown-base)"/>
                <w:i w:val="0"/>
                <w:iCs w:val="0"/>
                <w:caps w:val="0"/>
                <w:color w:val="auto"/>
                <w:spacing w:val="0"/>
                <w:kern w:val="0"/>
                <w:sz w:val="21"/>
                <w:szCs w:val="21"/>
                <w:lang w:val="en-US" w:eastAsia="zh-CN" w:bidi="ar-SA"/>
              </w:rPr>
              <w:t>罩</w:t>
            </w:r>
            <w:r>
              <w:rPr>
                <w:rFonts w:hint="default" w:ascii="Times New Roman" w:hAnsi="Times New Roman" w:eastAsia="宋体" w:cs="var(--dsw-font-markdown-base)"/>
                <w:i w:val="0"/>
                <w:iCs w:val="0"/>
                <w:caps w:val="0"/>
                <w:color w:val="auto"/>
                <w:spacing w:val="0"/>
                <w:kern w:val="0"/>
                <w:sz w:val="21"/>
                <w:szCs w:val="21"/>
                <w:lang w:val="en-US" w:eastAsia="zh-CN" w:bidi="ar-SA"/>
              </w:rPr>
              <w:t>收集后引入废气处理设施处理，尾气高空排放。同时伴有少量异味（以臭气浓度表征），随有机废气一并收集处理后可达标排放，本次评价仅对其进行定性分析。</w:t>
            </w:r>
          </w:p>
          <w:p w14:paraId="720F217E">
            <w:pPr>
              <w:pStyle w:val="4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var(--dsw-font-markdown-h3)"/>
                <w:i w:val="0"/>
                <w:iCs w:val="0"/>
                <w:caps w:val="0"/>
                <w:color w:val="auto"/>
                <w:spacing w:val="0"/>
                <w:sz w:val="21"/>
                <w:shd w:val="clear" w:fill="FFFFFF"/>
              </w:rPr>
            </w:pPr>
            <w:r>
              <w:rPr>
                <w:rFonts w:hint="default" w:ascii="Times New Roman" w:hAnsi="Times New Roman" w:eastAsia="宋体" w:cs="var(--dsw-font-markdown-h3)"/>
                <w:i w:val="0"/>
                <w:iCs w:val="0"/>
                <w:caps w:val="0"/>
                <w:color w:val="auto"/>
                <w:spacing w:val="0"/>
                <w:sz w:val="21"/>
                <w:shd w:val="clear" w:fill="FFFFFF"/>
              </w:rPr>
              <w:t>（2）刷胶工序</w:t>
            </w:r>
          </w:p>
          <w:p w14:paraId="101F26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var(--dsw-font-markdown-base)"/>
                <w:i w:val="0"/>
                <w:iCs w:val="0"/>
                <w:caps w:val="0"/>
                <w:color w:val="auto"/>
                <w:spacing w:val="0"/>
                <w:kern w:val="0"/>
                <w:sz w:val="21"/>
                <w:szCs w:val="21"/>
                <w:lang w:val="en-US" w:eastAsia="zh-CN" w:bidi="ar-SA"/>
              </w:rPr>
            </w:pPr>
            <w:r>
              <w:rPr>
                <w:rFonts w:hint="default" w:ascii="Times New Roman" w:hAnsi="Times New Roman" w:eastAsia="宋体" w:cs="var(--dsw-font-markdown-base)"/>
                <w:i w:val="0"/>
                <w:iCs w:val="0"/>
                <w:caps w:val="0"/>
                <w:color w:val="auto"/>
                <w:spacing w:val="0"/>
                <w:kern w:val="0"/>
                <w:sz w:val="21"/>
                <w:szCs w:val="21"/>
                <w:lang w:val="en-US" w:eastAsia="zh-CN" w:bidi="ar-SA"/>
              </w:rPr>
              <w:t>本项目在成品组装工序中，于鞋面底部边缘和成品大底边缘贴合面涂刷水性PU胶，随后送入烘干线（约60~70℃）进行烘干，使胶层中的水分和有机溶剂充分挥发，胶粘剂初步干燥并活化，形成具有粘性的胶膜。为提高粘合强度，本工序需进行两次涂胶及烘干。涂胶及烘干过程产生有机废气（以非甲烷总烃、总VOCs表征）及少量异味（以臭气浓度表征）。</w:t>
            </w:r>
          </w:p>
          <w:p w14:paraId="2CACD7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var(--dsw-font-markdown-base)"/>
                <w:i w:val="0"/>
                <w:iCs w:val="0"/>
                <w:caps w:val="0"/>
                <w:color w:val="auto"/>
                <w:spacing w:val="0"/>
                <w:kern w:val="0"/>
                <w:sz w:val="21"/>
                <w:szCs w:val="21"/>
                <w:lang w:val="en-US" w:eastAsia="zh-CN" w:bidi="ar-SA"/>
              </w:rPr>
            </w:pPr>
            <w:r>
              <w:rPr>
                <w:rFonts w:hint="default" w:ascii="Times New Roman" w:hAnsi="Times New Roman" w:eastAsia="宋体" w:cs="var(--dsw-font-markdown-base)"/>
                <w:i w:val="0"/>
                <w:iCs w:val="0"/>
                <w:caps w:val="0"/>
                <w:color w:val="auto"/>
                <w:spacing w:val="0"/>
                <w:kern w:val="0"/>
                <w:sz w:val="21"/>
                <w:szCs w:val="21"/>
                <w:lang w:val="en-US" w:eastAsia="zh-CN" w:bidi="ar-SA"/>
              </w:rPr>
              <w:t>根据VOCs检测报告，本项目使用的水性PU胶VOCs含量＜2g/L，本次评价按最不利原则取2g/L进行核算。水性PU胶密度为1.05g/cm³，则挥发性有机物含量折算为质量比为：2g/L÷1.05g/cm³÷1000≈0.19%。本项目水性PU胶年用量为32t/a，则涂胶及烘干工序挥发性有机物（非甲烷总烃、总VOCs）产生量为：32t×0.19%=</w:t>
            </w:r>
            <w:r>
              <w:rPr>
                <w:rFonts w:hint="default" w:ascii="Times New Roman" w:hAnsi="Times New Roman" w:eastAsia="宋体" w:cs="var(--dsw-font-markdown-base)"/>
                <w:b/>
                <w:bCs/>
                <w:i w:val="0"/>
                <w:iCs w:val="0"/>
                <w:caps w:val="0"/>
                <w:color w:val="auto"/>
                <w:spacing w:val="0"/>
                <w:kern w:val="0"/>
                <w:sz w:val="21"/>
                <w:szCs w:val="21"/>
                <w:lang w:val="en-US" w:eastAsia="zh-CN" w:bidi="ar-SA"/>
              </w:rPr>
              <w:t>0.061t/a</w:t>
            </w:r>
            <w:r>
              <w:rPr>
                <w:rFonts w:hint="eastAsia" w:ascii="Times New Roman" w:hAnsi="Times New Roman" w:eastAsia="宋体" w:cs="var(--dsw-font-markdown-base)"/>
                <w:i w:val="0"/>
                <w:iCs w:val="0"/>
                <w:caps w:val="0"/>
                <w:color w:val="auto"/>
                <w:spacing w:val="0"/>
                <w:kern w:val="0"/>
                <w:sz w:val="21"/>
                <w:szCs w:val="21"/>
                <w:lang w:val="en-US" w:eastAsia="zh-CN" w:bidi="ar-SA"/>
              </w:rPr>
              <w:t>。</w:t>
            </w:r>
          </w:p>
          <w:p w14:paraId="3700C8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var(--dsw-font-markdown-base)"/>
                <w:i w:val="0"/>
                <w:iCs w:val="0"/>
                <w:caps w:val="0"/>
                <w:color w:val="auto"/>
                <w:spacing w:val="0"/>
                <w:kern w:val="0"/>
                <w:sz w:val="21"/>
                <w:szCs w:val="21"/>
                <w:lang w:val="en-US" w:eastAsia="zh-CN" w:bidi="ar-SA"/>
              </w:rPr>
            </w:pPr>
            <w:r>
              <w:rPr>
                <w:rFonts w:hint="default" w:ascii="Times New Roman" w:hAnsi="Times New Roman" w:eastAsia="宋体" w:cs="var(--dsw-font-markdown-base)"/>
                <w:i w:val="0"/>
                <w:iCs w:val="0"/>
                <w:caps w:val="0"/>
                <w:color w:val="auto"/>
                <w:spacing w:val="0"/>
                <w:kern w:val="0"/>
                <w:sz w:val="21"/>
                <w:szCs w:val="21"/>
                <w:lang w:val="en-US" w:eastAsia="zh-CN" w:bidi="ar-SA"/>
              </w:rPr>
              <w:t>上述有机废气经集气</w:t>
            </w:r>
            <w:r>
              <w:rPr>
                <w:rFonts w:hint="eastAsia" w:ascii="Times New Roman" w:hAnsi="Times New Roman" w:eastAsia="宋体" w:cs="var(--dsw-font-markdown-base)"/>
                <w:i w:val="0"/>
                <w:iCs w:val="0"/>
                <w:caps w:val="0"/>
                <w:color w:val="auto"/>
                <w:spacing w:val="0"/>
                <w:kern w:val="0"/>
                <w:sz w:val="21"/>
                <w:szCs w:val="21"/>
                <w:lang w:val="en-US" w:eastAsia="zh-CN" w:bidi="ar-SA"/>
              </w:rPr>
              <w:t>罩</w:t>
            </w:r>
            <w:r>
              <w:rPr>
                <w:rFonts w:hint="default" w:ascii="Times New Roman" w:hAnsi="Times New Roman" w:eastAsia="宋体" w:cs="var(--dsw-font-markdown-base)"/>
                <w:i w:val="0"/>
                <w:iCs w:val="0"/>
                <w:caps w:val="0"/>
                <w:color w:val="auto"/>
                <w:spacing w:val="0"/>
                <w:kern w:val="0"/>
                <w:sz w:val="21"/>
                <w:szCs w:val="21"/>
                <w:lang w:val="en-US" w:eastAsia="zh-CN" w:bidi="ar-SA"/>
              </w:rPr>
              <w:t>收集后引入废气处理设施处理，尾气高空排放。同时伴有少量异味（以臭气浓度表征），随有机废气一并收集处理后可达标排放，本次评价仅对其进行定性分析。</w:t>
            </w:r>
          </w:p>
          <w:p w14:paraId="783DBE16">
            <w:pPr>
              <w:pStyle w:val="4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var(--dsw-font-markdown-h3)"/>
                <w:i w:val="0"/>
                <w:iCs w:val="0"/>
                <w:caps w:val="0"/>
                <w:color w:val="auto"/>
                <w:spacing w:val="0"/>
                <w:sz w:val="21"/>
                <w:shd w:val="clear" w:fill="FFFFFF"/>
              </w:rPr>
            </w:pPr>
            <w:r>
              <w:rPr>
                <w:rFonts w:hint="default" w:ascii="Times New Roman" w:hAnsi="Times New Roman" w:eastAsia="宋体" w:cs="var(--dsw-font-markdown-h3)"/>
                <w:i w:val="0"/>
                <w:iCs w:val="0"/>
                <w:caps w:val="0"/>
                <w:color w:val="auto"/>
                <w:spacing w:val="0"/>
                <w:sz w:val="21"/>
                <w:shd w:val="clear" w:fill="FFFFFF"/>
              </w:rPr>
              <w:t>（3）补胶工序</w:t>
            </w:r>
          </w:p>
          <w:p w14:paraId="587DAA46">
            <w:pPr>
              <w:pStyle w:val="4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压底后对鞋面与鞋底接合处出现的缺胶部位进行人工补胶，补胶</w:t>
            </w:r>
            <w:r>
              <w:rPr>
                <w:rFonts w:hint="eastAsia" w:ascii="Times New Roman" w:hAnsi="Times New Roman" w:cs="var(--dsw-font-markdown-base)"/>
                <w:i w:val="0"/>
                <w:iCs w:val="0"/>
                <w:caps w:val="0"/>
                <w:color w:val="auto"/>
                <w:spacing w:val="0"/>
                <w:sz w:val="21"/>
                <w:szCs w:val="21"/>
                <w:shd w:val="clear" w:fill="FFFFFF"/>
                <w:lang w:val="en-US" w:eastAsia="zh-CN"/>
              </w:rPr>
              <w:t>并</w:t>
            </w:r>
            <w:r>
              <w:rPr>
                <w:rFonts w:hint="default" w:ascii="Times New Roman" w:hAnsi="Times New Roman" w:eastAsia="宋体" w:cs="var(--dsw-font-markdown-base)"/>
                <w:i w:val="0"/>
                <w:iCs w:val="0"/>
                <w:caps w:val="0"/>
                <w:color w:val="auto"/>
                <w:spacing w:val="0"/>
                <w:sz w:val="21"/>
                <w:szCs w:val="21"/>
                <w:shd w:val="clear" w:fill="FFFFFF"/>
              </w:rPr>
              <w:t>烘干（约60~70℃），使补胶处的胶粘剂充分干燥固化，产生少量有机废气（非甲烷总烃、总VOCs）和臭气浓度。项目补胶工序水性PU胶年用量为</w:t>
            </w:r>
            <w:r>
              <w:rPr>
                <w:rFonts w:hint="eastAsia" w:ascii="Times New Roman" w:hAnsi="Times New Roman" w:cs="var(--dsw-font-markdown-base)"/>
                <w:i w:val="0"/>
                <w:iCs w:val="0"/>
                <w:caps w:val="0"/>
                <w:color w:val="auto"/>
                <w:spacing w:val="0"/>
                <w:sz w:val="21"/>
                <w:szCs w:val="21"/>
                <w:shd w:val="clear" w:fill="FFFFFF"/>
                <w:lang w:val="en-US" w:eastAsia="zh-CN"/>
              </w:rPr>
              <w:t>5</w:t>
            </w:r>
            <w:r>
              <w:rPr>
                <w:rFonts w:hint="default" w:ascii="Times New Roman" w:hAnsi="Times New Roman" w:eastAsia="宋体" w:cs="var(--dsw-font-markdown-base)"/>
                <w:i w:val="0"/>
                <w:iCs w:val="0"/>
                <w:caps w:val="0"/>
                <w:color w:val="auto"/>
                <w:spacing w:val="0"/>
                <w:sz w:val="21"/>
                <w:szCs w:val="21"/>
                <w:shd w:val="clear" w:fill="FFFFFF"/>
              </w:rPr>
              <w:t>t，则挥发性有机物（非甲烷总烃、总VOCs）产生量为</w:t>
            </w:r>
            <w:r>
              <w:rPr>
                <w:rFonts w:hint="default" w:ascii="Times New Roman" w:hAnsi="Times New Roman" w:eastAsia="宋体" w:cs="var(--dsw-font-markdown-base)"/>
                <w:b/>
                <w:bCs/>
                <w:i w:val="0"/>
                <w:iCs w:val="0"/>
                <w:caps w:val="0"/>
                <w:color w:val="auto"/>
                <w:spacing w:val="0"/>
                <w:sz w:val="21"/>
                <w:szCs w:val="21"/>
                <w:shd w:val="clear" w:fill="FFFFFF"/>
              </w:rPr>
              <w:t>0.00</w:t>
            </w:r>
            <w:r>
              <w:rPr>
                <w:rFonts w:hint="eastAsia" w:ascii="Times New Roman" w:hAnsi="Times New Roman" w:cs="var(--dsw-font-markdown-base)"/>
                <w:b/>
                <w:bCs/>
                <w:i w:val="0"/>
                <w:iCs w:val="0"/>
                <w:caps w:val="0"/>
                <w:color w:val="auto"/>
                <w:spacing w:val="0"/>
                <w:sz w:val="21"/>
                <w:szCs w:val="21"/>
                <w:shd w:val="clear" w:fill="FFFFFF"/>
                <w:lang w:val="en-US" w:eastAsia="zh-CN"/>
              </w:rPr>
              <w:t>95</w:t>
            </w:r>
            <w:r>
              <w:rPr>
                <w:rFonts w:hint="default" w:ascii="Times New Roman" w:hAnsi="Times New Roman" w:eastAsia="宋体" w:cs="var(--dsw-font-markdown-base)"/>
                <w:b/>
                <w:bCs/>
                <w:i w:val="0"/>
                <w:iCs w:val="0"/>
                <w:caps w:val="0"/>
                <w:color w:val="auto"/>
                <w:spacing w:val="0"/>
                <w:sz w:val="21"/>
                <w:szCs w:val="21"/>
                <w:shd w:val="clear" w:fill="FFFFFF"/>
              </w:rPr>
              <w:t>t/a</w:t>
            </w:r>
            <w:r>
              <w:rPr>
                <w:rFonts w:hint="eastAsia" w:ascii="Times New Roman" w:hAnsi="Times New Roman" w:cs="var(--dsw-font-markdown-base)"/>
                <w:i w:val="0"/>
                <w:iCs w:val="0"/>
                <w:caps w:val="0"/>
                <w:color w:val="auto"/>
                <w:spacing w:val="0"/>
                <w:sz w:val="21"/>
                <w:szCs w:val="21"/>
                <w:shd w:val="clear" w:fill="FFFFFF"/>
                <w:lang w:eastAsia="zh-CN"/>
              </w:rPr>
              <w:t>，</w:t>
            </w:r>
            <w:r>
              <w:rPr>
                <w:rFonts w:hint="default" w:ascii="Times New Roman" w:hAnsi="Times New Roman" w:eastAsia="宋体" w:cs="var(--dsw-font-markdown-base)"/>
                <w:i w:val="0"/>
                <w:iCs w:val="0"/>
                <w:caps w:val="0"/>
                <w:color w:val="auto"/>
                <w:spacing w:val="0"/>
                <w:sz w:val="21"/>
                <w:szCs w:val="21"/>
                <w:shd w:val="clear" w:fill="FFFFFF"/>
              </w:rPr>
              <w:t>经加强车间通风后无组织排放。</w:t>
            </w:r>
          </w:p>
          <w:p w14:paraId="288BFC43">
            <w:pPr>
              <w:pStyle w:val="4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var(--dsw-font-markdown-h3)"/>
                <w:color w:val="auto"/>
                <w:sz w:val="21"/>
              </w:rPr>
            </w:pPr>
            <w:r>
              <w:rPr>
                <w:rFonts w:hint="default" w:ascii="Times New Roman" w:hAnsi="Times New Roman" w:eastAsia="宋体" w:cs="var(--dsw-font-markdown-h3)"/>
                <w:i w:val="0"/>
                <w:iCs w:val="0"/>
                <w:caps w:val="0"/>
                <w:color w:val="auto"/>
                <w:spacing w:val="0"/>
                <w:sz w:val="21"/>
                <w:shd w:val="clear" w:fill="FFFFFF"/>
              </w:rPr>
              <w:t>（4）打粗工序粉尘</w:t>
            </w:r>
          </w:p>
          <w:p w14:paraId="19B24933">
            <w:pPr>
              <w:pStyle w:val="4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项目在鞋面与成品大底</w:t>
            </w:r>
            <w:r>
              <w:rPr>
                <w:rFonts w:hint="eastAsia" w:ascii="Times New Roman" w:hAnsi="Times New Roman" w:eastAsia="宋体" w:cs="var(--dsw-font-markdown-base)"/>
                <w:i w:val="0"/>
                <w:iCs w:val="0"/>
                <w:caps w:val="0"/>
                <w:color w:val="auto"/>
                <w:spacing w:val="0"/>
                <w:sz w:val="21"/>
                <w:szCs w:val="21"/>
                <w:shd w:val="clear" w:fill="FFFFFF"/>
                <w:lang w:val="en-US" w:eastAsia="zh-CN"/>
              </w:rPr>
              <w:t>刷处理剂</w:t>
            </w:r>
            <w:r>
              <w:rPr>
                <w:rFonts w:hint="default" w:ascii="Times New Roman" w:hAnsi="Times New Roman" w:eastAsia="宋体" w:cs="var(--dsw-font-markdown-base)"/>
                <w:i w:val="0"/>
                <w:iCs w:val="0"/>
                <w:caps w:val="0"/>
                <w:color w:val="auto"/>
                <w:spacing w:val="0"/>
                <w:sz w:val="21"/>
                <w:szCs w:val="21"/>
                <w:shd w:val="clear" w:fill="FFFFFF"/>
              </w:rPr>
              <w:t>前，采用打粗机对</w:t>
            </w:r>
            <w:r>
              <w:rPr>
                <w:rFonts w:hint="eastAsia" w:ascii="Times New Roman" w:hAnsi="Times New Roman" w:cs="var(--dsw-font-markdown-base)"/>
                <w:i w:val="0"/>
                <w:iCs w:val="0"/>
                <w:caps w:val="0"/>
                <w:color w:val="auto"/>
                <w:spacing w:val="0"/>
                <w:sz w:val="21"/>
                <w:szCs w:val="21"/>
                <w:shd w:val="clear" w:fill="FFFFFF"/>
                <w:lang w:val="en-US" w:eastAsia="zh-CN"/>
              </w:rPr>
              <w:t>鞋</w:t>
            </w:r>
            <w:r>
              <w:rPr>
                <w:rFonts w:hint="default" w:ascii="Times New Roman" w:hAnsi="Times New Roman" w:eastAsia="宋体" w:cs="var(--dsw-font-markdown-base)"/>
                <w:i w:val="0"/>
                <w:iCs w:val="0"/>
                <w:caps w:val="0"/>
                <w:color w:val="auto"/>
                <w:spacing w:val="0"/>
                <w:sz w:val="21"/>
                <w:szCs w:val="21"/>
                <w:shd w:val="clear" w:fill="FFFFFF"/>
              </w:rPr>
              <w:t>底贴合面边缘进行打磨粗糙处理，增大表面摩擦力，提高后续胶水粘合强度</w:t>
            </w:r>
            <w:r>
              <w:rPr>
                <w:rFonts w:hint="eastAsia" w:ascii="Times New Roman" w:hAnsi="Times New Roman" w:cs="var(--dsw-font-markdown-base)"/>
                <w:i w:val="0"/>
                <w:iCs w:val="0"/>
                <w:caps w:val="0"/>
                <w:color w:val="auto"/>
                <w:spacing w:val="0"/>
                <w:sz w:val="21"/>
                <w:szCs w:val="21"/>
                <w:shd w:val="clear" w:fill="FFFFFF"/>
                <w:lang w:val="en-US" w:eastAsia="zh-CN"/>
              </w:rPr>
              <w:t>，</w:t>
            </w:r>
            <w:r>
              <w:rPr>
                <w:rFonts w:hint="default" w:ascii="Times New Roman" w:hAnsi="Times New Roman" w:eastAsia="宋体" w:cs="var(--dsw-font-markdown-base)"/>
                <w:i w:val="0"/>
                <w:iCs w:val="0"/>
                <w:caps w:val="0"/>
                <w:color w:val="auto"/>
                <w:spacing w:val="0"/>
                <w:sz w:val="21"/>
                <w:szCs w:val="21"/>
                <w:shd w:val="clear" w:fill="FFFFFF"/>
              </w:rPr>
              <w:t>该过程产生少量粉尘（以颗粒物表征）。由于打粗面积小、时间短，粉尘产生量较少，仅进行定性分析，经加强车间通风后无组织排放。</w:t>
            </w:r>
          </w:p>
          <w:p w14:paraId="0058D55A">
            <w:pPr>
              <w:pStyle w:val="4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var(--dsw-font-markdown-h3)"/>
                <w:i w:val="0"/>
                <w:iCs w:val="0"/>
                <w:caps w:val="0"/>
                <w:color w:val="auto"/>
                <w:spacing w:val="0"/>
                <w:sz w:val="21"/>
                <w:shd w:val="clear" w:fill="FFFFFF"/>
              </w:rPr>
            </w:pPr>
            <w:r>
              <w:rPr>
                <w:rFonts w:hint="default" w:ascii="Times New Roman" w:hAnsi="Times New Roman" w:eastAsia="宋体" w:cs="var(--dsw-font-markdown-h3)"/>
                <w:i w:val="0"/>
                <w:iCs w:val="0"/>
                <w:caps w:val="0"/>
                <w:color w:val="auto"/>
                <w:spacing w:val="0"/>
                <w:sz w:val="21"/>
                <w:shd w:val="clear" w:fill="FFFFFF"/>
              </w:rPr>
              <w:t>（5）加热定型工序废气</w:t>
            </w:r>
          </w:p>
          <w:p w14:paraId="48BD1DF8">
            <w:pPr>
              <w:pStyle w:val="4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项目加热定型工序，鞋头定型机和后踵定型机对套好楦头的鞋面进行加热加压定型（约100~120℃），该工序不添加任何辅料，鞋面材料受热产生极少量有机废气（以非甲烷总烃表征），产生量极少，仅进行定性分析，经加强车间通风后无组织排放。</w:t>
            </w:r>
          </w:p>
          <w:p w14:paraId="55D085A3">
            <w:pPr>
              <w:pStyle w:val="4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var(--dsw-font-markdown-h3)"/>
                <w:i w:val="0"/>
                <w:iCs w:val="0"/>
                <w:caps w:val="0"/>
                <w:color w:val="auto"/>
                <w:spacing w:val="0"/>
                <w:sz w:val="21"/>
                <w:shd w:val="clear" w:fill="FFFFFF"/>
              </w:rPr>
            </w:pPr>
            <w:r>
              <w:rPr>
                <w:rFonts w:hint="default" w:ascii="Times New Roman" w:hAnsi="Times New Roman" w:eastAsia="宋体" w:cs="var(--dsw-font-markdown-h3)"/>
                <w:i w:val="0"/>
                <w:iCs w:val="0"/>
                <w:caps w:val="0"/>
                <w:color w:val="auto"/>
                <w:spacing w:val="0"/>
                <w:sz w:val="21"/>
                <w:shd w:val="clear" w:fill="FFFFFF"/>
              </w:rPr>
              <w:t>（</w:t>
            </w:r>
            <w:r>
              <w:rPr>
                <w:rFonts w:hint="eastAsia" w:ascii="Times New Roman" w:hAnsi="Times New Roman" w:cs="var(--dsw-font-markdown-h3)"/>
                <w:i w:val="0"/>
                <w:iCs w:val="0"/>
                <w:caps w:val="0"/>
                <w:color w:val="auto"/>
                <w:spacing w:val="0"/>
                <w:sz w:val="21"/>
                <w:shd w:val="clear" w:fill="FFFFFF"/>
                <w:lang w:val="en-US" w:eastAsia="zh-CN"/>
              </w:rPr>
              <w:t>6</w:t>
            </w:r>
            <w:r>
              <w:rPr>
                <w:rFonts w:hint="default" w:ascii="Times New Roman" w:hAnsi="Times New Roman" w:eastAsia="宋体" w:cs="var(--dsw-font-markdown-h3)"/>
                <w:i w:val="0"/>
                <w:iCs w:val="0"/>
                <w:caps w:val="0"/>
                <w:color w:val="auto"/>
                <w:spacing w:val="0"/>
                <w:sz w:val="21"/>
                <w:shd w:val="clear" w:fill="FFFFFF"/>
              </w:rPr>
              <w:t>）废气收集措施</w:t>
            </w:r>
          </w:p>
          <w:p w14:paraId="720FB9B9">
            <w:pPr>
              <w:pStyle w:val="4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KaTeX_Math"/>
                <w:i w:val="0"/>
                <w:iCs/>
                <w:caps w:val="0"/>
                <w:color w:val="auto"/>
                <w:spacing w:val="0"/>
                <w:sz w:val="21"/>
                <w:szCs w:val="25"/>
                <w:shd w:val="clear" w:fill="FFFFFF"/>
                <w:lang w:val="en-US" w:eastAsia="zh-CN"/>
              </w:rPr>
            </w:pPr>
            <w:r>
              <w:rPr>
                <w:rFonts w:hint="default" w:ascii="Times New Roman" w:hAnsi="Times New Roman" w:eastAsia="宋体" w:cs="KaTeX_Math"/>
                <w:i w:val="0"/>
                <w:iCs/>
                <w:caps w:val="0"/>
                <w:color w:val="auto"/>
                <w:spacing w:val="0"/>
                <w:sz w:val="21"/>
                <w:szCs w:val="25"/>
                <w:shd w:val="clear" w:fill="FFFFFF"/>
                <w:lang w:val="en-US" w:eastAsia="zh-CN"/>
              </w:rPr>
              <w:t xml:space="preserve">依据《三废处理工程技术手册-废气卷》中有关公式： </w:t>
            </w:r>
          </w:p>
          <w:p w14:paraId="32B13D16">
            <w:pPr>
              <w:pStyle w:val="4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center"/>
              <w:textAlignment w:val="auto"/>
              <w:rPr>
                <w:rFonts w:hint="default" w:ascii="Times New Roman" w:hAnsi="Times New Roman" w:eastAsia="宋体" w:cs="KaTeX_Math"/>
                <w:i w:val="0"/>
                <w:iCs/>
                <w:caps w:val="0"/>
                <w:color w:val="auto"/>
                <w:spacing w:val="0"/>
                <w:sz w:val="21"/>
                <w:szCs w:val="25"/>
                <w:shd w:val="clear" w:fill="FFFFFF"/>
                <w:lang w:val="en-US" w:eastAsia="zh-CN"/>
              </w:rPr>
            </w:pPr>
            <w:r>
              <w:rPr>
                <w:rFonts w:hint="default" w:ascii="Times New Roman" w:hAnsi="Times New Roman" w:eastAsia="宋体" w:cs="KaTeX_Math"/>
                <w:i w:val="0"/>
                <w:iCs/>
                <w:caps w:val="0"/>
                <w:color w:val="auto"/>
                <w:spacing w:val="0"/>
                <w:sz w:val="21"/>
                <w:szCs w:val="25"/>
                <w:shd w:val="clear" w:fill="FFFFFF"/>
                <w:lang w:val="en-US" w:eastAsia="zh-CN"/>
              </w:rPr>
              <w:t>Q=0.75（10×X</w:t>
            </w:r>
            <w:r>
              <w:rPr>
                <w:rFonts w:hint="default" w:ascii="Times New Roman" w:hAnsi="Times New Roman" w:eastAsia="宋体" w:cs="KaTeX_Math"/>
                <w:i w:val="0"/>
                <w:iCs/>
                <w:caps w:val="0"/>
                <w:color w:val="auto"/>
                <w:spacing w:val="0"/>
                <w:sz w:val="21"/>
                <w:szCs w:val="25"/>
                <w:shd w:val="clear" w:fill="FFFFFF"/>
                <w:vertAlign w:val="superscript"/>
                <w:lang w:val="en-US" w:eastAsia="zh-CN"/>
              </w:rPr>
              <w:t>2</w:t>
            </w:r>
            <w:r>
              <w:rPr>
                <w:rFonts w:hint="default" w:ascii="Times New Roman" w:hAnsi="Times New Roman" w:eastAsia="宋体" w:cs="KaTeX_Math"/>
                <w:i w:val="0"/>
                <w:iCs/>
                <w:caps w:val="0"/>
                <w:color w:val="auto"/>
                <w:spacing w:val="0"/>
                <w:sz w:val="21"/>
                <w:szCs w:val="25"/>
                <w:shd w:val="clear" w:fill="FFFFFF"/>
                <w:lang w:val="en-US" w:eastAsia="zh-CN"/>
              </w:rPr>
              <w:t>+A）×Vx</w:t>
            </w:r>
          </w:p>
          <w:p w14:paraId="16C5242E">
            <w:pPr>
              <w:pStyle w:val="4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KaTeX_Math"/>
                <w:i w:val="0"/>
                <w:iCs/>
                <w:caps w:val="0"/>
                <w:color w:val="auto"/>
                <w:spacing w:val="0"/>
                <w:sz w:val="21"/>
                <w:szCs w:val="25"/>
                <w:shd w:val="clear" w:fill="FFFFFF"/>
                <w:lang w:val="en-US" w:eastAsia="zh-CN"/>
              </w:rPr>
            </w:pPr>
            <w:r>
              <w:rPr>
                <w:rFonts w:hint="default" w:ascii="Times New Roman" w:hAnsi="Times New Roman" w:eastAsia="宋体" w:cs="KaTeX_Math"/>
                <w:i w:val="0"/>
                <w:iCs/>
                <w:caps w:val="0"/>
                <w:color w:val="auto"/>
                <w:spacing w:val="0"/>
                <w:sz w:val="21"/>
                <w:szCs w:val="25"/>
                <w:shd w:val="clear" w:fill="FFFFFF"/>
                <w:lang w:val="en-US" w:eastAsia="zh-CN"/>
              </w:rPr>
              <w:t>Q：集气罩排风量m</w:t>
            </w:r>
            <w:r>
              <w:rPr>
                <w:rFonts w:hint="default" w:ascii="Times New Roman" w:hAnsi="Times New Roman" w:eastAsia="宋体" w:cs="KaTeX_Math"/>
                <w:i w:val="0"/>
                <w:iCs/>
                <w:caps w:val="0"/>
                <w:color w:val="auto"/>
                <w:spacing w:val="0"/>
                <w:sz w:val="21"/>
                <w:szCs w:val="25"/>
                <w:shd w:val="clear" w:fill="FFFFFF"/>
                <w:vertAlign w:val="superscript"/>
                <w:lang w:val="en-US" w:eastAsia="zh-CN"/>
              </w:rPr>
              <w:t>3</w:t>
            </w:r>
            <w:r>
              <w:rPr>
                <w:rFonts w:hint="default" w:ascii="Times New Roman" w:hAnsi="Times New Roman" w:eastAsia="宋体" w:cs="KaTeX_Math"/>
                <w:i w:val="0"/>
                <w:iCs/>
                <w:caps w:val="0"/>
                <w:color w:val="auto"/>
                <w:spacing w:val="0"/>
                <w:sz w:val="21"/>
                <w:szCs w:val="25"/>
                <w:shd w:val="clear" w:fill="FFFFFF"/>
                <w:lang w:val="en-US" w:eastAsia="zh-CN"/>
              </w:rPr>
              <w:t>/s；</w:t>
            </w:r>
          </w:p>
          <w:p w14:paraId="1A4E5AC9">
            <w:pPr>
              <w:pStyle w:val="4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KaTeX_Math"/>
                <w:i w:val="0"/>
                <w:iCs/>
                <w:caps w:val="0"/>
                <w:color w:val="auto"/>
                <w:spacing w:val="0"/>
                <w:sz w:val="21"/>
                <w:szCs w:val="25"/>
                <w:shd w:val="clear" w:fill="FFFFFF"/>
                <w:lang w:val="en-US" w:eastAsia="zh-CN"/>
              </w:rPr>
            </w:pPr>
            <w:r>
              <w:rPr>
                <w:rFonts w:hint="default" w:ascii="Times New Roman" w:hAnsi="Times New Roman" w:eastAsia="宋体" w:cs="KaTeX_Math"/>
                <w:i w:val="0"/>
                <w:iCs/>
                <w:caps w:val="0"/>
                <w:color w:val="auto"/>
                <w:spacing w:val="0"/>
                <w:sz w:val="21"/>
                <w:szCs w:val="25"/>
                <w:shd w:val="clear" w:fill="FFFFFF"/>
                <w:lang w:val="en-US" w:eastAsia="zh-CN"/>
              </w:rPr>
              <w:t>X：污染物产生点至罩口的距离，m；</w:t>
            </w:r>
          </w:p>
          <w:p w14:paraId="637008D9">
            <w:pPr>
              <w:pStyle w:val="4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KaTeX_Math"/>
                <w:i w:val="0"/>
                <w:iCs/>
                <w:caps w:val="0"/>
                <w:color w:val="auto"/>
                <w:spacing w:val="0"/>
                <w:sz w:val="21"/>
                <w:szCs w:val="25"/>
                <w:shd w:val="clear" w:fill="FFFFFF"/>
                <w:lang w:val="en-US" w:eastAsia="zh-CN"/>
              </w:rPr>
            </w:pPr>
            <w:r>
              <w:rPr>
                <w:rFonts w:hint="default" w:ascii="Times New Roman" w:hAnsi="Times New Roman" w:eastAsia="宋体" w:cs="KaTeX_Math"/>
                <w:i w:val="0"/>
                <w:iCs/>
                <w:caps w:val="0"/>
                <w:color w:val="auto"/>
                <w:spacing w:val="0"/>
                <w:sz w:val="21"/>
                <w:szCs w:val="25"/>
                <w:shd w:val="clear" w:fill="FFFFFF"/>
                <w:lang w:val="en-US" w:eastAsia="zh-CN"/>
              </w:rPr>
              <w:t>A：罩口面积，㎡；</w:t>
            </w:r>
          </w:p>
          <w:p w14:paraId="5D9CA186">
            <w:pPr>
              <w:pStyle w:val="4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KaTeX_Math"/>
                <w:i w:val="0"/>
                <w:iCs/>
                <w:caps w:val="0"/>
                <w:color w:val="auto"/>
                <w:spacing w:val="0"/>
                <w:sz w:val="21"/>
                <w:szCs w:val="25"/>
                <w:shd w:val="clear" w:fill="FFFFFF"/>
                <w:lang w:val="en-US" w:eastAsia="zh-CN"/>
              </w:rPr>
            </w:pPr>
            <w:r>
              <w:rPr>
                <w:rFonts w:hint="default" w:ascii="Times New Roman" w:hAnsi="Times New Roman" w:eastAsia="宋体" w:cs="KaTeX_Math"/>
                <w:i w:val="0"/>
                <w:iCs/>
                <w:caps w:val="0"/>
                <w:color w:val="auto"/>
                <w:spacing w:val="0"/>
                <w:sz w:val="21"/>
                <w:szCs w:val="25"/>
                <w:shd w:val="clear" w:fill="FFFFFF"/>
                <w:lang w:val="en-US" w:eastAsia="zh-CN"/>
              </w:rPr>
              <w:t>Vx：最小控制风速，m/s；</w:t>
            </w:r>
          </w:p>
          <w:p w14:paraId="747C2C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default" w:ascii="Times New Roman" w:hAnsi="Times New Roman" w:eastAsia="宋体"/>
                <w:color w:val="auto"/>
                <w:sz w:val="21"/>
              </w:rPr>
            </w:pPr>
            <w:r>
              <w:rPr>
                <w:rFonts w:hint="eastAsia" w:ascii="Times New Roman" w:hAnsi="Times New Roman" w:eastAsia="宋体" w:cs="var(--dsw-font-markdown-base)"/>
                <w:i w:val="0"/>
                <w:iCs w:val="0"/>
                <w:caps w:val="0"/>
                <w:color w:val="auto"/>
                <w:spacing w:val="0"/>
                <w:sz w:val="21"/>
                <w:szCs w:val="21"/>
                <w:shd w:val="clear" w:fill="FFFFFF"/>
                <w:lang w:val="en-US" w:eastAsia="zh-CN"/>
              </w:rPr>
              <w:t>本项目共设置3个成品组装车间（分别为1#厂房4层和6层、2#厂房4层</w:t>
            </w:r>
            <w:r>
              <w:rPr>
                <w:rFonts w:hint="eastAsia" w:cs="var(--dsw-font-markdown-base)"/>
                <w:i w:val="0"/>
                <w:iCs w:val="0"/>
                <w:caps w:val="0"/>
                <w:color w:val="auto"/>
                <w:spacing w:val="0"/>
                <w:sz w:val="21"/>
                <w:szCs w:val="21"/>
                <w:shd w:val="clear" w:fill="FFFFFF"/>
                <w:lang w:val="en-US" w:eastAsia="zh-CN"/>
              </w:rPr>
              <w:t>）</w:t>
            </w:r>
            <w:r>
              <w:rPr>
                <w:rFonts w:hint="eastAsia" w:ascii="Times New Roman" w:hAnsi="Times New Roman" w:eastAsia="宋体" w:cs="var(--dsw-font-markdown-base)"/>
                <w:i w:val="0"/>
                <w:iCs w:val="0"/>
                <w:caps w:val="0"/>
                <w:color w:val="auto"/>
                <w:spacing w:val="0"/>
                <w:sz w:val="21"/>
                <w:szCs w:val="21"/>
                <w:shd w:val="clear" w:fill="FFFFFF"/>
                <w:lang w:val="en-US" w:eastAsia="zh-CN"/>
              </w:rPr>
              <w:t>共16条生产线，1个车间有4条生产线，刷处理剂</w:t>
            </w:r>
            <w:r>
              <w:rPr>
                <w:rFonts w:hint="eastAsia" w:cs="var(--dsw-font-markdown-base)"/>
                <w:i w:val="0"/>
                <w:iCs w:val="0"/>
                <w:caps w:val="0"/>
                <w:color w:val="auto"/>
                <w:spacing w:val="0"/>
                <w:sz w:val="21"/>
                <w:szCs w:val="21"/>
                <w:shd w:val="clear" w:fill="FFFFFF"/>
                <w:lang w:val="en-US" w:eastAsia="zh-CN"/>
              </w:rPr>
              <w:t>和清洁</w:t>
            </w:r>
            <w:r>
              <w:rPr>
                <w:rFonts w:hint="default" w:ascii="Times New Roman" w:hAnsi="Times New Roman" w:eastAsia="宋体" w:cs="var(--dsw-font-markdown-base)"/>
                <w:i w:val="0"/>
                <w:iCs w:val="0"/>
                <w:caps w:val="0"/>
                <w:color w:val="auto"/>
                <w:spacing w:val="0"/>
                <w:sz w:val="21"/>
                <w:szCs w:val="21"/>
                <w:shd w:val="clear" w:fill="FFFFFF"/>
              </w:rPr>
              <w:t>工位</w:t>
            </w:r>
            <w:r>
              <w:rPr>
                <w:rFonts w:hint="eastAsia" w:ascii="Times New Roman" w:hAnsi="Times New Roman" w:eastAsia="宋体" w:cs="var(--dsw-font-markdown-base)"/>
                <w:i w:val="0"/>
                <w:iCs w:val="0"/>
                <w:caps w:val="0"/>
                <w:color w:val="auto"/>
                <w:spacing w:val="0"/>
                <w:sz w:val="21"/>
                <w:szCs w:val="21"/>
                <w:shd w:val="clear" w:fill="FFFFFF"/>
                <w:lang w:val="en-US" w:eastAsia="zh-CN"/>
              </w:rPr>
              <w:t>集气罩</w:t>
            </w:r>
            <w:r>
              <w:rPr>
                <w:rFonts w:hint="default" w:ascii="Times New Roman" w:hAnsi="Times New Roman" w:eastAsia="宋体" w:cs="var(--dsw-font-markdown-base)"/>
                <w:i w:val="0"/>
                <w:iCs w:val="0"/>
                <w:caps w:val="0"/>
                <w:color w:val="auto"/>
                <w:spacing w:val="0"/>
                <w:sz w:val="21"/>
                <w:szCs w:val="21"/>
                <w:shd w:val="clear" w:fill="FFFFFF"/>
              </w:rPr>
              <w:t>尺寸为</w:t>
            </w:r>
            <w:r>
              <w:rPr>
                <w:rFonts w:hint="eastAsia" w:ascii="Times New Roman" w:hAnsi="Times New Roman" w:eastAsia="宋体" w:cs="var(--dsw-font-markdown-base)"/>
                <w:i w:val="0"/>
                <w:iCs w:val="0"/>
                <w:caps w:val="0"/>
                <w:color w:val="auto"/>
                <w:spacing w:val="0"/>
                <w:sz w:val="21"/>
                <w:szCs w:val="21"/>
                <w:shd w:val="clear" w:fill="FFFFFF"/>
                <w:lang w:val="en-US" w:eastAsia="zh-CN"/>
              </w:rPr>
              <w:t>2.5</w:t>
            </w:r>
            <w:r>
              <w:rPr>
                <w:rFonts w:hint="default" w:ascii="Times New Roman" w:hAnsi="Times New Roman" w:eastAsia="宋体" w:cs="var(--dsw-font-markdown-base)"/>
                <w:i w:val="0"/>
                <w:iCs w:val="0"/>
                <w:caps w:val="0"/>
                <w:color w:val="auto"/>
                <w:spacing w:val="0"/>
                <w:sz w:val="21"/>
                <w:szCs w:val="21"/>
                <w:shd w:val="clear" w:fill="FFFFFF"/>
              </w:rPr>
              <w:t>m×0.8m</w:t>
            </w:r>
            <w:r>
              <w:rPr>
                <w:rFonts w:hint="eastAsia" w:ascii="Times New Roman" w:hAnsi="Times New Roman" w:eastAsia="宋体" w:cs="var(--dsw-font-markdown-base)"/>
                <w:i w:val="0"/>
                <w:iCs w:val="0"/>
                <w:caps w:val="0"/>
                <w:color w:val="auto"/>
                <w:spacing w:val="0"/>
                <w:sz w:val="21"/>
                <w:szCs w:val="21"/>
                <w:shd w:val="clear" w:fill="FFFFFF"/>
                <w:lang w:eastAsia="zh-CN"/>
              </w:rPr>
              <w:t>，</w:t>
            </w:r>
            <w:r>
              <w:rPr>
                <w:rFonts w:hint="eastAsia" w:ascii="Times New Roman" w:hAnsi="Times New Roman" w:eastAsia="宋体" w:cs="var(--dsw-font-markdown-base)"/>
                <w:i w:val="0"/>
                <w:iCs w:val="0"/>
                <w:caps w:val="0"/>
                <w:color w:val="auto"/>
                <w:spacing w:val="0"/>
                <w:sz w:val="21"/>
                <w:szCs w:val="21"/>
                <w:shd w:val="clear" w:fill="FFFFFF"/>
                <w:lang w:val="en-US" w:eastAsia="zh-CN"/>
              </w:rPr>
              <w:t>刷胶</w:t>
            </w:r>
            <w:r>
              <w:rPr>
                <w:rFonts w:hint="default" w:ascii="Times New Roman" w:hAnsi="Times New Roman" w:eastAsia="宋体" w:cs="var(--dsw-font-markdown-base)"/>
                <w:i w:val="0"/>
                <w:iCs w:val="0"/>
                <w:caps w:val="0"/>
                <w:color w:val="auto"/>
                <w:spacing w:val="0"/>
                <w:sz w:val="21"/>
                <w:szCs w:val="21"/>
                <w:shd w:val="clear" w:fill="FFFFFF"/>
              </w:rPr>
              <w:t>工位</w:t>
            </w:r>
            <w:r>
              <w:rPr>
                <w:rFonts w:hint="eastAsia" w:ascii="Times New Roman" w:hAnsi="Times New Roman" w:eastAsia="宋体" w:cs="var(--dsw-font-markdown-base)"/>
                <w:i w:val="0"/>
                <w:iCs w:val="0"/>
                <w:caps w:val="0"/>
                <w:color w:val="auto"/>
                <w:spacing w:val="0"/>
                <w:sz w:val="21"/>
                <w:szCs w:val="21"/>
                <w:shd w:val="clear" w:fill="FFFFFF"/>
                <w:lang w:val="en-US" w:eastAsia="zh-CN"/>
              </w:rPr>
              <w:t>集气罩</w:t>
            </w:r>
            <w:r>
              <w:rPr>
                <w:rFonts w:hint="default" w:ascii="Times New Roman" w:hAnsi="Times New Roman" w:eastAsia="宋体" w:cs="var(--dsw-font-markdown-base)"/>
                <w:i w:val="0"/>
                <w:iCs w:val="0"/>
                <w:caps w:val="0"/>
                <w:color w:val="auto"/>
                <w:spacing w:val="0"/>
                <w:sz w:val="21"/>
                <w:szCs w:val="21"/>
                <w:shd w:val="clear" w:fill="FFFFFF"/>
              </w:rPr>
              <w:t>尺寸为</w:t>
            </w:r>
            <w:r>
              <w:rPr>
                <w:rFonts w:hint="eastAsia" w:ascii="Times New Roman" w:hAnsi="Times New Roman" w:eastAsia="宋体" w:cs="var(--dsw-font-markdown-base)"/>
                <w:i w:val="0"/>
                <w:iCs w:val="0"/>
                <w:caps w:val="0"/>
                <w:color w:val="auto"/>
                <w:spacing w:val="0"/>
                <w:sz w:val="21"/>
                <w:szCs w:val="21"/>
                <w:shd w:val="clear" w:fill="FFFFFF"/>
                <w:lang w:val="en-US" w:eastAsia="zh-CN"/>
              </w:rPr>
              <w:t>2.5</w:t>
            </w:r>
            <w:r>
              <w:rPr>
                <w:rFonts w:hint="default" w:ascii="Times New Roman" w:hAnsi="Times New Roman" w:eastAsia="宋体" w:cs="var(--dsw-font-markdown-base)"/>
                <w:i w:val="0"/>
                <w:iCs w:val="0"/>
                <w:caps w:val="0"/>
                <w:color w:val="auto"/>
                <w:spacing w:val="0"/>
                <w:sz w:val="21"/>
                <w:szCs w:val="21"/>
                <w:shd w:val="clear" w:fill="FFFFFF"/>
              </w:rPr>
              <w:t>m×0.8m，罩口</w:t>
            </w:r>
            <w:r>
              <w:rPr>
                <w:rFonts w:hint="eastAsia" w:cs="var(--dsw-font-markdown-base)"/>
                <w:i w:val="0"/>
                <w:iCs w:val="0"/>
                <w:caps w:val="0"/>
                <w:color w:val="auto"/>
                <w:spacing w:val="0"/>
                <w:sz w:val="21"/>
                <w:szCs w:val="21"/>
                <w:shd w:val="clear" w:fill="FFFFFF"/>
                <w:lang w:val="en-US" w:eastAsia="zh-CN"/>
              </w:rPr>
              <w:t>面积A</w:t>
            </w:r>
            <w:r>
              <w:rPr>
                <w:rFonts w:hint="default" w:ascii="Times New Roman" w:hAnsi="Times New Roman" w:eastAsia="宋体" w:cs="var(--dsw-font-markdown-base)"/>
                <w:i w:val="0"/>
                <w:iCs w:val="0"/>
                <w:caps w:val="0"/>
                <w:color w:val="auto"/>
                <w:spacing w:val="0"/>
                <w:sz w:val="21"/>
                <w:szCs w:val="21"/>
                <w:shd w:val="clear" w:fill="FFFFFF"/>
              </w:rPr>
              <w:t>=</w:t>
            </w:r>
            <w:r>
              <w:rPr>
                <w:rFonts w:hint="eastAsia" w:ascii="Times New Roman" w:hAnsi="Times New Roman" w:eastAsia="宋体" w:cs="var(--dsw-font-markdown-base)"/>
                <w:i w:val="0"/>
                <w:iCs w:val="0"/>
                <w:caps w:val="0"/>
                <w:color w:val="auto"/>
                <w:spacing w:val="0"/>
                <w:sz w:val="21"/>
                <w:szCs w:val="21"/>
                <w:shd w:val="clear" w:fill="FFFFFF"/>
                <w:lang w:val="en-US" w:eastAsia="zh-CN"/>
              </w:rPr>
              <w:t>2</w:t>
            </w:r>
            <w:r>
              <w:rPr>
                <w:rFonts w:hint="default" w:ascii="Times New Roman" w:hAnsi="Times New Roman" w:eastAsia="宋体" w:cs="var(--dsw-font-markdown-base)"/>
                <w:i w:val="0"/>
                <w:iCs w:val="0"/>
                <w:caps w:val="0"/>
                <w:color w:val="auto"/>
                <w:spacing w:val="0"/>
                <w:sz w:val="21"/>
                <w:szCs w:val="21"/>
                <w:shd w:val="clear" w:fill="FFFFFF"/>
              </w:rPr>
              <w:t>m²，X=0.</w:t>
            </w:r>
            <w:r>
              <w:rPr>
                <w:rFonts w:hint="eastAsia" w:ascii="Times New Roman" w:hAnsi="Times New Roman" w:eastAsia="宋体" w:cs="var(--dsw-font-markdown-base)"/>
                <w:i w:val="0"/>
                <w:iCs w:val="0"/>
                <w:caps w:val="0"/>
                <w:color w:val="auto"/>
                <w:spacing w:val="0"/>
                <w:sz w:val="21"/>
                <w:szCs w:val="21"/>
                <w:shd w:val="clear" w:fill="FFFFFF"/>
                <w:lang w:val="en-US" w:eastAsia="zh-CN"/>
              </w:rPr>
              <w:t>3</w:t>
            </w:r>
            <w:r>
              <w:rPr>
                <w:rFonts w:hint="default" w:ascii="Times New Roman" w:hAnsi="Times New Roman" w:eastAsia="宋体" w:cs="var(--dsw-font-markdown-base)"/>
                <w:i w:val="0"/>
                <w:iCs w:val="0"/>
                <w:caps w:val="0"/>
                <w:color w:val="auto"/>
                <w:spacing w:val="0"/>
                <w:sz w:val="21"/>
                <w:szCs w:val="21"/>
                <w:shd w:val="clear" w:fill="FFFFFF"/>
              </w:rPr>
              <w:t>m，</w:t>
            </w:r>
            <w:r>
              <w:rPr>
                <w:rFonts w:hint="default" w:ascii="Times New Roman" w:hAnsi="Times New Roman" w:eastAsia="宋体" w:cs="KaTeX_Math"/>
                <w:i w:val="0"/>
                <w:iCs/>
                <w:caps w:val="0"/>
                <w:color w:val="auto"/>
                <w:spacing w:val="0"/>
                <w:sz w:val="21"/>
                <w:szCs w:val="25"/>
                <w:shd w:val="clear" w:fill="FFFFFF"/>
                <w:lang w:val="en-US" w:eastAsia="zh-CN"/>
              </w:rPr>
              <w:t>Vx</w:t>
            </w:r>
            <w:r>
              <w:rPr>
                <w:rFonts w:hint="default" w:ascii="Times New Roman" w:hAnsi="Times New Roman" w:eastAsia="宋体" w:cs="var(--dsw-font-markdown-base)"/>
                <w:i w:val="0"/>
                <w:iCs w:val="0"/>
                <w:caps w:val="0"/>
                <w:color w:val="auto"/>
                <w:spacing w:val="0"/>
                <w:sz w:val="21"/>
                <w:szCs w:val="21"/>
                <w:shd w:val="clear" w:fill="FFFFFF"/>
              </w:rPr>
              <w:t>=0.</w:t>
            </w:r>
            <w:r>
              <w:rPr>
                <w:rFonts w:hint="eastAsia" w:cs="var(--dsw-font-markdown-base)"/>
                <w:i w:val="0"/>
                <w:iCs w:val="0"/>
                <w:caps w:val="0"/>
                <w:color w:val="auto"/>
                <w:spacing w:val="0"/>
                <w:sz w:val="21"/>
                <w:szCs w:val="21"/>
                <w:shd w:val="clear" w:fill="FFFFFF"/>
                <w:lang w:val="en-US" w:eastAsia="zh-CN"/>
              </w:rPr>
              <w:t>4</w:t>
            </w:r>
            <w:r>
              <w:rPr>
                <w:rFonts w:hint="default" w:ascii="Times New Roman" w:hAnsi="Times New Roman" w:eastAsia="宋体" w:cs="var(--dsw-font-markdown-base)"/>
                <w:i w:val="0"/>
                <w:iCs w:val="0"/>
                <w:caps w:val="0"/>
                <w:color w:val="auto"/>
                <w:spacing w:val="0"/>
                <w:sz w:val="21"/>
                <w:szCs w:val="21"/>
                <w:shd w:val="clear" w:fill="FFFFFF"/>
              </w:rPr>
              <w:t>m/s，计算得单个工位风量</w:t>
            </w:r>
            <w:r>
              <w:rPr>
                <w:rFonts w:hint="eastAsia" w:cs="var(--dsw-font-markdown-base)"/>
                <w:i w:val="0"/>
                <w:iCs w:val="0"/>
                <w:caps w:val="0"/>
                <w:color w:val="auto"/>
                <w:spacing w:val="0"/>
                <w:sz w:val="21"/>
                <w:szCs w:val="21"/>
                <w:shd w:val="clear" w:fill="FFFFFF"/>
                <w:lang w:val="en-US" w:eastAsia="zh-CN"/>
              </w:rPr>
              <w:t>3123</w:t>
            </w:r>
            <w:r>
              <w:rPr>
                <w:rFonts w:hint="default" w:ascii="Times New Roman" w:hAnsi="Times New Roman" w:eastAsia="宋体" w:cs="var(--dsw-font-markdown-base)"/>
                <w:i w:val="0"/>
                <w:iCs w:val="0"/>
                <w:caps w:val="0"/>
                <w:color w:val="auto"/>
                <w:spacing w:val="0"/>
                <w:sz w:val="21"/>
                <w:szCs w:val="21"/>
                <w:shd w:val="clear" w:fill="FFFFFF"/>
              </w:rPr>
              <w:t>m³/h</w:t>
            </w:r>
            <w:r>
              <w:rPr>
                <w:rFonts w:hint="eastAsia" w:ascii="Times New Roman" w:hAnsi="Times New Roman" w:eastAsia="宋体" w:cs="var(--dsw-font-markdown-base)"/>
                <w:i w:val="0"/>
                <w:iCs w:val="0"/>
                <w:caps w:val="0"/>
                <w:color w:val="auto"/>
                <w:spacing w:val="0"/>
                <w:sz w:val="21"/>
                <w:szCs w:val="21"/>
                <w:shd w:val="clear" w:fill="FFFFFF"/>
                <w:lang w:eastAsia="zh-CN"/>
              </w:rPr>
              <w:t>；</w:t>
            </w:r>
            <w:r>
              <w:rPr>
                <w:rFonts w:hint="eastAsia" w:ascii="Times New Roman" w:hAnsi="Times New Roman" w:eastAsia="宋体" w:cs="var(--dsw-font-markdown-base)"/>
                <w:i w:val="0"/>
                <w:iCs w:val="0"/>
                <w:caps w:val="0"/>
                <w:color w:val="auto"/>
                <w:spacing w:val="0"/>
                <w:sz w:val="21"/>
                <w:szCs w:val="21"/>
                <w:shd w:val="clear" w:fill="FFFFFF"/>
                <w:lang w:val="en-US" w:eastAsia="zh-CN"/>
              </w:rPr>
              <w:t>每条生产线</w:t>
            </w:r>
            <w:r>
              <w:rPr>
                <w:rFonts w:hint="eastAsia" w:cs="var(--dsw-font-markdown-base)"/>
                <w:i w:val="0"/>
                <w:iCs w:val="0"/>
                <w:caps w:val="0"/>
                <w:color w:val="auto"/>
                <w:spacing w:val="0"/>
                <w:sz w:val="21"/>
                <w:szCs w:val="21"/>
                <w:shd w:val="clear" w:fill="FFFFFF"/>
                <w:lang w:val="en-US" w:eastAsia="zh-CN"/>
              </w:rPr>
              <w:t>3</w:t>
            </w:r>
            <w:r>
              <w:rPr>
                <w:rFonts w:hint="default" w:ascii="Times New Roman" w:hAnsi="Times New Roman" w:eastAsia="宋体" w:cs="var(--dsw-font-markdown-base)"/>
                <w:i w:val="0"/>
                <w:iCs w:val="0"/>
                <w:caps w:val="0"/>
                <w:color w:val="auto"/>
                <w:spacing w:val="0"/>
                <w:sz w:val="21"/>
                <w:szCs w:val="21"/>
                <w:shd w:val="clear" w:fill="FFFFFF"/>
              </w:rPr>
              <w:t>个位</w:t>
            </w:r>
            <w:r>
              <w:rPr>
                <w:rFonts w:hint="eastAsia" w:ascii="Times New Roman" w:hAnsi="Times New Roman" w:eastAsia="宋体" w:cs="var(--dsw-font-markdown-base)"/>
                <w:i w:val="0"/>
                <w:iCs w:val="0"/>
                <w:caps w:val="0"/>
                <w:color w:val="auto"/>
                <w:spacing w:val="0"/>
                <w:sz w:val="21"/>
                <w:szCs w:val="21"/>
                <w:shd w:val="clear" w:fill="FFFFFF"/>
                <w:lang w:val="en-US" w:eastAsia="zh-CN"/>
              </w:rPr>
              <w:t>集齐罩</w:t>
            </w:r>
            <w:r>
              <w:rPr>
                <w:rFonts w:hint="default" w:ascii="Times New Roman" w:hAnsi="Times New Roman" w:eastAsia="宋体" w:cs="var(--dsw-font-markdown-base)"/>
                <w:i w:val="0"/>
                <w:iCs w:val="0"/>
                <w:caps w:val="0"/>
                <w:color w:val="auto"/>
                <w:spacing w:val="0"/>
                <w:sz w:val="21"/>
                <w:szCs w:val="21"/>
                <w:shd w:val="clear" w:fill="FFFFFF"/>
              </w:rPr>
              <w:t>（</w:t>
            </w:r>
            <w:r>
              <w:rPr>
                <w:rFonts w:hint="eastAsia" w:ascii="Times New Roman" w:hAnsi="Times New Roman" w:eastAsia="宋体" w:cs="var(--dsw-font-markdown-base)"/>
                <w:i w:val="0"/>
                <w:iCs w:val="0"/>
                <w:caps w:val="0"/>
                <w:color w:val="auto"/>
                <w:spacing w:val="0"/>
                <w:sz w:val="21"/>
                <w:szCs w:val="21"/>
                <w:shd w:val="clear" w:fill="FFFFFF"/>
                <w:lang w:val="en-US" w:eastAsia="zh-CN"/>
              </w:rPr>
              <w:t>刷处理剂</w:t>
            </w:r>
            <w:r>
              <w:rPr>
                <w:rFonts w:hint="eastAsia" w:cs="var(--dsw-font-markdown-base)"/>
                <w:i w:val="0"/>
                <w:iCs w:val="0"/>
                <w:caps w:val="0"/>
                <w:color w:val="auto"/>
                <w:spacing w:val="0"/>
                <w:sz w:val="21"/>
                <w:szCs w:val="21"/>
                <w:shd w:val="clear" w:fill="FFFFFF"/>
                <w:lang w:val="en-US" w:eastAsia="zh-CN"/>
              </w:rPr>
              <w:t>和清洁</w:t>
            </w:r>
            <w:r>
              <w:rPr>
                <w:rFonts w:hint="eastAsia" w:ascii="Times New Roman" w:hAnsi="Times New Roman" w:eastAsia="宋体" w:cs="var(--dsw-font-markdown-base)"/>
                <w:i w:val="0"/>
                <w:iCs w:val="0"/>
                <w:caps w:val="0"/>
                <w:color w:val="auto"/>
                <w:spacing w:val="0"/>
                <w:sz w:val="21"/>
                <w:szCs w:val="21"/>
                <w:shd w:val="clear" w:fill="FFFFFF"/>
                <w:lang w:val="en-US" w:eastAsia="zh-CN"/>
              </w:rPr>
              <w:t>1个</w:t>
            </w:r>
            <w:r>
              <w:rPr>
                <w:rFonts w:hint="default" w:ascii="Times New Roman" w:hAnsi="Times New Roman" w:eastAsia="宋体" w:cs="var(--dsw-font-markdown-base)"/>
                <w:i w:val="0"/>
                <w:iCs w:val="0"/>
                <w:caps w:val="0"/>
                <w:color w:val="auto"/>
                <w:spacing w:val="0"/>
                <w:sz w:val="21"/>
                <w:szCs w:val="21"/>
                <w:shd w:val="clear" w:fill="FFFFFF"/>
              </w:rPr>
              <w:t>、第一次刷胶</w:t>
            </w:r>
            <w:r>
              <w:rPr>
                <w:rFonts w:hint="eastAsia" w:ascii="Times New Roman" w:hAnsi="Times New Roman" w:eastAsia="宋体" w:cs="var(--dsw-font-markdown-base)"/>
                <w:i w:val="0"/>
                <w:iCs w:val="0"/>
                <w:caps w:val="0"/>
                <w:color w:val="auto"/>
                <w:spacing w:val="0"/>
                <w:sz w:val="21"/>
                <w:szCs w:val="21"/>
                <w:shd w:val="clear" w:fill="FFFFFF"/>
                <w:lang w:val="en-US" w:eastAsia="zh-CN"/>
              </w:rPr>
              <w:t>1个</w:t>
            </w:r>
            <w:r>
              <w:rPr>
                <w:rFonts w:hint="default" w:ascii="Times New Roman" w:hAnsi="Times New Roman" w:eastAsia="宋体" w:cs="var(--dsw-font-markdown-base)"/>
                <w:i w:val="0"/>
                <w:iCs w:val="0"/>
                <w:caps w:val="0"/>
                <w:color w:val="auto"/>
                <w:spacing w:val="0"/>
                <w:sz w:val="21"/>
                <w:szCs w:val="21"/>
                <w:shd w:val="clear" w:fill="FFFFFF"/>
              </w:rPr>
              <w:t>、第二次刷胶</w:t>
            </w:r>
            <w:r>
              <w:rPr>
                <w:rFonts w:hint="eastAsia" w:ascii="Times New Roman" w:hAnsi="Times New Roman" w:eastAsia="宋体" w:cs="var(--dsw-font-markdown-base)"/>
                <w:i w:val="0"/>
                <w:iCs w:val="0"/>
                <w:caps w:val="0"/>
                <w:color w:val="auto"/>
                <w:spacing w:val="0"/>
                <w:sz w:val="21"/>
                <w:szCs w:val="21"/>
                <w:shd w:val="clear" w:fill="FFFFFF"/>
                <w:lang w:val="en-US" w:eastAsia="zh-CN"/>
              </w:rPr>
              <w:t>1个</w:t>
            </w:r>
            <w:r>
              <w:rPr>
                <w:rFonts w:hint="default" w:ascii="Times New Roman" w:hAnsi="Times New Roman" w:eastAsia="宋体" w:cs="var(--dsw-font-markdown-base)"/>
                <w:i w:val="0"/>
                <w:iCs w:val="0"/>
                <w:caps w:val="0"/>
                <w:color w:val="auto"/>
                <w:spacing w:val="0"/>
                <w:sz w:val="21"/>
                <w:szCs w:val="21"/>
                <w:shd w:val="clear" w:fill="FFFFFF"/>
              </w:rPr>
              <w:t>），</w:t>
            </w:r>
            <w:r>
              <w:rPr>
                <w:rFonts w:hint="eastAsia" w:ascii="Times New Roman" w:hAnsi="Times New Roman" w:eastAsia="宋体" w:cs="var(--dsw-font-markdown-base)"/>
                <w:i w:val="0"/>
                <w:iCs w:val="0"/>
                <w:caps w:val="0"/>
                <w:color w:val="auto"/>
                <w:spacing w:val="0"/>
                <w:sz w:val="21"/>
                <w:szCs w:val="21"/>
                <w:shd w:val="clear" w:fill="FFFFFF"/>
                <w:lang w:val="en-US" w:eastAsia="zh-CN"/>
              </w:rPr>
              <w:t>单个成品组装车间</w:t>
            </w:r>
            <w:r>
              <w:rPr>
                <w:rFonts w:hint="eastAsia" w:cs="var(--dsw-font-markdown-base)"/>
                <w:i w:val="0"/>
                <w:iCs w:val="0"/>
                <w:caps w:val="0"/>
                <w:color w:val="auto"/>
                <w:spacing w:val="0"/>
                <w:sz w:val="21"/>
                <w:szCs w:val="21"/>
                <w:shd w:val="clear" w:fill="FFFFFF"/>
                <w:lang w:val="en-US" w:eastAsia="zh-CN"/>
              </w:rPr>
              <w:t>两条生产线</w:t>
            </w:r>
            <w:r>
              <w:rPr>
                <w:rFonts w:hint="default" w:ascii="Times New Roman" w:hAnsi="Times New Roman" w:eastAsia="宋体" w:cs="var(--dsw-font-markdown-base)"/>
                <w:i w:val="0"/>
                <w:iCs w:val="0"/>
                <w:caps w:val="0"/>
                <w:color w:val="auto"/>
                <w:spacing w:val="0"/>
                <w:sz w:val="21"/>
                <w:szCs w:val="21"/>
                <w:shd w:val="clear" w:fill="FFFFFF"/>
              </w:rPr>
              <w:t>合计风量</w:t>
            </w:r>
            <w:r>
              <w:rPr>
                <w:rFonts w:hint="eastAsia" w:cs="var(--dsw-font-markdown-base)"/>
                <w:i w:val="0"/>
                <w:iCs w:val="0"/>
                <w:caps w:val="0"/>
                <w:color w:val="auto"/>
                <w:spacing w:val="0"/>
                <w:sz w:val="21"/>
                <w:szCs w:val="21"/>
                <w:shd w:val="clear" w:fill="FFFFFF"/>
                <w:lang w:val="en-US" w:eastAsia="zh-CN"/>
              </w:rPr>
              <w:t>3123</w:t>
            </w:r>
            <w:r>
              <w:rPr>
                <w:rFonts w:hint="default" w:ascii="Times New Roman" w:hAnsi="Times New Roman" w:eastAsia="宋体" w:cs="var(--dsw-font-markdown-base)"/>
                <w:i w:val="0"/>
                <w:iCs w:val="0"/>
                <w:caps w:val="0"/>
                <w:color w:val="auto"/>
                <w:spacing w:val="0"/>
                <w:sz w:val="21"/>
                <w:szCs w:val="21"/>
                <w:shd w:val="clear" w:fill="FFFFFF"/>
              </w:rPr>
              <w:t>×</w:t>
            </w:r>
            <w:r>
              <w:rPr>
                <w:rFonts w:hint="eastAsia" w:cs="var(--dsw-font-markdown-base)"/>
                <w:i w:val="0"/>
                <w:iCs w:val="0"/>
                <w:caps w:val="0"/>
                <w:color w:val="auto"/>
                <w:spacing w:val="0"/>
                <w:sz w:val="21"/>
                <w:szCs w:val="21"/>
                <w:shd w:val="clear" w:fill="FFFFFF"/>
                <w:lang w:val="en-US" w:eastAsia="zh-CN"/>
              </w:rPr>
              <w:t>6</w:t>
            </w:r>
            <w:r>
              <w:rPr>
                <w:rFonts w:hint="eastAsia" w:ascii="Times New Roman" w:hAnsi="Times New Roman" w:eastAsia="宋体" w:cs="var(--dsw-font-markdown-base)"/>
                <w:i w:val="0"/>
                <w:iCs w:val="0"/>
                <w:caps w:val="0"/>
                <w:color w:val="auto"/>
                <w:spacing w:val="0"/>
                <w:sz w:val="21"/>
                <w:szCs w:val="21"/>
                <w:shd w:val="clear" w:fill="FFFFFF"/>
                <w:lang w:val="en-US" w:eastAsia="zh-CN"/>
              </w:rPr>
              <w:t>=</w:t>
            </w:r>
            <w:r>
              <w:rPr>
                <w:rFonts w:hint="eastAsia" w:cs="var(--dsw-font-markdown-base)"/>
                <w:i w:val="0"/>
                <w:iCs w:val="0"/>
                <w:caps w:val="0"/>
                <w:color w:val="auto"/>
                <w:spacing w:val="0"/>
                <w:sz w:val="21"/>
                <w:szCs w:val="21"/>
                <w:shd w:val="clear" w:fill="FFFFFF"/>
                <w:lang w:val="en-US" w:eastAsia="zh-CN"/>
              </w:rPr>
              <w:t>18738</w:t>
            </w:r>
            <w:r>
              <w:rPr>
                <w:rFonts w:hint="default" w:ascii="Times New Roman" w:hAnsi="Times New Roman" w:eastAsia="宋体" w:cs="var(--dsw-font-markdown-base)"/>
                <w:i w:val="0"/>
                <w:iCs w:val="0"/>
                <w:caps w:val="0"/>
                <w:color w:val="auto"/>
                <w:spacing w:val="0"/>
                <w:sz w:val="21"/>
                <w:szCs w:val="21"/>
                <w:shd w:val="clear" w:fill="FFFFFF"/>
              </w:rPr>
              <w:t>m³/h，单套设施设计风量取整为</w:t>
            </w:r>
            <w:r>
              <w:rPr>
                <w:rFonts w:hint="eastAsia" w:ascii="Times New Roman" w:hAnsi="Times New Roman" w:eastAsia="宋体" w:cs="var(--dsw-font-markdown-base)"/>
                <w:i w:val="0"/>
                <w:iCs w:val="0"/>
                <w:caps w:val="0"/>
                <w:color w:val="auto"/>
                <w:spacing w:val="0"/>
                <w:sz w:val="21"/>
                <w:szCs w:val="21"/>
                <w:shd w:val="clear" w:fill="FFFFFF"/>
                <w:lang w:val="en-US" w:eastAsia="zh-CN"/>
              </w:rPr>
              <w:t>20000</w:t>
            </w:r>
            <w:r>
              <w:rPr>
                <w:rFonts w:hint="default" w:ascii="Times New Roman" w:hAnsi="Times New Roman" w:eastAsia="宋体" w:cs="var(--dsw-font-markdown-base)"/>
                <w:i w:val="0"/>
                <w:iCs w:val="0"/>
                <w:caps w:val="0"/>
                <w:color w:val="auto"/>
                <w:spacing w:val="0"/>
                <w:sz w:val="21"/>
                <w:szCs w:val="21"/>
                <w:shd w:val="clear" w:fill="FFFFFF"/>
              </w:rPr>
              <w:t>m³/h。</w:t>
            </w:r>
            <w:r>
              <w:rPr>
                <w:rFonts w:hint="eastAsia" w:ascii="Times New Roman" w:hAnsi="Times New Roman" w:eastAsia="宋体" w:cs="var(--dsw-font-markdown-base)"/>
                <w:i w:val="0"/>
                <w:iCs w:val="0"/>
                <w:caps w:val="0"/>
                <w:color w:val="auto"/>
                <w:spacing w:val="0"/>
                <w:sz w:val="21"/>
                <w:szCs w:val="21"/>
                <w:shd w:val="clear" w:fill="FFFFFF"/>
                <w:lang w:val="en-US" w:eastAsia="zh-CN"/>
              </w:rPr>
              <w:t>3个车间共6套废气处理设施</w:t>
            </w:r>
            <w:r>
              <w:rPr>
                <w:rFonts w:hint="eastAsia" w:ascii="Times New Roman" w:hAnsi="Times New Roman" w:eastAsia="宋体" w:cs="宋体"/>
                <w:color w:val="auto"/>
                <w:kern w:val="0"/>
                <w:sz w:val="21"/>
                <w:szCs w:val="24"/>
                <w:lang w:val="en-US" w:eastAsia="zh-CN" w:bidi="ar"/>
              </w:rPr>
              <w:t>，废气经收集后经二级活性炭吸附处理，</w:t>
            </w:r>
            <w:r>
              <w:rPr>
                <w:rFonts w:hint="eastAsia" w:ascii="Times New Roman" w:hAnsi="Times New Roman" w:eastAsia="宋体" w:cs="var(--dsw-font-markdown-base)"/>
                <w:i w:val="0"/>
                <w:iCs w:val="0"/>
                <w:caps w:val="0"/>
                <w:color w:val="auto"/>
                <w:spacing w:val="0"/>
                <w:sz w:val="21"/>
                <w:szCs w:val="21"/>
                <w:shd w:val="clear" w:fill="FFFFFF"/>
                <w:lang w:val="en-US" w:eastAsia="zh-CN"/>
              </w:rPr>
              <w:t>1#厂房4层</w:t>
            </w:r>
            <w:r>
              <w:rPr>
                <w:rFonts w:hint="eastAsia" w:cs="var(--dsw-font-markdown-base)"/>
                <w:i w:val="0"/>
                <w:iCs w:val="0"/>
                <w:caps w:val="0"/>
                <w:color w:val="auto"/>
                <w:spacing w:val="0"/>
                <w:sz w:val="21"/>
                <w:szCs w:val="21"/>
                <w:shd w:val="clear" w:fill="FFFFFF"/>
                <w:lang w:val="en-US" w:eastAsia="zh-CN"/>
              </w:rPr>
              <w:t>车间废气经</w:t>
            </w:r>
            <w:r>
              <w:rPr>
                <w:rFonts w:hint="eastAsia" w:ascii="Times New Roman" w:hAnsi="Times New Roman" w:eastAsia="宋体" w:cs="宋体"/>
                <w:color w:val="auto"/>
                <w:kern w:val="0"/>
                <w:sz w:val="21"/>
                <w:szCs w:val="24"/>
                <w:lang w:val="en-US" w:eastAsia="zh-CN" w:bidi="ar"/>
              </w:rPr>
              <w:t>排气筒</w:t>
            </w:r>
            <w:r>
              <w:rPr>
                <w:rFonts w:hint="default" w:ascii="Times New Roman" w:hAnsi="Times New Roman" w:eastAsia="宋体" w:cs="Times New Roman"/>
                <w:color w:val="auto"/>
                <w:kern w:val="0"/>
                <w:sz w:val="21"/>
                <w:szCs w:val="24"/>
                <w:lang w:val="en-US" w:eastAsia="zh-CN" w:bidi="ar"/>
              </w:rPr>
              <w:t>G</w:t>
            </w:r>
            <w:r>
              <w:rPr>
                <w:rFonts w:hint="eastAsia" w:cs="Times New Roman"/>
                <w:color w:val="auto"/>
                <w:kern w:val="0"/>
                <w:sz w:val="21"/>
                <w:szCs w:val="24"/>
                <w:lang w:val="en-US" w:eastAsia="zh-CN" w:bidi="ar"/>
              </w:rPr>
              <w:t>2和</w:t>
            </w:r>
            <w:r>
              <w:rPr>
                <w:rFonts w:hint="default" w:ascii="Times New Roman" w:hAnsi="Times New Roman" w:eastAsia="宋体" w:cs="Times New Roman"/>
                <w:color w:val="auto"/>
                <w:kern w:val="0"/>
                <w:sz w:val="21"/>
                <w:szCs w:val="24"/>
                <w:lang w:val="en-US" w:eastAsia="zh-CN" w:bidi="ar"/>
              </w:rPr>
              <w:t>G</w:t>
            </w:r>
            <w:r>
              <w:rPr>
                <w:rFonts w:hint="eastAsia" w:cs="Times New Roman"/>
                <w:color w:val="auto"/>
                <w:kern w:val="0"/>
                <w:sz w:val="21"/>
                <w:szCs w:val="24"/>
                <w:lang w:val="en-US" w:eastAsia="zh-CN" w:bidi="ar"/>
              </w:rPr>
              <w:t>3</w:t>
            </w:r>
            <w:r>
              <w:rPr>
                <w:rFonts w:hint="eastAsia" w:cs="宋体"/>
                <w:color w:val="auto"/>
                <w:kern w:val="0"/>
                <w:sz w:val="21"/>
                <w:szCs w:val="24"/>
                <w:lang w:val="en-US" w:eastAsia="zh-CN" w:bidi="ar"/>
              </w:rPr>
              <w:t>、</w:t>
            </w:r>
            <w:r>
              <w:rPr>
                <w:rFonts w:hint="eastAsia" w:ascii="Times New Roman" w:hAnsi="Times New Roman" w:eastAsia="宋体" w:cs="var(--dsw-font-markdown-base)"/>
                <w:i w:val="0"/>
                <w:iCs w:val="0"/>
                <w:caps w:val="0"/>
                <w:color w:val="auto"/>
                <w:spacing w:val="0"/>
                <w:sz w:val="21"/>
                <w:szCs w:val="21"/>
                <w:shd w:val="clear" w:fill="FFFFFF"/>
                <w:lang w:val="en-US" w:eastAsia="zh-CN"/>
              </w:rPr>
              <w:t>1#厂房</w:t>
            </w:r>
            <w:r>
              <w:rPr>
                <w:rFonts w:hint="eastAsia" w:cs="var(--dsw-font-markdown-base)"/>
                <w:i w:val="0"/>
                <w:iCs w:val="0"/>
                <w:caps w:val="0"/>
                <w:color w:val="auto"/>
                <w:spacing w:val="0"/>
                <w:sz w:val="21"/>
                <w:szCs w:val="21"/>
                <w:shd w:val="clear" w:fill="FFFFFF"/>
                <w:lang w:val="en-US" w:eastAsia="zh-CN"/>
              </w:rPr>
              <w:t>6</w:t>
            </w:r>
            <w:r>
              <w:rPr>
                <w:rFonts w:hint="eastAsia" w:ascii="Times New Roman" w:hAnsi="Times New Roman" w:eastAsia="宋体" w:cs="var(--dsw-font-markdown-base)"/>
                <w:i w:val="0"/>
                <w:iCs w:val="0"/>
                <w:caps w:val="0"/>
                <w:color w:val="auto"/>
                <w:spacing w:val="0"/>
                <w:sz w:val="21"/>
                <w:szCs w:val="21"/>
                <w:shd w:val="clear" w:fill="FFFFFF"/>
                <w:lang w:val="en-US" w:eastAsia="zh-CN"/>
              </w:rPr>
              <w:t>层</w:t>
            </w:r>
            <w:r>
              <w:rPr>
                <w:rFonts w:hint="eastAsia" w:cs="var(--dsw-font-markdown-base)"/>
                <w:i w:val="0"/>
                <w:iCs w:val="0"/>
                <w:caps w:val="0"/>
                <w:color w:val="auto"/>
                <w:spacing w:val="0"/>
                <w:sz w:val="21"/>
                <w:szCs w:val="21"/>
                <w:shd w:val="clear" w:fill="FFFFFF"/>
                <w:lang w:val="en-US" w:eastAsia="zh-CN"/>
              </w:rPr>
              <w:t>车间废气经</w:t>
            </w:r>
            <w:r>
              <w:rPr>
                <w:rFonts w:hint="eastAsia" w:ascii="Times New Roman" w:hAnsi="Times New Roman" w:eastAsia="宋体" w:cs="宋体"/>
                <w:color w:val="auto"/>
                <w:kern w:val="0"/>
                <w:sz w:val="21"/>
                <w:szCs w:val="24"/>
                <w:lang w:val="en-US" w:eastAsia="zh-CN" w:bidi="ar"/>
              </w:rPr>
              <w:t>排气筒</w:t>
            </w:r>
            <w:r>
              <w:rPr>
                <w:rFonts w:hint="default" w:ascii="Times New Roman" w:hAnsi="Times New Roman" w:eastAsia="宋体" w:cs="Times New Roman"/>
                <w:color w:val="auto"/>
                <w:kern w:val="0"/>
                <w:sz w:val="21"/>
                <w:szCs w:val="24"/>
                <w:lang w:val="en-US" w:eastAsia="zh-CN" w:bidi="ar"/>
              </w:rPr>
              <w:t>G</w:t>
            </w:r>
            <w:r>
              <w:rPr>
                <w:rFonts w:hint="eastAsia" w:cs="Times New Roman"/>
                <w:color w:val="auto"/>
                <w:kern w:val="0"/>
                <w:sz w:val="21"/>
                <w:szCs w:val="24"/>
                <w:lang w:val="en-US" w:eastAsia="zh-CN" w:bidi="ar"/>
              </w:rPr>
              <w:t>4和</w:t>
            </w:r>
            <w:r>
              <w:rPr>
                <w:rFonts w:hint="default" w:ascii="Times New Roman" w:hAnsi="Times New Roman" w:eastAsia="宋体" w:cs="Times New Roman"/>
                <w:color w:val="auto"/>
                <w:kern w:val="0"/>
                <w:sz w:val="21"/>
                <w:szCs w:val="24"/>
                <w:lang w:val="en-US" w:eastAsia="zh-CN" w:bidi="ar"/>
              </w:rPr>
              <w:t>G</w:t>
            </w:r>
            <w:r>
              <w:rPr>
                <w:rFonts w:hint="eastAsia" w:cs="Times New Roman"/>
                <w:color w:val="auto"/>
                <w:kern w:val="0"/>
                <w:sz w:val="21"/>
                <w:szCs w:val="24"/>
                <w:lang w:val="en-US" w:eastAsia="zh-CN" w:bidi="ar"/>
              </w:rPr>
              <w:t>5</w:t>
            </w:r>
            <w:r>
              <w:rPr>
                <w:rFonts w:hint="eastAsia" w:ascii="Times New Roman" w:hAnsi="Times New Roman" w:eastAsia="宋体" w:cs="Times New Roman"/>
                <w:color w:val="auto"/>
                <w:kern w:val="0"/>
                <w:sz w:val="21"/>
                <w:szCs w:val="24"/>
                <w:lang w:val="en-US" w:eastAsia="zh-CN" w:bidi="ar"/>
              </w:rPr>
              <w:t>、</w:t>
            </w:r>
            <w:r>
              <w:rPr>
                <w:rFonts w:hint="eastAsia" w:ascii="Times New Roman" w:hAnsi="Times New Roman" w:eastAsia="宋体" w:cs="var(--dsw-font-markdown-base)"/>
                <w:i w:val="0"/>
                <w:iCs w:val="0"/>
                <w:caps w:val="0"/>
                <w:color w:val="auto"/>
                <w:spacing w:val="0"/>
                <w:sz w:val="21"/>
                <w:szCs w:val="21"/>
                <w:shd w:val="clear" w:fill="FFFFFF"/>
                <w:lang w:val="en-US" w:eastAsia="zh-CN"/>
              </w:rPr>
              <w:t>2#厂房4层</w:t>
            </w:r>
            <w:r>
              <w:rPr>
                <w:rFonts w:hint="eastAsia" w:cs="var(--dsw-font-markdown-base)"/>
                <w:i w:val="0"/>
                <w:iCs w:val="0"/>
                <w:caps w:val="0"/>
                <w:color w:val="auto"/>
                <w:spacing w:val="0"/>
                <w:sz w:val="21"/>
                <w:szCs w:val="21"/>
                <w:shd w:val="clear" w:fill="FFFFFF"/>
                <w:lang w:val="en-US" w:eastAsia="zh-CN"/>
              </w:rPr>
              <w:t>车间废气经</w:t>
            </w:r>
            <w:r>
              <w:rPr>
                <w:rFonts w:hint="default" w:ascii="Times New Roman" w:hAnsi="Times New Roman" w:eastAsia="宋体" w:cs="Times New Roman"/>
                <w:color w:val="auto"/>
                <w:kern w:val="0"/>
                <w:sz w:val="21"/>
                <w:szCs w:val="24"/>
                <w:lang w:val="en-US" w:eastAsia="zh-CN" w:bidi="ar"/>
              </w:rPr>
              <w:t>G</w:t>
            </w:r>
            <w:r>
              <w:rPr>
                <w:rFonts w:hint="eastAsia" w:cs="Times New Roman"/>
                <w:color w:val="auto"/>
                <w:kern w:val="0"/>
                <w:sz w:val="21"/>
                <w:szCs w:val="24"/>
                <w:lang w:val="en-US" w:eastAsia="zh-CN" w:bidi="ar"/>
              </w:rPr>
              <w:t>6和</w:t>
            </w:r>
            <w:r>
              <w:rPr>
                <w:rFonts w:hint="eastAsia" w:ascii="Times New Roman" w:hAnsi="Times New Roman" w:eastAsia="宋体" w:cs="Times New Roman"/>
                <w:color w:val="auto"/>
                <w:kern w:val="0"/>
                <w:sz w:val="21"/>
                <w:szCs w:val="24"/>
                <w:lang w:val="en-US" w:eastAsia="zh-CN" w:bidi="ar"/>
              </w:rPr>
              <w:t>G</w:t>
            </w:r>
            <w:r>
              <w:rPr>
                <w:rFonts w:hint="eastAsia" w:cs="Times New Roman"/>
                <w:color w:val="auto"/>
                <w:kern w:val="0"/>
                <w:sz w:val="21"/>
                <w:szCs w:val="24"/>
                <w:lang w:val="en-US" w:eastAsia="zh-CN" w:bidi="ar"/>
              </w:rPr>
              <w:t>7</w:t>
            </w:r>
            <w:r>
              <w:rPr>
                <w:rFonts w:hint="eastAsia" w:ascii="Times New Roman" w:hAnsi="Times New Roman" w:eastAsia="宋体" w:cs="宋体"/>
                <w:color w:val="auto"/>
                <w:kern w:val="0"/>
                <w:sz w:val="21"/>
                <w:szCs w:val="24"/>
                <w:lang w:val="en-US" w:eastAsia="zh-CN" w:bidi="ar"/>
              </w:rPr>
              <w:t>高空排放，有机废气处理效率可达</w:t>
            </w:r>
            <w:r>
              <w:rPr>
                <w:rFonts w:hint="eastAsia" w:cs="Times New Roman"/>
                <w:color w:val="auto"/>
                <w:kern w:val="0"/>
                <w:sz w:val="21"/>
                <w:szCs w:val="24"/>
                <w:lang w:val="en-US" w:eastAsia="zh-CN" w:bidi="ar"/>
              </w:rPr>
              <w:t>7</w:t>
            </w:r>
            <w:r>
              <w:rPr>
                <w:rFonts w:hint="default" w:ascii="Times New Roman" w:hAnsi="Times New Roman" w:eastAsia="宋体" w:cs="Times New Roman"/>
                <w:color w:val="auto"/>
                <w:kern w:val="0"/>
                <w:sz w:val="21"/>
                <w:szCs w:val="24"/>
                <w:lang w:val="en-US" w:eastAsia="zh-CN" w:bidi="ar"/>
              </w:rPr>
              <w:t>0%</w:t>
            </w:r>
            <w:r>
              <w:rPr>
                <w:rFonts w:hint="eastAsia" w:ascii="Times New Roman" w:hAnsi="Times New Roman" w:eastAsia="宋体" w:cs="宋体"/>
                <w:color w:val="auto"/>
                <w:kern w:val="0"/>
                <w:sz w:val="21"/>
                <w:szCs w:val="24"/>
                <w:lang w:val="en-US" w:eastAsia="zh-CN" w:bidi="ar"/>
              </w:rPr>
              <w:t>。</w:t>
            </w:r>
          </w:p>
          <w:p w14:paraId="2B160721">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color w:val="auto"/>
                <w:lang w:val="en-US" w:eastAsia="zh-CN"/>
              </w:rPr>
            </w:pPr>
            <w:r>
              <w:rPr>
                <w:rFonts w:hint="eastAsia" w:ascii="Times New Roman" w:hAnsi="Times New Roman" w:eastAsia="宋体" w:cs="Times New Roman"/>
                <w:b/>
                <w:color w:val="auto"/>
                <w:sz w:val="21"/>
                <w:szCs w:val="24"/>
                <w:lang w:val="en-US" w:eastAsia="zh-CN"/>
              </w:rPr>
              <w:t>项目刷处理剂、刷胶工序废气产排情况一览表</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1"/>
              <w:gridCol w:w="3479"/>
              <w:gridCol w:w="4960"/>
            </w:tblGrid>
            <w:tr w14:paraId="04A6A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4960" w:type="dxa"/>
                  <w:gridSpan w:val="2"/>
                  <w:vAlign w:val="center"/>
                </w:tcPr>
                <w:p w14:paraId="1BD7F590">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color w:val="auto"/>
                      <w:vertAlign w:val="baseline"/>
                      <w:lang w:val="en-US" w:eastAsia="zh-CN"/>
                    </w:rPr>
                  </w:pPr>
                  <w:r>
                    <w:rPr>
                      <w:rFonts w:hint="default" w:ascii="Times New Roman" w:hAnsi="Times New Roman" w:eastAsia="宋体" w:cs="var(--dsw-font-markdown-table)"/>
                      <w:color w:val="auto"/>
                      <w:kern w:val="0"/>
                      <w:sz w:val="21"/>
                      <w:szCs w:val="24"/>
                      <w:lang w:val="en-US" w:eastAsia="zh-CN" w:bidi="ar"/>
                    </w:rPr>
                    <w:t>排气筒编号</w:t>
                  </w:r>
                </w:p>
              </w:tc>
              <w:tc>
                <w:tcPr>
                  <w:tcW w:w="4960" w:type="dxa"/>
                  <w:vAlign w:val="center"/>
                </w:tcPr>
                <w:p w14:paraId="0FAB6491">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color w:val="auto"/>
                      <w:vertAlign w:val="baseline"/>
                      <w:lang w:val="en-US" w:eastAsia="zh-CN"/>
                    </w:rPr>
                  </w:pPr>
                  <w:r>
                    <w:rPr>
                      <w:rFonts w:hint="default" w:ascii="Times New Roman" w:hAnsi="Times New Roman" w:eastAsia="宋体" w:cs="var(--dsw-font-markdown-table)"/>
                      <w:color w:val="auto"/>
                      <w:kern w:val="0"/>
                      <w:sz w:val="21"/>
                      <w:szCs w:val="24"/>
                      <w:lang w:val="en-US" w:eastAsia="zh-CN" w:bidi="ar"/>
                    </w:rPr>
                    <w:t>G</w:t>
                  </w:r>
                  <w:r>
                    <w:rPr>
                      <w:rFonts w:hint="eastAsia" w:cs="var(--dsw-font-markdown-table)"/>
                      <w:color w:val="auto"/>
                      <w:kern w:val="0"/>
                      <w:sz w:val="21"/>
                      <w:szCs w:val="24"/>
                      <w:lang w:val="en-US" w:eastAsia="zh-CN" w:bidi="ar"/>
                    </w:rPr>
                    <w:t>2</w:t>
                  </w:r>
                  <w:r>
                    <w:rPr>
                      <w:rFonts w:hint="default" w:ascii="Times New Roman" w:hAnsi="Times New Roman" w:eastAsia="宋体" w:cs="var(--dsw-font-markdown-table)"/>
                      <w:color w:val="auto"/>
                      <w:kern w:val="0"/>
                      <w:sz w:val="21"/>
                      <w:szCs w:val="24"/>
                      <w:lang w:val="en-US" w:eastAsia="zh-CN" w:bidi="ar"/>
                    </w:rPr>
                    <w:t>~G</w:t>
                  </w:r>
                  <w:r>
                    <w:rPr>
                      <w:rFonts w:hint="eastAsia" w:cs="var(--dsw-font-markdown-table)"/>
                      <w:color w:val="auto"/>
                      <w:kern w:val="0"/>
                      <w:sz w:val="21"/>
                      <w:szCs w:val="24"/>
                      <w:lang w:val="en-US" w:eastAsia="zh-CN" w:bidi="ar"/>
                    </w:rPr>
                    <w:t>7</w:t>
                  </w:r>
                </w:p>
              </w:tc>
            </w:tr>
            <w:tr w14:paraId="35F17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4960" w:type="dxa"/>
                  <w:gridSpan w:val="2"/>
                  <w:vAlign w:val="center"/>
                </w:tcPr>
                <w:p w14:paraId="120CEE70">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color w:val="auto"/>
                      <w:vertAlign w:val="baseline"/>
                      <w:lang w:val="en-US" w:eastAsia="zh-CN"/>
                    </w:rPr>
                  </w:pPr>
                  <w:r>
                    <w:rPr>
                      <w:rFonts w:hint="default" w:ascii="Times New Roman" w:hAnsi="Times New Roman" w:eastAsia="宋体" w:cs="var(--dsw-font-markdown-table)"/>
                      <w:color w:val="auto"/>
                      <w:kern w:val="0"/>
                      <w:sz w:val="21"/>
                      <w:szCs w:val="24"/>
                      <w:lang w:val="en-US" w:eastAsia="zh-CN" w:bidi="ar"/>
                    </w:rPr>
                    <w:t>工序</w:t>
                  </w:r>
                </w:p>
              </w:tc>
              <w:tc>
                <w:tcPr>
                  <w:tcW w:w="4960" w:type="dxa"/>
                  <w:vAlign w:val="center"/>
                </w:tcPr>
                <w:p w14:paraId="34EBD9DC">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color w:val="auto"/>
                      <w:vertAlign w:val="baseline"/>
                      <w:lang w:val="en-US" w:eastAsia="zh-CN"/>
                    </w:rPr>
                  </w:pPr>
                  <w:r>
                    <w:rPr>
                      <w:rFonts w:hint="default" w:ascii="Times New Roman" w:hAnsi="Times New Roman" w:eastAsia="宋体" w:cs="var(--dsw-font-markdown-base)"/>
                      <w:i w:val="0"/>
                      <w:iCs w:val="0"/>
                      <w:caps w:val="0"/>
                      <w:color w:val="auto"/>
                      <w:spacing w:val="0"/>
                      <w:sz w:val="21"/>
                      <w:szCs w:val="21"/>
                      <w:shd w:val="clear" w:fill="FFFFFF"/>
                    </w:rPr>
                    <w:t>刷处理剂</w:t>
                  </w:r>
                  <w:r>
                    <w:rPr>
                      <w:rFonts w:hint="eastAsia" w:ascii="Times New Roman" w:hAnsi="Times New Roman" w:cs="var(--dsw-font-markdown-base)"/>
                      <w:i w:val="0"/>
                      <w:iCs w:val="0"/>
                      <w:caps w:val="0"/>
                      <w:color w:val="auto"/>
                      <w:spacing w:val="0"/>
                      <w:sz w:val="21"/>
                      <w:szCs w:val="21"/>
                      <w:shd w:val="clear" w:fill="FFFFFF"/>
                      <w:lang w:val="en-US" w:eastAsia="zh-CN"/>
                    </w:rPr>
                    <w:t>工序</w:t>
                  </w:r>
                  <w:r>
                    <w:rPr>
                      <w:rFonts w:hint="eastAsia" w:ascii="Times New Roman" w:hAnsi="Times New Roman" w:cs="var(--dsw-font-markdown-base)"/>
                      <w:i w:val="0"/>
                      <w:iCs w:val="0"/>
                      <w:caps w:val="0"/>
                      <w:color w:val="auto"/>
                      <w:spacing w:val="0"/>
                      <w:sz w:val="21"/>
                      <w:szCs w:val="21"/>
                      <w:shd w:val="clear" w:fill="FFFFFF"/>
                      <w:lang w:eastAsia="zh-CN"/>
                    </w:rPr>
                    <w:t>、</w:t>
                  </w:r>
                  <w:r>
                    <w:rPr>
                      <w:rFonts w:hint="eastAsia" w:ascii="Times New Roman" w:hAnsi="Times New Roman" w:cs="var(--dsw-font-markdown-base)"/>
                      <w:i w:val="0"/>
                      <w:iCs w:val="0"/>
                      <w:caps w:val="0"/>
                      <w:color w:val="auto"/>
                      <w:spacing w:val="0"/>
                      <w:sz w:val="21"/>
                      <w:szCs w:val="21"/>
                      <w:shd w:val="clear" w:fill="FFFFFF"/>
                      <w:lang w:val="en-US" w:eastAsia="zh-CN"/>
                    </w:rPr>
                    <w:t>刷胶工序</w:t>
                  </w:r>
                </w:p>
              </w:tc>
            </w:tr>
            <w:tr w14:paraId="5FA9F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960" w:type="dxa"/>
                  <w:gridSpan w:val="2"/>
                  <w:vAlign w:val="center"/>
                </w:tcPr>
                <w:p w14:paraId="7C85CC6B">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color w:val="auto"/>
                      <w:vertAlign w:val="baseline"/>
                      <w:lang w:val="en-US" w:eastAsia="zh-CN"/>
                    </w:rPr>
                  </w:pPr>
                  <w:r>
                    <w:rPr>
                      <w:rFonts w:hint="default" w:ascii="Times New Roman" w:hAnsi="Times New Roman" w:eastAsia="宋体" w:cs="var(--dsw-font-markdown-table)"/>
                      <w:color w:val="auto"/>
                      <w:kern w:val="0"/>
                      <w:sz w:val="21"/>
                      <w:szCs w:val="24"/>
                      <w:lang w:val="en-US" w:eastAsia="zh-CN" w:bidi="ar"/>
                    </w:rPr>
                    <w:t>污染物</w:t>
                  </w:r>
                </w:p>
              </w:tc>
              <w:tc>
                <w:tcPr>
                  <w:tcW w:w="4960" w:type="dxa"/>
                  <w:vAlign w:val="center"/>
                </w:tcPr>
                <w:p w14:paraId="00D45A5D">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color w:val="auto"/>
                      <w:vertAlign w:val="baseline"/>
                      <w:lang w:val="en-US" w:eastAsia="zh-CN"/>
                    </w:rPr>
                  </w:pPr>
                  <w:r>
                    <w:rPr>
                      <w:rFonts w:hint="eastAsia" w:ascii="宋体" w:hAnsi="宋体" w:eastAsia="宋体" w:cs="宋体"/>
                      <w:color w:val="auto"/>
                      <w:kern w:val="0"/>
                      <w:sz w:val="21"/>
                      <w:szCs w:val="21"/>
                      <w:lang w:val="en-US" w:eastAsia="zh-CN" w:bidi="ar"/>
                    </w:rPr>
                    <w:t>挥发性有机物（非甲烷总烃、总</w:t>
                  </w:r>
                  <w:r>
                    <w:rPr>
                      <w:rFonts w:hint="default" w:ascii="Times New Roman" w:hAnsi="Times New Roman" w:eastAsia="宋体" w:cs="Times New Roman"/>
                      <w:color w:val="auto"/>
                      <w:kern w:val="0"/>
                      <w:sz w:val="21"/>
                      <w:szCs w:val="21"/>
                      <w:lang w:val="en-US" w:eastAsia="zh-CN" w:bidi="ar"/>
                    </w:rPr>
                    <w:t>VOCs</w:t>
                  </w:r>
                  <w:r>
                    <w:rPr>
                      <w:rFonts w:hint="eastAsia" w:ascii="宋体" w:hAnsi="宋体" w:eastAsia="宋体" w:cs="宋体"/>
                      <w:color w:val="auto"/>
                      <w:kern w:val="0"/>
                      <w:sz w:val="21"/>
                      <w:szCs w:val="21"/>
                      <w:lang w:val="en-US" w:eastAsia="zh-CN" w:bidi="ar"/>
                    </w:rPr>
                    <w:t>）</w:t>
                  </w:r>
                </w:p>
              </w:tc>
            </w:tr>
            <w:tr w14:paraId="27455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4960" w:type="dxa"/>
                  <w:gridSpan w:val="2"/>
                  <w:vAlign w:val="center"/>
                </w:tcPr>
                <w:p w14:paraId="28710BFA">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color w:val="auto"/>
                      <w:vertAlign w:val="baseline"/>
                      <w:lang w:val="en-US" w:eastAsia="zh-CN"/>
                    </w:rPr>
                  </w:pPr>
                  <w:r>
                    <w:rPr>
                      <w:rFonts w:hint="default" w:ascii="Times New Roman" w:hAnsi="Times New Roman" w:eastAsia="宋体" w:cs="var(--dsw-font-markdown-table)"/>
                      <w:color w:val="auto"/>
                      <w:kern w:val="0"/>
                      <w:sz w:val="21"/>
                      <w:szCs w:val="24"/>
                      <w:lang w:val="en-US" w:eastAsia="zh-CN" w:bidi="ar"/>
                    </w:rPr>
                    <w:t>产生量（t/a）</w:t>
                  </w:r>
                </w:p>
              </w:tc>
              <w:tc>
                <w:tcPr>
                  <w:tcW w:w="4960" w:type="dxa"/>
                  <w:shd w:val="clear" w:color="auto" w:fill="auto"/>
                  <w:vAlign w:val="center"/>
                </w:tcPr>
                <w:p w14:paraId="2DE5456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0.03</w:t>
                  </w:r>
                  <w:r>
                    <w:rPr>
                      <w:rFonts w:hint="eastAsia" w:cs="Times New Roman"/>
                      <w:i w:val="0"/>
                      <w:iCs w:val="0"/>
                      <w:color w:val="auto"/>
                      <w:kern w:val="0"/>
                      <w:sz w:val="21"/>
                      <w:szCs w:val="21"/>
                      <w:u w:val="none"/>
                      <w:lang w:val="en-US" w:eastAsia="zh-CN" w:bidi="ar"/>
                    </w:rPr>
                    <w:t>7</w:t>
                  </w:r>
                </w:p>
              </w:tc>
            </w:tr>
            <w:tr w14:paraId="531E6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481" w:type="dxa"/>
                  <w:vMerge w:val="restart"/>
                  <w:vAlign w:val="center"/>
                </w:tcPr>
                <w:p w14:paraId="60A3294F">
                  <w:pPr>
                    <w:keepNext w:val="0"/>
                    <w:keepLines w:val="0"/>
                    <w:suppressLineNumbers w:val="0"/>
                    <w:spacing w:before="0" w:beforeAutospacing="0" w:after="0" w:afterAutospacing="0"/>
                    <w:ind w:left="0" w:right="0"/>
                    <w:jc w:val="center"/>
                    <w:rPr>
                      <w:rFonts w:hint="default"/>
                      <w:color w:val="auto"/>
                      <w:vertAlign w:val="baseline"/>
                      <w:lang w:val="en-US" w:eastAsia="zh-CN"/>
                    </w:rPr>
                  </w:pPr>
                  <w:r>
                    <w:rPr>
                      <w:rFonts w:hint="eastAsia" w:ascii="Times New Roman" w:hAnsi="Times New Roman" w:eastAsia="宋体" w:cs="Times New Roman"/>
                      <w:b/>
                      <w:color w:val="auto"/>
                      <w:sz w:val="21"/>
                      <w:szCs w:val="24"/>
                      <w:vertAlign w:val="baseline"/>
                      <w:lang w:val="en-US" w:eastAsia="zh-CN"/>
                    </w:rPr>
                    <w:t>有组织</w:t>
                  </w:r>
                </w:p>
              </w:tc>
              <w:tc>
                <w:tcPr>
                  <w:tcW w:w="3479" w:type="dxa"/>
                  <w:vAlign w:val="center"/>
                </w:tcPr>
                <w:p w14:paraId="2DDE353F">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color w:val="auto"/>
                    </w:rPr>
                  </w:pPr>
                  <w:r>
                    <w:rPr>
                      <w:rFonts w:hint="default" w:ascii="Times New Roman" w:hAnsi="Times New Roman" w:eastAsia="宋体" w:cs="var(--dsw-font-markdown-table)"/>
                      <w:color w:val="auto"/>
                      <w:kern w:val="0"/>
                      <w:sz w:val="21"/>
                      <w:szCs w:val="24"/>
                      <w:lang w:val="en-US" w:eastAsia="zh-CN" w:bidi="ar"/>
                    </w:rPr>
                    <w:t>产生量（t/a）</w:t>
                  </w:r>
                </w:p>
              </w:tc>
              <w:tc>
                <w:tcPr>
                  <w:tcW w:w="4960" w:type="dxa"/>
                  <w:vAlign w:val="center"/>
                </w:tcPr>
                <w:p w14:paraId="38AA4308">
                  <w:pPr>
                    <w:keepNext w:val="0"/>
                    <w:keepLines w:val="0"/>
                    <w:widowControl/>
                    <w:suppressLineNumbers w:val="0"/>
                    <w:spacing w:before="0" w:beforeAutospacing="0" w:after="0" w:afterAutospacing="0"/>
                    <w:ind w:left="0" w:right="0"/>
                    <w:jc w:val="center"/>
                    <w:textAlignment w:val="center"/>
                    <w:rPr>
                      <w:rFonts w:hint="default"/>
                      <w:color w:val="auto"/>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0.011</w:t>
                  </w:r>
                </w:p>
              </w:tc>
            </w:tr>
            <w:tr w14:paraId="5CC27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481" w:type="dxa"/>
                  <w:vMerge w:val="continue"/>
                  <w:vAlign w:val="center"/>
                </w:tcPr>
                <w:p w14:paraId="30F29206">
                  <w:pPr>
                    <w:keepNext w:val="0"/>
                    <w:keepLines w:val="0"/>
                    <w:suppressLineNumbers w:val="0"/>
                    <w:spacing w:before="0" w:beforeAutospacing="0" w:after="0" w:afterAutospacing="0"/>
                    <w:ind w:left="0" w:right="0"/>
                    <w:jc w:val="center"/>
                    <w:rPr>
                      <w:rFonts w:hint="default"/>
                      <w:color w:val="auto"/>
                      <w:vertAlign w:val="baseline"/>
                      <w:lang w:val="en-US" w:eastAsia="zh-CN"/>
                    </w:rPr>
                  </w:pPr>
                </w:p>
              </w:tc>
              <w:tc>
                <w:tcPr>
                  <w:tcW w:w="3479" w:type="dxa"/>
                  <w:vAlign w:val="center"/>
                </w:tcPr>
                <w:p w14:paraId="3D603261">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color w:val="auto"/>
                    </w:rPr>
                  </w:pPr>
                  <w:r>
                    <w:rPr>
                      <w:rFonts w:hint="default" w:ascii="Times New Roman" w:hAnsi="Times New Roman" w:eastAsia="宋体" w:cs="var(--dsw-font-markdown-table)"/>
                      <w:color w:val="auto"/>
                      <w:kern w:val="0"/>
                      <w:sz w:val="21"/>
                      <w:szCs w:val="24"/>
                      <w:lang w:val="en-US" w:eastAsia="zh-CN" w:bidi="ar"/>
                    </w:rPr>
                    <w:t>产生速率（kg/h）</w:t>
                  </w:r>
                </w:p>
              </w:tc>
              <w:tc>
                <w:tcPr>
                  <w:tcW w:w="4960" w:type="dxa"/>
                  <w:vAlign w:val="center"/>
                </w:tcPr>
                <w:p w14:paraId="426CC04D">
                  <w:pPr>
                    <w:keepNext w:val="0"/>
                    <w:keepLines w:val="0"/>
                    <w:widowControl/>
                    <w:suppressLineNumbers w:val="0"/>
                    <w:spacing w:before="0" w:beforeAutospacing="0" w:after="0" w:afterAutospacing="0"/>
                    <w:ind w:left="0" w:right="0"/>
                    <w:jc w:val="center"/>
                    <w:textAlignment w:val="center"/>
                    <w:rPr>
                      <w:rFonts w:hint="default"/>
                      <w:color w:val="auto"/>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0.005</w:t>
                  </w:r>
                </w:p>
              </w:tc>
            </w:tr>
            <w:tr w14:paraId="5ECD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481" w:type="dxa"/>
                  <w:vMerge w:val="continue"/>
                  <w:vAlign w:val="center"/>
                </w:tcPr>
                <w:p w14:paraId="09A75D93">
                  <w:pPr>
                    <w:keepNext w:val="0"/>
                    <w:keepLines w:val="0"/>
                    <w:suppressLineNumbers w:val="0"/>
                    <w:spacing w:before="0" w:beforeAutospacing="0" w:after="0" w:afterAutospacing="0"/>
                    <w:ind w:left="0" w:right="0"/>
                    <w:jc w:val="center"/>
                    <w:rPr>
                      <w:rFonts w:hint="default"/>
                      <w:color w:val="auto"/>
                      <w:vertAlign w:val="baseline"/>
                      <w:lang w:val="en-US" w:eastAsia="zh-CN"/>
                    </w:rPr>
                  </w:pPr>
                </w:p>
              </w:tc>
              <w:tc>
                <w:tcPr>
                  <w:tcW w:w="3479" w:type="dxa"/>
                  <w:vAlign w:val="center"/>
                </w:tcPr>
                <w:p w14:paraId="64F44252">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color w:val="auto"/>
                    </w:rPr>
                  </w:pPr>
                  <w:r>
                    <w:rPr>
                      <w:rFonts w:hint="default" w:ascii="Times New Roman" w:hAnsi="Times New Roman" w:eastAsia="宋体" w:cs="var(--dsw-font-markdown-table)"/>
                      <w:color w:val="auto"/>
                      <w:kern w:val="0"/>
                      <w:sz w:val="21"/>
                      <w:szCs w:val="24"/>
                      <w:lang w:val="en-US" w:eastAsia="zh-CN" w:bidi="ar"/>
                    </w:rPr>
                    <w:t>产生浓度（mg/m³）</w:t>
                  </w:r>
                </w:p>
              </w:tc>
              <w:tc>
                <w:tcPr>
                  <w:tcW w:w="4960" w:type="dxa"/>
                  <w:vAlign w:val="center"/>
                </w:tcPr>
                <w:p w14:paraId="3C830E42">
                  <w:pPr>
                    <w:keepNext w:val="0"/>
                    <w:keepLines w:val="0"/>
                    <w:widowControl/>
                    <w:suppressLineNumbers w:val="0"/>
                    <w:spacing w:before="0" w:beforeAutospacing="0" w:after="0" w:afterAutospacing="0"/>
                    <w:ind w:left="0" w:right="0"/>
                    <w:jc w:val="center"/>
                    <w:textAlignment w:val="center"/>
                    <w:rPr>
                      <w:rFonts w:hint="default"/>
                      <w:color w:val="auto"/>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0.231</w:t>
                  </w:r>
                </w:p>
              </w:tc>
            </w:tr>
            <w:tr w14:paraId="364C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481" w:type="dxa"/>
                  <w:vMerge w:val="continue"/>
                  <w:vAlign w:val="center"/>
                </w:tcPr>
                <w:p w14:paraId="17A705CD">
                  <w:pPr>
                    <w:keepNext w:val="0"/>
                    <w:keepLines w:val="0"/>
                    <w:suppressLineNumbers w:val="0"/>
                    <w:spacing w:before="0" w:beforeAutospacing="0" w:after="0" w:afterAutospacing="0"/>
                    <w:ind w:left="0" w:right="0"/>
                    <w:jc w:val="center"/>
                    <w:rPr>
                      <w:rFonts w:hint="default"/>
                      <w:color w:val="auto"/>
                      <w:vertAlign w:val="baseline"/>
                      <w:lang w:val="en-US" w:eastAsia="zh-CN"/>
                    </w:rPr>
                  </w:pPr>
                </w:p>
              </w:tc>
              <w:tc>
                <w:tcPr>
                  <w:tcW w:w="3479" w:type="dxa"/>
                  <w:vAlign w:val="center"/>
                </w:tcPr>
                <w:p w14:paraId="42DA847F">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color w:val="auto"/>
                    </w:rPr>
                  </w:pPr>
                  <w:r>
                    <w:rPr>
                      <w:rFonts w:hint="default" w:ascii="Times New Roman" w:hAnsi="Times New Roman" w:eastAsia="宋体" w:cs="var(--dsw-font-markdown-table)"/>
                      <w:color w:val="auto"/>
                      <w:kern w:val="0"/>
                      <w:sz w:val="21"/>
                      <w:szCs w:val="24"/>
                      <w:lang w:val="en-US" w:eastAsia="zh-CN" w:bidi="ar"/>
                    </w:rPr>
                    <w:t>排放量（t/a）</w:t>
                  </w:r>
                </w:p>
              </w:tc>
              <w:tc>
                <w:tcPr>
                  <w:tcW w:w="4960" w:type="dxa"/>
                  <w:vAlign w:val="center"/>
                </w:tcPr>
                <w:p w14:paraId="6072E05C">
                  <w:pPr>
                    <w:keepNext w:val="0"/>
                    <w:keepLines w:val="0"/>
                    <w:widowControl/>
                    <w:suppressLineNumbers w:val="0"/>
                    <w:spacing w:before="0" w:beforeAutospacing="0" w:after="0" w:afterAutospacing="0"/>
                    <w:ind w:left="0" w:right="0"/>
                    <w:jc w:val="center"/>
                    <w:textAlignment w:val="center"/>
                    <w:rPr>
                      <w:rFonts w:hint="default"/>
                      <w:b w:val="0"/>
                      <w:bCs w:val="0"/>
                      <w:color w:val="auto"/>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0.003</w:t>
                  </w:r>
                </w:p>
              </w:tc>
            </w:tr>
            <w:tr w14:paraId="6DDA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481" w:type="dxa"/>
                  <w:vMerge w:val="continue"/>
                  <w:vAlign w:val="center"/>
                </w:tcPr>
                <w:p w14:paraId="632C748F">
                  <w:pPr>
                    <w:keepNext w:val="0"/>
                    <w:keepLines w:val="0"/>
                    <w:suppressLineNumbers w:val="0"/>
                    <w:spacing w:before="0" w:beforeAutospacing="0" w:after="0" w:afterAutospacing="0"/>
                    <w:ind w:left="0" w:right="0"/>
                    <w:jc w:val="center"/>
                    <w:rPr>
                      <w:rFonts w:hint="default"/>
                      <w:color w:val="auto"/>
                      <w:vertAlign w:val="baseline"/>
                      <w:lang w:val="en-US" w:eastAsia="zh-CN"/>
                    </w:rPr>
                  </w:pPr>
                </w:p>
              </w:tc>
              <w:tc>
                <w:tcPr>
                  <w:tcW w:w="3479" w:type="dxa"/>
                  <w:vAlign w:val="center"/>
                </w:tcPr>
                <w:p w14:paraId="259B9222">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color w:val="auto"/>
                    </w:rPr>
                  </w:pPr>
                  <w:r>
                    <w:rPr>
                      <w:rFonts w:hint="default" w:ascii="Times New Roman" w:hAnsi="Times New Roman" w:eastAsia="宋体" w:cs="var(--dsw-font-markdown-table)"/>
                      <w:color w:val="auto"/>
                      <w:kern w:val="0"/>
                      <w:sz w:val="21"/>
                      <w:szCs w:val="24"/>
                      <w:lang w:val="en-US" w:eastAsia="zh-CN" w:bidi="ar"/>
                    </w:rPr>
                    <w:t>排放速率（kg/h）</w:t>
                  </w:r>
                </w:p>
              </w:tc>
              <w:tc>
                <w:tcPr>
                  <w:tcW w:w="4960" w:type="dxa"/>
                  <w:vAlign w:val="center"/>
                </w:tcPr>
                <w:p w14:paraId="6AF777FC">
                  <w:pPr>
                    <w:keepNext w:val="0"/>
                    <w:keepLines w:val="0"/>
                    <w:widowControl/>
                    <w:suppressLineNumbers w:val="0"/>
                    <w:spacing w:before="0" w:beforeAutospacing="0" w:after="0" w:afterAutospacing="0"/>
                    <w:ind w:left="0" w:right="0"/>
                    <w:jc w:val="center"/>
                    <w:textAlignment w:val="center"/>
                    <w:rPr>
                      <w:rFonts w:hint="default"/>
                      <w:b w:val="0"/>
                      <w:bCs w:val="0"/>
                      <w:color w:val="auto"/>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0.001</w:t>
                  </w:r>
                </w:p>
              </w:tc>
            </w:tr>
            <w:tr w14:paraId="66C77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481" w:type="dxa"/>
                  <w:vMerge w:val="continue"/>
                  <w:vAlign w:val="center"/>
                </w:tcPr>
                <w:p w14:paraId="3D086C73">
                  <w:pPr>
                    <w:keepNext w:val="0"/>
                    <w:keepLines w:val="0"/>
                    <w:suppressLineNumbers w:val="0"/>
                    <w:spacing w:before="0" w:beforeAutospacing="0" w:after="0" w:afterAutospacing="0"/>
                    <w:ind w:left="0" w:right="0"/>
                    <w:jc w:val="center"/>
                    <w:rPr>
                      <w:rFonts w:hint="default"/>
                      <w:color w:val="auto"/>
                      <w:vertAlign w:val="baseline"/>
                      <w:lang w:val="en-US" w:eastAsia="zh-CN"/>
                    </w:rPr>
                  </w:pPr>
                </w:p>
              </w:tc>
              <w:tc>
                <w:tcPr>
                  <w:tcW w:w="3479" w:type="dxa"/>
                  <w:vAlign w:val="center"/>
                </w:tcPr>
                <w:p w14:paraId="3F15F33B">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color w:val="auto"/>
                    </w:rPr>
                  </w:pPr>
                  <w:r>
                    <w:rPr>
                      <w:rFonts w:hint="default" w:ascii="Times New Roman" w:hAnsi="Times New Roman" w:eastAsia="宋体" w:cs="var(--dsw-font-markdown-table)"/>
                      <w:color w:val="auto"/>
                      <w:kern w:val="0"/>
                      <w:sz w:val="21"/>
                      <w:szCs w:val="24"/>
                      <w:lang w:val="en-US" w:eastAsia="zh-CN" w:bidi="ar"/>
                    </w:rPr>
                    <w:t>排放浓度（mg/m³）</w:t>
                  </w:r>
                </w:p>
              </w:tc>
              <w:tc>
                <w:tcPr>
                  <w:tcW w:w="4960" w:type="dxa"/>
                  <w:vAlign w:val="center"/>
                </w:tcPr>
                <w:p w14:paraId="45269131">
                  <w:pPr>
                    <w:keepNext w:val="0"/>
                    <w:keepLines w:val="0"/>
                    <w:widowControl/>
                    <w:suppressLineNumbers w:val="0"/>
                    <w:spacing w:before="0" w:beforeAutospacing="0" w:after="0" w:afterAutospacing="0"/>
                    <w:ind w:left="0" w:right="0"/>
                    <w:jc w:val="center"/>
                    <w:textAlignment w:val="center"/>
                    <w:rPr>
                      <w:rFonts w:hint="default"/>
                      <w:b w:val="0"/>
                      <w:bCs w:val="0"/>
                      <w:color w:val="auto"/>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0.069</w:t>
                  </w:r>
                </w:p>
              </w:tc>
            </w:tr>
            <w:tr w14:paraId="02DF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481" w:type="dxa"/>
                  <w:vMerge w:val="restart"/>
                  <w:vAlign w:val="center"/>
                </w:tcPr>
                <w:p w14:paraId="35D64842">
                  <w:pPr>
                    <w:keepNext w:val="0"/>
                    <w:keepLines w:val="0"/>
                    <w:suppressLineNumbers w:val="0"/>
                    <w:spacing w:before="0" w:beforeAutospacing="0" w:after="0" w:afterAutospacing="0"/>
                    <w:ind w:left="0" w:right="0"/>
                    <w:jc w:val="center"/>
                    <w:rPr>
                      <w:rFonts w:hint="default"/>
                      <w:color w:val="auto"/>
                      <w:vertAlign w:val="baseline"/>
                      <w:lang w:val="en-US" w:eastAsia="zh-CN"/>
                    </w:rPr>
                  </w:pPr>
                  <w:r>
                    <w:rPr>
                      <w:rFonts w:hint="eastAsia" w:ascii="Times New Roman" w:hAnsi="Times New Roman" w:eastAsia="宋体" w:cs="Times New Roman"/>
                      <w:b/>
                      <w:color w:val="auto"/>
                      <w:sz w:val="21"/>
                      <w:szCs w:val="24"/>
                      <w:vertAlign w:val="baseline"/>
                      <w:lang w:val="en-US" w:eastAsia="zh-CN"/>
                    </w:rPr>
                    <w:t>无组织</w:t>
                  </w:r>
                </w:p>
              </w:tc>
              <w:tc>
                <w:tcPr>
                  <w:tcW w:w="3479" w:type="dxa"/>
                  <w:vAlign w:val="center"/>
                </w:tcPr>
                <w:p w14:paraId="00A1FF8A">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color w:val="auto"/>
                    </w:rPr>
                  </w:pPr>
                  <w:r>
                    <w:rPr>
                      <w:rFonts w:hint="default" w:ascii="Times New Roman" w:hAnsi="Times New Roman" w:eastAsia="宋体" w:cs="var(--dsw-font-markdown-table)"/>
                      <w:color w:val="auto"/>
                      <w:kern w:val="0"/>
                      <w:sz w:val="21"/>
                      <w:szCs w:val="24"/>
                      <w:lang w:val="en-US" w:eastAsia="zh-CN" w:bidi="ar"/>
                    </w:rPr>
                    <w:t>排放量（t/a）</w:t>
                  </w:r>
                </w:p>
              </w:tc>
              <w:tc>
                <w:tcPr>
                  <w:tcW w:w="4960" w:type="dxa"/>
                  <w:vAlign w:val="center"/>
                </w:tcPr>
                <w:p w14:paraId="20E3F36D">
                  <w:pPr>
                    <w:keepNext w:val="0"/>
                    <w:keepLines w:val="0"/>
                    <w:widowControl/>
                    <w:suppressLineNumbers w:val="0"/>
                    <w:spacing w:before="0" w:beforeAutospacing="0" w:after="0" w:afterAutospacing="0"/>
                    <w:ind w:left="0" w:right="0"/>
                    <w:jc w:val="center"/>
                    <w:textAlignment w:val="center"/>
                    <w:rPr>
                      <w:rFonts w:hint="default"/>
                      <w:color w:val="auto"/>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0.026</w:t>
                  </w:r>
                </w:p>
              </w:tc>
            </w:tr>
            <w:tr w14:paraId="4701B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481" w:type="dxa"/>
                  <w:vMerge w:val="continue"/>
                  <w:vAlign w:val="center"/>
                </w:tcPr>
                <w:p w14:paraId="42F1C313">
                  <w:pPr>
                    <w:keepNext w:val="0"/>
                    <w:keepLines w:val="0"/>
                    <w:suppressLineNumbers w:val="0"/>
                    <w:spacing w:before="0" w:beforeAutospacing="0" w:after="0" w:afterAutospacing="0"/>
                    <w:ind w:left="0" w:right="0"/>
                    <w:jc w:val="center"/>
                    <w:rPr>
                      <w:rFonts w:hint="default"/>
                      <w:color w:val="auto"/>
                      <w:vertAlign w:val="baseline"/>
                      <w:lang w:val="en-US" w:eastAsia="zh-CN"/>
                    </w:rPr>
                  </w:pPr>
                </w:p>
              </w:tc>
              <w:tc>
                <w:tcPr>
                  <w:tcW w:w="3479" w:type="dxa"/>
                  <w:vAlign w:val="center"/>
                </w:tcPr>
                <w:p w14:paraId="47247A72">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color w:val="auto"/>
                    </w:rPr>
                  </w:pPr>
                  <w:r>
                    <w:rPr>
                      <w:rFonts w:hint="default" w:ascii="Times New Roman" w:hAnsi="Times New Roman" w:eastAsia="宋体" w:cs="var(--dsw-font-markdown-table)"/>
                      <w:color w:val="auto"/>
                      <w:kern w:val="0"/>
                      <w:sz w:val="21"/>
                      <w:szCs w:val="24"/>
                      <w:lang w:val="en-US" w:eastAsia="zh-CN" w:bidi="ar"/>
                    </w:rPr>
                    <w:t>排放速率（kg/h）</w:t>
                  </w:r>
                </w:p>
              </w:tc>
              <w:tc>
                <w:tcPr>
                  <w:tcW w:w="4960" w:type="dxa"/>
                  <w:vAlign w:val="center"/>
                </w:tcPr>
                <w:p w14:paraId="04BCC7A2">
                  <w:pPr>
                    <w:keepNext w:val="0"/>
                    <w:keepLines w:val="0"/>
                    <w:widowControl/>
                    <w:suppressLineNumbers w:val="0"/>
                    <w:spacing w:before="0" w:beforeAutospacing="0" w:after="0" w:afterAutospacing="0"/>
                    <w:ind w:left="0" w:right="0"/>
                    <w:jc w:val="center"/>
                    <w:textAlignment w:val="center"/>
                    <w:rPr>
                      <w:rFonts w:hint="default"/>
                      <w:color w:val="auto"/>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0.011</w:t>
                  </w:r>
                </w:p>
              </w:tc>
            </w:tr>
            <w:tr w14:paraId="138E3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4960" w:type="dxa"/>
                  <w:gridSpan w:val="2"/>
                  <w:vAlign w:val="center"/>
                </w:tcPr>
                <w:p w14:paraId="35CF1E80">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color w:val="auto"/>
                      <w:vertAlign w:val="baseline"/>
                      <w:lang w:val="en-US" w:eastAsia="zh-CN"/>
                    </w:rPr>
                  </w:pPr>
                  <w:r>
                    <w:rPr>
                      <w:rFonts w:hint="default" w:ascii="Times New Roman" w:hAnsi="Times New Roman" w:eastAsia="宋体" w:cs="var(--dsw-font-markdown-table)"/>
                      <w:color w:val="auto"/>
                      <w:kern w:val="0"/>
                      <w:sz w:val="21"/>
                      <w:szCs w:val="24"/>
                      <w:lang w:val="en-US" w:eastAsia="zh-CN" w:bidi="ar"/>
                    </w:rPr>
                    <w:t>总抽风量（m³/h）</w:t>
                  </w:r>
                </w:p>
              </w:tc>
              <w:tc>
                <w:tcPr>
                  <w:tcW w:w="4960" w:type="dxa"/>
                  <w:vAlign w:val="center"/>
                </w:tcPr>
                <w:p w14:paraId="03524E33">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color w:val="auto"/>
                      <w:vertAlign w:val="baseline"/>
                      <w:lang w:val="en-US" w:eastAsia="zh-CN"/>
                    </w:rPr>
                  </w:pPr>
                  <w:r>
                    <w:rPr>
                      <w:rFonts w:hint="eastAsia" w:ascii="Times New Roman" w:hAnsi="Times New Roman" w:eastAsia="宋体" w:cs="var(--dsw-font-markdown-table)"/>
                      <w:color w:val="auto"/>
                      <w:kern w:val="0"/>
                      <w:sz w:val="21"/>
                      <w:szCs w:val="24"/>
                      <w:lang w:val="en-US" w:eastAsia="zh-CN" w:bidi="ar"/>
                    </w:rPr>
                    <w:t>20000</w:t>
                  </w:r>
                </w:p>
              </w:tc>
            </w:tr>
            <w:tr w14:paraId="04D7B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4960" w:type="dxa"/>
                  <w:gridSpan w:val="2"/>
                  <w:vAlign w:val="center"/>
                </w:tcPr>
                <w:p w14:paraId="3CE54B02">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color w:val="auto"/>
                      <w:vertAlign w:val="baseline"/>
                      <w:lang w:val="en-US" w:eastAsia="zh-CN"/>
                    </w:rPr>
                  </w:pPr>
                  <w:r>
                    <w:rPr>
                      <w:rFonts w:hint="default" w:ascii="Times New Roman" w:hAnsi="Times New Roman" w:eastAsia="宋体" w:cs="var(--dsw-font-markdown-table)"/>
                      <w:color w:val="auto"/>
                      <w:kern w:val="0"/>
                      <w:sz w:val="21"/>
                      <w:szCs w:val="24"/>
                      <w:lang w:val="en-US" w:eastAsia="zh-CN" w:bidi="ar"/>
                    </w:rPr>
                    <w:t>工作时间（h/a）</w:t>
                  </w:r>
                </w:p>
              </w:tc>
              <w:tc>
                <w:tcPr>
                  <w:tcW w:w="4960" w:type="dxa"/>
                  <w:vAlign w:val="center"/>
                </w:tcPr>
                <w:p w14:paraId="02A4264A">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color w:val="auto"/>
                      <w:vertAlign w:val="baseline"/>
                      <w:lang w:val="en-US" w:eastAsia="zh-CN"/>
                    </w:rPr>
                  </w:pPr>
                  <w:r>
                    <w:rPr>
                      <w:rFonts w:hint="eastAsia" w:ascii="Times New Roman" w:hAnsi="Times New Roman" w:eastAsia="宋体" w:cs="var(--dsw-font-markdown-table)"/>
                      <w:color w:val="auto"/>
                      <w:kern w:val="0"/>
                      <w:sz w:val="21"/>
                      <w:szCs w:val="24"/>
                      <w:lang w:val="en-US" w:eastAsia="zh-CN" w:bidi="ar"/>
                    </w:rPr>
                    <w:t>2400</w:t>
                  </w:r>
                </w:p>
              </w:tc>
            </w:tr>
            <w:tr w14:paraId="2BC90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20" w:type="dxa"/>
                  <w:gridSpan w:val="3"/>
                  <w:vAlign w:val="center"/>
                </w:tcPr>
                <w:p w14:paraId="25A37D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default" w:ascii="Times New Roman" w:hAnsi="Times New Roman" w:eastAsia="宋体" w:cs="var(--dsw-font-markdown-table)"/>
                      <w:color w:val="auto"/>
                      <w:kern w:val="0"/>
                      <w:sz w:val="21"/>
                      <w:szCs w:val="24"/>
                      <w:lang w:val="en-US" w:eastAsia="zh-CN" w:bidi="ar"/>
                    </w:rPr>
                  </w:pPr>
                  <w:r>
                    <w:rPr>
                      <w:rFonts w:hint="eastAsia" w:ascii="Times New Roman" w:hAnsi="Times New Roman" w:eastAsia="宋体" w:cs="var(--dsw-font-markdown-base)"/>
                      <w:i w:val="0"/>
                      <w:iCs w:val="0"/>
                      <w:caps w:val="0"/>
                      <w:color w:val="auto"/>
                      <w:spacing w:val="0"/>
                      <w:sz w:val="21"/>
                      <w:szCs w:val="21"/>
                      <w:shd w:val="clear" w:fill="FFFFFF"/>
                      <w:lang w:val="en-US" w:eastAsia="zh-CN"/>
                    </w:rPr>
                    <w:t>注：</w:t>
                  </w:r>
                  <w:r>
                    <w:rPr>
                      <w:rFonts w:hint="default" w:ascii="Times New Roman" w:hAnsi="Times New Roman" w:eastAsia="宋体" w:cs="var(--dsw-font-markdown-base)"/>
                      <w:i w:val="0"/>
                      <w:iCs w:val="0"/>
                      <w:caps w:val="0"/>
                      <w:color w:val="auto"/>
                      <w:spacing w:val="0"/>
                      <w:sz w:val="21"/>
                      <w:szCs w:val="21"/>
                      <w:shd w:val="clear" w:fill="FFFFFF"/>
                      <w:lang w:val="en-US" w:eastAsia="zh-CN"/>
                    </w:rPr>
                    <w:t>刷处理剂、</w:t>
                  </w:r>
                  <w:r>
                    <w:rPr>
                      <w:rFonts w:hint="eastAsia" w:cs="var(--dsw-font-markdown-base)"/>
                      <w:i w:val="0"/>
                      <w:iCs w:val="0"/>
                      <w:caps w:val="0"/>
                      <w:color w:val="auto"/>
                      <w:spacing w:val="0"/>
                      <w:sz w:val="21"/>
                      <w:szCs w:val="21"/>
                      <w:shd w:val="clear" w:fill="FFFFFF"/>
                      <w:lang w:val="en-US" w:eastAsia="zh-CN"/>
                    </w:rPr>
                    <w:t>清洁、</w:t>
                  </w:r>
                  <w:r>
                    <w:rPr>
                      <w:rFonts w:hint="default" w:ascii="Times New Roman" w:hAnsi="Times New Roman" w:eastAsia="宋体" w:cs="var(--dsw-font-markdown-base)"/>
                      <w:i w:val="0"/>
                      <w:iCs w:val="0"/>
                      <w:caps w:val="0"/>
                      <w:color w:val="auto"/>
                      <w:spacing w:val="0"/>
                      <w:sz w:val="21"/>
                      <w:szCs w:val="21"/>
                      <w:shd w:val="clear" w:fill="FFFFFF"/>
                      <w:lang w:val="en-US" w:eastAsia="zh-CN"/>
                    </w:rPr>
                    <w:t>刷胶</w:t>
                  </w:r>
                  <w:r>
                    <w:rPr>
                      <w:rFonts w:hint="eastAsia" w:ascii="Times New Roman" w:hAnsi="Times New Roman" w:eastAsia="宋体" w:cs="var(--dsw-font-markdown-base)"/>
                      <w:i w:val="0"/>
                      <w:iCs w:val="0"/>
                      <w:caps w:val="0"/>
                      <w:color w:val="auto"/>
                      <w:spacing w:val="0"/>
                      <w:sz w:val="21"/>
                      <w:szCs w:val="21"/>
                      <w:shd w:val="clear" w:fill="FFFFFF"/>
                      <w:lang w:val="en-US" w:eastAsia="zh-CN"/>
                    </w:rPr>
                    <w:t>工序合计产生0.2</w:t>
                  </w:r>
                  <w:r>
                    <w:rPr>
                      <w:rFonts w:hint="eastAsia" w:cs="var(--dsw-font-markdown-base)"/>
                      <w:i w:val="0"/>
                      <w:iCs w:val="0"/>
                      <w:caps w:val="0"/>
                      <w:color w:val="auto"/>
                      <w:spacing w:val="0"/>
                      <w:sz w:val="21"/>
                      <w:szCs w:val="21"/>
                      <w:shd w:val="clear" w:fill="FFFFFF"/>
                      <w:lang w:val="en-US" w:eastAsia="zh-CN"/>
                    </w:rPr>
                    <w:t>22</w:t>
                  </w:r>
                  <w:r>
                    <w:rPr>
                      <w:rFonts w:hint="eastAsia" w:ascii="Times New Roman" w:hAnsi="Times New Roman" w:eastAsia="宋体" w:cs="var(--dsw-font-markdown-base)"/>
                      <w:i w:val="0"/>
                      <w:iCs w:val="0"/>
                      <w:caps w:val="0"/>
                      <w:color w:val="auto"/>
                      <w:spacing w:val="0"/>
                      <w:sz w:val="21"/>
                      <w:szCs w:val="21"/>
                      <w:shd w:val="clear" w:fill="FFFFFF"/>
                      <w:lang w:val="en-US" w:eastAsia="zh-CN"/>
                    </w:rPr>
                    <w:t>t/a有机废气，则单套处理设施收集挥发性有机物（非甲烷总烃、总</w:t>
                  </w:r>
                  <w:r>
                    <w:rPr>
                      <w:rFonts w:hint="default" w:ascii="Times New Roman" w:hAnsi="Times New Roman" w:eastAsia="宋体" w:cs="var(--dsw-font-markdown-base)"/>
                      <w:i w:val="0"/>
                      <w:iCs w:val="0"/>
                      <w:caps w:val="0"/>
                      <w:color w:val="auto"/>
                      <w:spacing w:val="0"/>
                      <w:sz w:val="21"/>
                      <w:szCs w:val="21"/>
                      <w:shd w:val="clear" w:fill="FFFFFF"/>
                      <w:lang w:val="en-US" w:eastAsia="zh-CN"/>
                    </w:rPr>
                    <w:t>VOCs</w:t>
                  </w:r>
                  <w:r>
                    <w:rPr>
                      <w:rFonts w:hint="eastAsia" w:ascii="Times New Roman" w:hAnsi="Times New Roman" w:eastAsia="宋体" w:cs="var(--dsw-font-markdown-base)"/>
                      <w:i w:val="0"/>
                      <w:iCs w:val="0"/>
                      <w:caps w:val="0"/>
                      <w:color w:val="auto"/>
                      <w:spacing w:val="0"/>
                      <w:sz w:val="21"/>
                      <w:szCs w:val="21"/>
                      <w:shd w:val="clear" w:fill="FFFFFF"/>
                      <w:lang w:val="en-US" w:eastAsia="zh-CN"/>
                    </w:rPr>
                    <w:t>）量为0.03</w:t>
                  </w:r>
                  <w:r>
                    <w:rPr>
                      <w:rFonts w:hint="eastAsia" w:cs="var(--dsw-font-markdown-base)"/>
                      <w:i w:val="0"/>
                      <w:iCs w:val="0"/>
                      <w:caps w:val="0"/>
                      <w:color w:val="auto"/>
                      <w:spacing w:val="0"/>
                      <w:sz w:val="21"/>
                      <w:szCs w:val="21"/>
                      <w:shd w:val="clear" w:fill="FFFFFF"/>
                      <w:lang w:val="en-US" w:eastAsia="zh-CN"/>
                    </w:rPr>
                    <w:t>7</w:t>
                  </w:r>
                  <w:r>
                    <w:rPr>
                      <w:rFonts w:hint="eastAsia" w:ascii="Times New Roman" w:hAnsi="Times New Roman" w:eastAsia="宋体" w:cs="var(--dsw-font-markdown-base)"/>
                      <w:i w:val="0"/>
                      <w:iCs w:val="0"/>
                      <w:caps w:val="0"/>
                      <w:color w:val="auto"/>
                      <w:spacing w:val="0"/>
                      <w:sz w:val="21"/>
                      <w:szCs w:val="21"/>
                      <w:shd w:val="clear" w:fill="FFFFFF"/>
                      <w:lang w:val="en-US" w:eastAsia="zh-CN"/>
                    </w:rPr>
                    <w:t>t/a，则</w:t>
                  </w:r>
                  <w:r>
                    <w:rPr>
                      <w:rFonts w:hint="eastAsia" w:cs="var(--dsw-font-markdown-base)"/>
                      <w:i w:val="0"/>
                      <w:iCs w:val="0"/>
                      <w:caps w:val="0"/>
                      <w:color w:val="auto"/>
                      <w:spacing w:val="0"/>
                      <w:sz w:val="21"/>
                      <w:szCs w:val="21"/>
                      <w:shd w:val="clear" w:fill="FFFFFF"/>
                      <w:lang w:val="en-US" w:eastAsia="zh-CN"/>
                    </w:rPr>
                    <w:t>G2~G7</w:t>
                  </w:r>
                  <w:r>
                    <w:rPr>
                      <w:rFonts w:hint="eastAsia" w:ascii="Times New Roman" w:hAnsi="Times New Roman" w:eastAsia="宋体" w:cs="var(--dsw-font-markdown-base)"/>
                      <w:i w:val="0"/>
                      <w:iCs w:val="0"/>
                      <w:caps w:val="0"/>
                      <w:color w:val="auto"/>
                      <w:spacing w:val="0"/>
                      <w:sz w:val="21"/>
                      <w:szCs w:val="21"/>
                      <w:shd w:val="clear" w:fill="FFFFFF"/>
                      <w:lang w:val="en-US" w:eastAsia="zh-CN"/>
                    </w:rPr>
                    <w:t>合计排放挥发性有机物（非甲烷总烃、总</w:t>
                  </w:r>
                  <w:r>
                    <w:rPr>
                      <w:rFonts w:hint="default" w:ascii="Times New Roman" w:hAnsi="Times New Roman" w:eastAsia="宋体" w:cs="var(--dsw-font-markdown-base)"/>
                      <w:i w:val="0"/>
                      <w:iCs w:val="0"/>
                      <w:caps w:val="0"/>
                      <w:color w:val="auto"/>
                      <w:spacing w:val="0"/>
                      <w:sz w:val="21"/>
                      <w:szCs w:val="21"/>
                      <w:shd w:val="clear" w:fill="FFFFFF"/>
                      <w:lang w:val="en-US" w:eastAsia="zh-CN"/>
                    </w:rPr>
                    <w:t>VOCs</w:t>
                  </w:r>
                  <w:r>
                    <w:rPr>
                      <w:rFonts w:hint="eastAsia" w:ascii="Times New Roman" w:hAnsi="Times New Roman" w:eastAsia="宋体" w:cs="var(--dsw-font-markdown-base)"/>
                      <w:i w:val="0"/>
                      <w:iCs w:val="0"/>
                      <w:caps w:val="0"/>
                      <w:color w:val="auto"/>
                      <w:spacing w:val="0"/>
                      <w:sz w:val="21"/>
                      <w:szCs w:val="21"/>
                      <w:shd w:val="clear" w:fill="FFFFFF"/>
                      <w:lang w:val="en-US" w:eastAsia="zh-CN"/>
                    </w:rPr>
                    <w:t>）量为0.01</w:t>
                  </w:r>
                  <w:r>
                    <w:rPr>
                      <w:rFonts w:hint="eastAsia" w:cs="var(--dsw-font-markdown-base)"/>
                      <w:i w:val="0"/>
                      <w:iCs w:val="0"/>
                      <w:caps w:val="0"/>
                      <w:color w:val="auto"/>
                      <w:spacing w:val="0"/>
                      <w:sz w:val="21"/>
                      <w:szCs w:val="21"/>
                      <w:shd w:val="clear" w:fill="FFFFFF"/>
                      <w:lang w:val="en-US" w:eastAsia="zh-CN"/>
                    </w:rPr>
                    <w:t>8</w:t>
                  </w:r>
                  <w:r>
                    <w:rPr>
                      <w:rFonts w:hint="eastAsia" w:ascii="Times New Roman" w:hAnsi="Times New Roman" w:eastAsia="宋体" w:cs="var(--dsw-font-markdown-base)"/>
                      <w:i w:val="0"/>
                      <w:iCs w:val="0"/>
                      <w:caps w:val="0"/>
                      <w:color w:val="auto"/>
                      <w:spacing w:val="0"/>
                      <w:sz w:val="21"/>
                      <w:szCs w:val="21"/>
                      <w:shd w:val="clear" w:fill="FFFFFF"/>
                      <w:lang w:val="en-US" w:eastAsia="zh-CN"/>
                    </w:rPr>
                    <w:t>t/a，无组织排放0.15</w:t>
                  </w:r>
                  <w:r>
                    <w:rPr>
                      <w:rFonts w:hint="eastAsia" w:cs="var(--dsw-font-markdown-base)"/>
                      <w:i w:val="0"/>
                      <w:iCs w:val="0"/>
                      <w:caps w:val="0"/>
                      <w:color w:val="auto"/>
                      <w:spacing w:val="0"/>
                      <w:sz w:val="21"/>
                      <w:szCs w:val="21"/>
                      <w:shd w:val="clear" w:fill="FFFFFF"/>
                      <w:lang w:val="en-US" w:eastAsia="zh-CN"/>
                    </w:rPr>
                    <w:t>6</w:t>
                  </w:r>
                  <w:r>
                    <w:rPr>
                      <w:rFonts w:hint="eastAsia" w:ascii="Times New Roman" w:hAnsi="Times New Roman" w:eastAsia="宋体" w:cs="var(--dsw-font-markdown-base)"/>
                      <w:i w:val="0"/>
                      <w:iCs w:val="0"/>
                      <w:caps w:val="0"/>
                      <w:color w:val="auto"/>
                      <w:spacing w:val="0"/>
                      <w:sz w:val="21"/>
                      <w:szCs w:val="21"/>
                      <w:shd w:val="clear" w:fill="FFFFFF"/>
                      <w:lang w:val="en-US" w:eastAsia="zh-CN"/>
                    </w:rPr>
                    <w:t>t/a</w:t>
                  </w:r>
                </w:p>
              </w:tc>
            </w:tr>
          </w:tbl>
          <w:p w14:paraId="451CFAB9">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通过采取上述治理措施，成品组装工序（刷处理剂、刷胶）</w:t>
            </w:r>
            <w:r>
              <w:rPr>
                <w:rFonts w:hint="eastAsia" w:ascii="Times New Roman" w:hAnsi="Times New Roman" w:cs="Segoe UI"/>
                <w:i w:val="0"/>
                <w:iCs w:val="0"/>
                <w:caps w:val="0"/>
                <w:color w:val="auto"/>
                <w:spacing w:val="0"/>
                <w:sz w:val="21"/>
                <w:szCs w:val="24"/>
                <w:shd w:val="clear" w:fill="FFFFFF"/>
                <w:lang w:val="en-US" w:eastAsia="zh-CN"/>
              </w:rPr>
              <w:t>废气经集气罩收集后经二级活性炭处理后经排气筒</w:t>
            </w:r>
            <w:r>
              <w:rPr>
                <w:rFonts w:hint="eastAsia" w:ascii="Times New Roman" w:hAnsi="Times New Roman" w:cs="var(--dsw-font-markdown-table)"/>
                <w:color w:val="auto"/>
                <w:kern w:val="0"/>
                <w:sz w:val="21"/>
                <w:szCs w:val="24"/>
                <w:lang w:val="en-US" w:eastAsia="zh-CN" w:bidi="ar"/>
              </w:rPr>
              <w:t>G2~G7排放，排放的污染物</w:t>
            </w:r>
            <w:r>
              <w:rPr>
                <w:rFonts w:hint="default" w:ascii="Times New Roman" w:hAnsi="Times New Roman" w:eastAsia="宋体" w:cs="Segoe UI"/>
                <w:i w:val="0"/>
                <w:iCs w:val="0"/>
                <w:caps w:val="0"/>
                <w:color w:val="auto"/>
                <w:spacing w:val="0"/>
                <w:sz w:val="21"/>
                <w:szCs w:val="24"/>
                <w:shd w:val="clear" w:fill="FFFFFF"/>
              </w:rPr>
              <w:t>非甲烷总烃有组织排放满足广东省《固定污染源挥发性有机物综合排放标准》（DB44/2367</w:t>
            </w:r>
            <w:r>
              <w:rPr>
                <w:rFonts w:hint="eastAsia" w:ascii="Times New Roman" w:hAnsi="Times New Roman" w:cs="Segoe UI"/>
                <w:i w:val="0"/>
                <w:iCs w:val="0"/>
                <w:caps w:val="0"/>
                <w:color w:val="auto"/>
                <w:spacing w:val="0"/>
                <w:sz w:val="21"/>
                <w:szCs w:val="24"/>
                <w:shd w:val="clear" w:fill="FFFFFF"/>
                <w:lang w:val="en-US" w:eastAsia="zh-CN"/>
              </w:rPr>
              <w:t>-</w:t>
            </w:r>
            <w:r>
              <w:rPr>
                <w:rFonts w:hint="default" w:ascii="Times New Roman" w:hAnsi="Times New Roman" w:eastAsia="宋体" w:cs="Segoe UI"/>
                <w:i w:val="0"/>
                <w:iCs w:val="0"/>
                <w:caps w:val="0"/>
                <w:color w:val="auto"/>
                <w:spacing w:val="0"/>
                <w:sz w:val="21"/>
                <w:szCs w:val="24"/>
                <w:shd w:val="clear" w:fill="FFFFFF"/>
              </w:rPr>
              <w:t>2022）表1挥发性有机物排放限值；总VOCs有组织排放可满足广东省《制鞋行业挥发性有机化合物排放标准》（DB44/817</w:t>
            </w:r>
            <w:r>
              <w:rPr>
                <w:rFonts w:hint="eastAsia" w:ascii="Times New Roman" w:hAnsi="Times New Roman" w:cs="Segoe UI"/>
                <w:i w:val="0"/>
                <w:iCs w:val="0"/>
                <w:caps w:val="0"/>
                <w:color w:val="auto"/>
                <w:spacing w:val="0"/>
                <w:sz w:val="21"/>
                <w:szCs w:val="24"/>
                <w:shd w:val="clear" w:fill="FFFFFF"/>
                <w:lang w:val="en-US" w:eastAsia="zh-CN"/>
              </w:rPr>
              <w:t>-</w:t>
            </w:r>
            <w:r>
              <w:rPr>
                <w:rFonts w:hint="default" w:ascii="Times New Roman" w:hAnsi="Times New Roman" w:eastAsia="宋体" w:cs="Segoe UI"/>
                <w:i w:val="0"/>
                <w:iCs w:val="0"/>
                <w:caps w:val="0"/>
                <w:color w:val="auto"/>
                <w:spacing w:val="0"/>
                <w:sz w:val="21"/>
                <w:szCs w:val="24"/>
                <w:shd w:val="clear" w:fill="FFFFFF"/>
              </w:rPr>
              <w:t>2010）表1第Ⅱ时段排放限值；臭气浓度有组织排放可满足《恶臭污染物排放标准》（GB14554</w:t>
            </w:r>
            <w:r>
              <w:rPr>
                <w:rFonts w:hint="eastAsia" w:ascii="Times New Roman" w:hAnsi="Times New Roman" w:cs="Segoe UI"/>
                <w:i w:val="0"/>
                <w:iCs w:val="0"/>
                <w:caps w:val="0"/>
                <w:color w:val="auto"/>
                <w:spacing w:val="0"/>
                <w:sz w:val="21"/>
                <w:szCs w:val="24"/>
                <w:shd w:val="clear" w:fill="FFFFFF"/>
                <w:lang w:val="en-US" w:eastAsia="zh-CN"/>
              </w:rPr>
              <w:t>-</w:t>
            </w:r>
            <w:r>
              <w:rPr>
                <w:rFonts w:hint="default" w:ascii="Times New Roman" w:hAnsi="Times New Roman" w:eastAsia="宋体" w:cs="Segoe UI"/>
                <w:i w:val="0"/>
                <w:iCs w:val="0"/>
                <w:caps w:val="0"/>
                <w:color w:val="auto"/>
                <w:spacing w:val="0"/>
                <w:sz w:val="21"/>
                <w:szCs w:val="24"/>
                <w:shd w:val="clear" w:fill="FFFFFF"/>
              </w:rPr>
              <w:t>93）表2恶臭污染物排放标准值；对周围大气环境影响不大。</w:t>
            </w:r>
          </w:p>
          <w:p w14:paraId="2C0E7E07">
            <w:pPr>
              <w:pStyle w:val="44"/>
              <w:keepNext w:val="0"/>
              <w:keepLines w:val="0"/>
              <w:widowControl/>
              <w:suppressLineNumbers w:val="0"/>
              <w:spacing w:before="0" w:beforeAutospacing="0" w:after="0" w:afterAutospacing="0" w:line="360" w:lineRule="auto"/>
              <w:ind w:left="0" w:right="0" w:firstLine="0"/>
              <w:jc w:val="both"/>
              <w:rPr>
                <w:rFonts w:hint="default" w:ascii="Times New Roman" w:hAnsi="Times New Roman" w:eastAsia="宋体" w:cs="Segoe UI"/>
                <w:b/>
                <w:bCs/>
                <w:i w:val="0"/>
                <w:iCs w:val="0"/>
                <w:caps w:val="0"/>
                <w:strike w:val="0"/>
                <w:color w:val="auto"/>
                <w:spacing w:val="0"/>
                <w:sz w:val="21"/>
                <w:szCs w:val="24"/>
                <w:u w:val="none"/>
              </w:rPr>
            </w:pPr>
            <w:r>
              <w:rPr>
                <w:rFonts w:hint="eastAsia" w:ascii="Times New Roman" w:hAnsi="Times New Roman" w:eastAsia="宋体" w:cs="Segoe UI"/>
                <w:b/>
                <w:bCs/>
                <w:i w:val="0"/>
                <w:iCs w:val="0"/>
                <w:caps w:val="0"/>
                <w:strike w:val="0"/>
                <w:color w:val="auto"/>
                <w:spacing w:val="0"/>
                <w:sz w:val="21"/>
                <w:szCs w:val="24"/>
                <w:u w:val="none"/>
                <w:lang w:val="en-US" w:eastAsia="zh-CN"/>
              </w:rPr>
              <w:t>（四）食堂油烟</w:t>
            </w:r>
          </w:p>
          <w:p w14:paraId="5A3C7041">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Segoe UI"/>
                <w:b w:val="0"/>
                <w:bCs w:val="0"/>
                <w:i w:val="0"/>
                <w:iCs w:val="0"/>
                <w:caps w:val="0"/>
                <w:color w:val="auto"/>
                <w:spacing w:val="0"/>
                <w:sz w:val="21"/>
                <w:szCs w:val="24"/>
              </w:rPr>
            </w:pPr>
            <w:r>
              <w:rPr>
                <w:rFonts w:hint="default" w:ascii="Times New Roman" w:hAnsi="Times New Roman" w:eastAsia="宋体" w:cs="Segoe UI"/>
                <w:b w:val="0"/>
                <w:bCs w:val="0"/>
                <w:i w:val="0"/>
                <w:iCs w:val="0"/>
                <w:caps w:val="0"/>
                <w:color w:val="auto"/>
                <w:spacing w:val="0"/>
                <w:sz w:val="21"/>
                <w:szCs w:val="24"/>
                <w:shd w:val="clear" w:fill="FFFFFF"/>
              </w:rPr>
              <w:t>项目劳动定员600人，其中600人在厂内用餐，依托3#宿舍楼1F设置的员工食堂提供三餐。目前居民人均日食用油用量约30g/（人·d），一般油烟挥发量占总耗油量的</w:t>
            </w:r>
            <w:r>
              <w:rPr>
                <w:rFonts w:hint="eastAsia" w:ascii="Times New Roman" w:hAnsi="Times New Roman" w:cs="Segoe UI"/>
                <w:b w:val="0"/>
                <w:bCs w:val="0"/>
                <w:i w:val="0"/>
                <w:iCs w:val="0"/>
                <w:caps w:val="0"/>
                <w:color w:val="auto"/>
                <w:spacing w:val="0"/>
                <w:sz w:val="21"/>
                <w:szCs w:val="24"/>
                <w:shd w:val="clear" w:fill="FFFFFF"/>
                <w:lang w:eastAsia="zh-CN"/>
              </w:rPr>
              <w:t>2%～4%</w:t>
            </w:r>
            <w:r>
              <w:rPr>
                <w:rFonts w:hint="default" w:ascii="Times New Roman" w:hAnsi="Times New Roman" w:eastAsia="宋体" w:cs="Segoe UI"/>
                <w:b w:val="0"/>
                <w:bCs w:val="0"/>
                <w:i w:val="0"/>
                <w:iCs w:val="0"/>
                <w:caps w:val="0"/>
                <w:color w:val="auto"/>
                <w:spacing w:val="0"/>
                <w:sz w:val="21"/>
                <w:szCs w:val="24"/>
                <w:shd w:val="clear" w:fill="FFFFFF"/>
              </w:rPr>
              <w:t>，本项目取3%进行计算。食用油用量=600人×30g/（人·d）×300d/a=5.4t/a</w:t>
            </w:r>
            <w:r>
              <w:rPr>
                <w:rFonts w:hint="eastAsia" w:ascii="Times New Roman" w:hAnsi="Times New Roman" w:eastAsia="宋体" w:cs="Segoe UI"/>
                <w:b w:val="0"/>
                <w:bCs w:val="0"/>
                <w:i w:val="0"/>
                <w:iCs w:val="0"/>
                <w:caps w:val="0"/>
                <w:color w:val="auto"/>
                <w:spacing w:val="0"/>
                <w:sz w:val="21"/>
                <w:szCs w:val="24"/>
                <w:shd w:val="clear" w:fill="FFFFFF"/>
                <w:lang w:eastAsia="zh-CN"/>
              </w:rPr>
              <w:t>，</w:t>
            </w:r>
            <w:r>
              <w:rPr>
                <w:rFonts w:hint="default" w:ascii="Times New Roman" w:hAnsi="Times New Roman" w:eastAsia="宋体" w:cs="Segoe UI"/>
                <w:b w:val="0"/>
                <w:bCs w:val="0"/>
                <w:i w:val="0"/>
                <w:iCs w:val="0"/>
                <w:caps w:val="0"/>
                <w:color w:val="auto"/>
                <w:spacing w:val="0"/>
                <w:sz w:val="21"/>
                <w:szCs w:val="24"/>
                <w:shd w:val="clear" w:fill="FFFFFF"/>
              </w:rPr>
              <w:t>油烟产生量=5.4t/a×3%=0.162t/a</w:t>
            </w:r>
            <w:r>
              <w:rPr>
                <w:rFonts w:hint="eastAsia" w:ascii="Times New Roman" w:hAnsi="Times New Roman" w:eastAsia="宋体" w:cs="Segoe UI"/>
                <w:b w:val="0"/>
                <w:bCs w:val="0"/>
                <w:i w:val="0"/>
                <w:iCs w:val="0"/>
                <w:caps w:val="0"/>
                <w:color w:val="auto"/>
                <w:spacing w:val="0"/>
                <w:sz w:val="21"/>
                <w:szCs w:val="24"/>
                <w:shd w:val="clear" w:fill="FFFFFF"/>
                <w:lang w:eastAsia="zh-CN"/>
              </w:rPr>
              <w:t>，</w:t>
            </w:r>
            <w:r>
              <w:rPr>
                <w:rFonts w:hint="default" w:ascii="Times New Roman" w:hAnsi="Times New Roman" w:eastAsia="宋体" w:cs="Segoe UI"/>
                <w:b w:val="0"/>
                <w:bCs w:val="0"/>
                <w:i w:val="0"/>
                <w:iCs w:val="0"/>
                <w:caps w:val="0"/>
                <w:color w:val="auto"/>
                <w:spacing w:val="0"/>
                <w:sz w:val="21"/>
                <w:szCs w:val="24"/>
                <w:shd w:val="clear" w:fill="FFFFFF"/>
              </w:rPr>
              <w:t>油烟废气的主要成分是动植物油遇热挥发、裂解的产物等。</w:t>
            </w:r>
          </w:p>
          <w:p w14:paraId="091E8368">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b w:val="0"/>
                <w:bCs w:val="0"/>
                <w:i w:val="0"/>
                <w:iCs w:val="0"/>
                <w:caps w:val="0"/>
                <w:color w:val="auto"/>
                <w:spacing w:val="0"/>
                <w:sz w:val="21"/>
                <w:szCs w:val="24"/>
                <w:shd w:val="clear" w:fill="FFFFFF"/>
              </w:rPr>
              <w:t>食堂厨房内设置3个基准炉头，每个基准炉头废气收集风量按3000m³/h计，则项目油烟废气收集风量约为9000m³/h。食堂油烟拟采用运水烟罩+静电油烟净化器的治理工艺处理后引至楼顶高空排放，收集效率为80%，处理效率为85%，食堂每天工作按5h计，年工作300天，则食堂油烟产排情况如下表所示：</w:t>
            </w:r>
          </w:p>
          <w:p w14:paraId="31E22982">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sz w:val="21"/>
                <w:szCs w:val="24"/>
                <w:lang w:val="en-US" w:eastAsia="zh-CN"/>
              </w:rPr>
            </w:pPr>
            <w:r>
              <w:rPr>
                <w:rFonts w:hint="default" w:ascii="Times New Roman" w:hAnsi="Times New Roman" w:eastAsia="宋体" w:cs="Times New Roman"/>
                <w:b/>
                <w:color w:val="auto"/>
                <w:sz w:val="21"/>
                <w:szCs w:val="24"/>
                <w:lang w:val="en-US" w:eastAsia="zh-CN"/>
              </w:rPr>
              <w:t>食堂油烟废气产排一览表</w:t>
            </w:r>
          </w:p>
          <w:tbl>
            <w:tblPr>
              <w:tblStyle w:val="49"/>
              <w:tblW w:w="53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2277"/>
              <w:gridCol w:w="2092"/>
            </w:tblGrid>
            <w:tr w14:paraId="5572D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47" w:type="dxa"/>
                  <w:gridSpan w:val="2"/>
                  <w:vAlign w:val="center"/>
                </w:tcPr>
                <w:p w14:paraId="2DCDF883">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排气筒编号</w:t>
                  </w:r>
                </w:p>
              </w:tc>
              <w:tc>
                <w:tcPr>
                  <w:tcW w:w="2092" w:type="dxa"/>
                  <w:vAlign w:val="center"/>
                </w:tcPr>
                <w:p w14:paraId="1FF8843D">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G5</w:t>
                  </w:r>
                </w:p>
              </w:tc>
            </w:tr>
            <w:tr w14:paraId="39CD3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47" w:type="dxa"/>
                  <w:gridSpan w:val="2"/>
                  <w:vAlign w:val="center"/>
                </w:tcPr>
                <w:p w14:paraId="31D0CE1A">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工序</w:t>
                  </w:r>
                </w:p>
              </w:tc>
              <w:tc>
                <w:tcPr>
                  <w:tcW w:w="2092" w:type="dxa"/>
                  <w:vAlign w:val="center"/>
                </w:tcPr>
                <w:p w14:paraId="17226F8F">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食堂烹饪</w:t>
                  </w:r>
                </w:p>
              </w:tc>
            </w:tr>
            <w:tr w14:paraId="0A3FF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47" w:type="dxa"/>
                  <w:gridSpan w:val="2"/>
                  <w:vAlign w:val="center"/>
                </w:tcPr>
                <w:p w14:paraId="0F8C511F">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污染物</w:t>
                  </w:r>
                </w:p>
              </w:tc>
              <w:tc>
                <w:tcPr>
                  <w:tcW w:w="2092" w:type="dxa"/>
                  <w:vAlign w:val="center"/>
                </w:tcPr>
                <w:p w14:paraId="1E9655C6">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油烟</w:t>
                  </w:r>
                </w:p>
              </w:tc>
            </w:tr>
            <w:tr w14:paraId="7A531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47" w:type="dxa"/>
                  <w:gridSpan w:val="2"/>
                  <w:vAlign w:val="center"/>
                </w:tcPr>
                <w:p w14:paraId="6AA95D55">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产生量（t/a）</w:t>
                  </w:r>
                </w:p>
              </w:tc>
              <w:tc>
                <w:tcPr>
                  <w:tcW w:w="2092" w:type="dxa"/>
                  <w:vAlign w:val="center"/>
                </w:tcPr>
                <w:p w14:paraId="55368C70">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0.162</w:t>
                  </w:r>
                </w:p>
              </w:tc>
            </w:tr>
            <w:tr w14:paraId="2DBA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70" w:type="dxa"/>
                  <w:vMerge w:val="restart"/>
                  <w:vAlign w:val="center"/>
                </w:tcPr>
                <w:p w14:paraId="70AE2EFB">
                  <w:pPr>
                    <w:keepNext w:val="0"/>
                    <w:keepLines w:val="0"/>
                    <w:suppressLineNumbers w:val="0"/>
                    <w:spacing w:before="0" w:beforeAutospacing="0" w:after="0" w:afterAutospacing="0"/>
                    <w:ind w:left="0" w:right="0"/>
                    <w:jc w:val="left"/>
                    <w:rPr>
                      <w:rFonts w:hint="default" w:ascii="Times New Roman" w:hAnsi="Times New Roman" w:eastAsia="宋体" w:cs="Times New Roman"/>
                      <w:b/>
                      <w:color w:val="auto"/>
                      <w:sz w:val="21"/>
                      <w:szCs w:val="24"/>
                      <w:vertAlign w:val="baseline"/>
                      <w:lang w:val="en-US" w:eastAsia="zh-CN"/>
                    </w:rPr>
                  </w:pPr>
                  <w:r>
                    <w:rPr>
                      <w:rFonts w:hint="eastAsia" w:ascii="Times New Roman" w:hAnsi="Times New Roman" w:eastAsia="宋体" w:cs="Times New Roman"/>
                      <w:b/>
                      <w:color w:val="auto"/>
                      <w:sz w:val="21"/>
                      <w:szCs w:val="24"/>
                      <w:vertAlign w:val="baseline"/>
                      <w:lang w:val="en-US" w:eastAsia="zh-CN"/>
                    </w:rPr>
                    <w:t>有组织</w:t>
                  </w:r>
                </w:p>
              </w:tc>
              <w:tc>
                <w:tcPr>
                  <w:tcW w:w="2277" w:type="dxa"/>
                  <w:vAlign w:val="center"/>
                </w:tcPr>
                <w:p w14:paraId="52149A33">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产生量（t/a）</w:t>
                  </w:r>
                </w:p>
              </w:tc>
              <w:tc>
                <w:tcPr>
                  <w:tcW w:w="2092" w:type="dxa"/>
                  <w:vAlign w:val="center"/>
                </w:tcPr>
                <w:p w14:paraId="4DFCB45C">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0.130</w:t>
                  </w:r>
                </w:p>
              </w:tc>
            </w:tr>
            <w:tr w14:paraId="7BD02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70" w:type="dxa"/>
                  <w:vMerge w:val="continue"/>
                  <w:vAlign w:val="center"/>
                </w:tcPr>
                <w:p w14:paraId="29CBE81E">
                  <w:pPr>
                    <w:keepNext w:val="0"/>
                    <w:keepLines w:val="0"/>
                    <w:suppressLineNumbers w:val="0"/>
                    <w:spacing w:before="0" w:beforeAutospacing="0" w:after="0" w:afterAutospacing="0"/>
                    <w:ind w:left="0" w:right="0"/>
                    <w:jc w:val="left"/>
                    <w:rPr>
                      <w:rFonts w:hint="default" w:ascii="Times New Roman" w:hAnsi="Times New Roman" w:eastAsia="宋体" w:cs="Times New Roman"/>
                      <w:b/>
                      <w:color w:val="auto"/>
                      <w:sz w:val="21"/>
                      <w:szCs w:val="24"/>
                      <w:vertAlign w:val="baseline"/>
                      <w:lang w:val="en-US" w:eastAsia="zh-CN"/>
                    </w:rPr>
                  </w:pPr>
                </w:p>
              </w:tc>
              <w:tc>
                <w:tcPr>
                  <w:tcW w:w="2277" w:type="dxa"/>
                  <w:vAlign w:val="center"/>
                </w:tcPr>
                <w:p w14:paraId="3F1C6EF9">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产生速率（kg/h）</w:t>
                  </w:r>
                </w:p>
              </w:tc>
              <w:tc>
                <w:tcPr>
                  <w:tcW w:w="2092" w:type="dxa"/>
                  <w:vAlign w:val="center"/>
                </w:tcPr>
                <w:p w14:paraId="234CD9B7">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0.087</w:t>
                  </w:r>
                </w:p>
              </w:tc>
            </w:tr>
            <w:tr w14:paraId="1F24F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70" w:type="dxa"/>
                  <w:vMerge w:val="continue"/>
                  <w:vAlign w:val="center"/>
                </w:tcPr>
                <w:p w14:paraId="6701F25F">
                  <w:pPr>
                    <w:keepNext w:val="0"/>
                    <w:keepLines w:val="0"/>
                    <w:suppressLineNumbers w:val="0"/>
                    <w:spacing w:before="0" w:beforeAutospacing="0" w:after="0" w:afterAutospacing="0"/>
                    <w:ind w:left="0" w:right="0"/>
                    <w:jc w:val="left"/>
                    <w:rPr>
                      <w:rFonts w:hint="default" w:ascii="Times New Roman" w:hAnsi="Times New Roman" w:eastAsia="宋体" w:cs="Times New Roman"/>
                      <w:b/>
                      <w:color w:val="auto"/>
                      <w:sz w:val="21"/>
                      <w:szCs w:val="24"/>
                      <w:vertAlign w:val="baseline"/>
                      <w:lang w:val="en-US" w:eastAsia="zh-CN"/>
                    </w:rPr>
                  </w:pPr>
                </w:p>
              </w:tc>
              <w:tc>
                <w:tcPr>
                  <w:tcW w:w="2277" w:type="dxa"/>
                  <w:vAlign w:val="center"/>
                </w:tcPr>
                <w:p w14:paraId="3C48401F">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产生浓度（mg/m³）</w:t>
                  </w:r>
                </w:p>
              </w:tc>
              <w:tc>
                <w:tcPr>
                  <w:tcW w:w="2092" w:type="dxa"/>
                  <w:vAlign w:val="center"/>
                </w:tcPr>
                <w:p w14:paraId="2BD40C33">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9.667</w:t>
                  </w:r>
                </w:p>
              </w:tc>
            </w:tr>
            <w:tr w14:paraId="47B82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70" w:type="dxa"/>
                  <w:vMerge w:val="continue"/>
                  <w:vAlign w:val="center"/>
                </w:tcPr>
                <w:p w14:paraId="5A17BCEA">
                  <w:pPr>
                    <w:keepNext w:val="0"/>
                    <w:keepLines w:val="0"/>
                    <w:suppressLineNumbers w:val="0"/>
                    <w:spacing w:before="0" w:beforeAutospacing="0" w:after="0" w:afterAutospacing="0"/>
                    <w:ind w:left="0" w:right="0"/>
                    <w:jc w:val="left"/>
                    <w:rPr>
                      <w:rFonts w:hint="default" w:ascii="Times New Roman" w:hAnsi="Times New Roman" w:eastAsia="宋体" w:cs="Times New Roman"/>
                      <w:b/>
                      <w:color w:val="auto"/>
                      <w:sz w:val="21"/>
                      <w:szCs w:val="24"/>
                      <w:vertAlign w:val="baseline"/>
                      <w:lang w:val="en-US" w:eastAsia="zh-CN"/>
                    </w:rPr>
                  </w:pPr>
                </w:p>
              </w:tc>
              <w:tc>
                <w:tcPr>
                  <w:tcW w:w="2277" w:type="dxa"/>
                  <w:vAlign w:val="center"/>
                </w:tcPr>
                <w:p w14:paraId="53EF390A">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排放量（t/a）</w:t>
                  </w:r>
                </w:p>
              </w:tc>
              <w:tc>
                <w:tcPr>
                  <w:tcW w:w="2092" w:type="dxa"/>
                  <w:vAlign w:val="center"/>
                </w:tcPr>
                <w:p w14:paraId="38275921">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0.020</w:t>
                  </w:r>
                </w:p>
              </w:tc>
            </w:tr>
            <w:tr w14:paraId="6D8C2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70" w:type="dxa"/>
                  <w:vMerge w:val="continue"/>
                  <w:vAlign w:val="center"/>
                </w:tcPr>
                <w:p w14:paraId="78976330">
                  <w:pPr>
                    <w:keepNext w:val="0"/>
                    <w:keepLines w:val="0"/>
                    <w:suppressLineNumbers w:val="0"/>
                    <w:spacing w:before="0" w:beforeAutospacing="0" w:after="0" w:afterAutospacing="0"/>
                    <w:ind w:left="0" w:right="0"/>
                    <w:jc w:val="left"/>
                    <w:rPr>
                      <w:rFonts w:hint="default" w:ascii="Times New Roman" w:hAnsi="Times New Roman" w:eastAsia="宋体" w:cs="Times New Roman"/>
                      <w:b/>
                      <w:color w:val="auto"/>
                      <w:sz w:val="21"/>
                      <w:szCs w:val="24"/>
                      <w:vertAlign w:val="baseline"/>
                      <w:lang w:val="en-US" w:eastAsia="zh-CN"/>
                    </w:rPr>
                  </w:pPr>
                </w:p>
              </w:tc>
              <w:tc>
                <w:tcPr>
                  <w:tcW w:w="2277" w:type="dxa"/>
                  <w:vAlign w:val="center"/>
                </w:tcPr>
                <w:p w14:paraId="4C14A7D6">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排放速率（kg/h）</w:t>
                  </w:r>
                </w:p>
              </w:tc>
              <w:tc>
                <w:tcPr>
                  <w:tcW w:w="2092" w:type="dxa"/>
                  <w:vAlign w:val="center"/>
                </w:tcPr>
                <w:p w14:paraId="381FF346">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0.013</w:t>
                  </w:r>
                </w:p>
              </w:tc>
            </w:tr>
            <w:tr w14:paraId="7A603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70" w:type="dxa"/>
                  <w:vMerge w:val="continue"/>
                  <w:vAlign w:val="center"/>
                </w:tcPr>
                <w:p w14:paraId="593F5703">
                  <w:pPr>
                    <w:keepNext w:val="0"/>
                    <w:keepLines w:val="0"/>
                    <w:suppressLineNumbers w:val="0"/>
                    <w:spacing w:before="0" w:beforeAutospacing="0" w:after="0" w:afterAutospacing="0"/>
                    <w:ind w:left="0" w:right="0"/>
                    <w:jc w:val="left"/>
                    <w:rPr>
                      <w:rFonts w:hint="default" w:ascii="Times New Roman" w:hAnsi="Times New Roman" w:eastAsia="宋体" w:cs="Times New Roman"/>
                      <w:b/>
                      <w:color w:val="auto"/>
                      <w:sz w:val="21"/>
                      <w:szCs w:val="24"/>
                      <w:vertAlign w:val="baseline"/>
                      <w:lang w:val="en-US" w:eastAsia="zh-CN"/>
                    </w:rPr>
                  </w:pPr>
                </w:p>
              </w:tc>
              <w:tc>
                <w:tcPr>
                  <w:tcW w:w="2277" w:type="dxa"/>
                  <w:vAlign w:val="center"/>
                </w:tcPr>
                <w:p w14:paraId="400B0BDC">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排放浓度（mg/m³）</w:t>
                  </w:r>
                </w:p>
              </w:tc>
              <w:tc>
                <w:tcPr>
                  <w:tcW w:w="2092" w:type="dxa"/>
                  <w:vAlign w:val="center"/>
                </w:tcPr>
                <w:p w14:paraId="7F79937E">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1.444</w:t>
                  </w:r>
                </w:p>
              </w:tc>
            </w:tr>
            <w:tr w14:paraId="24A7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70" w:type="dxa"/>
                  <w:vMerge w:val="restart"/>
                  <w:vAlign w:val="center"/>
                </w:tcPr>
                <w:p w14:paraId="0BBE1AA2">
                  <w:pPr>
                    <w:keepNext w:val="0"/>
                    <w:keepLines w:val="0"/>
                    <w:suppressLineNumbers w:val="0"/>
                    <w:spacing w:before="0" w:beforeAutospacing="0" w:after="0" w:afterAutospacing="0"/>
                    <w:ind w:left="0" w:right="0"/>
                    <w:jc w:val="left"/>
                    <w:rPr>
                      <w:rFonts w:hint="default" w:ascii="Times New Roman" w:hAnsi="Times New Roman" w:eastAsia="宋体" w:cs="Times New Roman"/>
                      <w:b/>
                      <w:color w:val="auto"/>
                      <w:sz w:val="21"/>
                      <w:szCs w:val="24"/>
                      <w:vertAlign w:val="baseline"/>
                      <w:lang w:val="en-US" w:eastAsia="zh-CN"/>
                    </w:rPr>
                  </w:pPr>
                  <w:r>
                    <w:rPr>
                      <w:rFonts w:hint="eastAsia" w:ascii="Times New Roman" w:hAnsi="Times New Roman" w:eastAsia="宋体" w:cs="Times New Roman"/>
                      <w:b/>
                      <w:color w:val="auto"/>
                      <w:sz w:val="21"/>
                      <w:szCs w:val="24"/>
                      <w:vertAlign w:val="baseline"/>
                      <w:lang w:val="en-US" w:eastAsia="zh-CN"/>
                    </w:rPr>
                    <w:t>无组织</w:t>
                  </w:r>
                </w:p>
              </w:tc>
              <w:tc>
                <w:tcPr>
                  <w:tcW w:w="2277" w:type="dxa"/>
                  <w:vAlign w:val="center"/>
                </w:tcPr>
                <w:p w14:paraId="7D53DEBF">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排放量（t/a）</w:t>
                  </w:r>
                </w:p>
              </w:tc>
              <w:tc>
                <w:tcPr>
                  <w:tcW w:w="2092" w:type="dxa"/>
                  <w:vAlign w:val="center"/>
                </w:tcPr>
                <w:p w14:paraId="7FB8CCCC">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0.032</w:t>
                  </w:r>
                </w:p>
              </w:tc>
            </w:tr>
            <w:tr w14:paraId="300D1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70" w:type="dxa"/>
                  <w:vMerge w:val="continue"/>
                  <w:vAlign w:val="center"/>
                </w:tcPr>
                <w:p w14:paraId="482C6D50">
                  <w:pPr>
                    <w:keepNext w:val="0"/>
                    <w:keepLines w:val="0"/>
                    <w:suppressLineNumbers w:val="0"/>
                    <w:spacing w:before="0" w:beforeAutospacing="0" w:after="0" w:afterAutospacing="0"/>
                    <w:ind w:left="0" w:right="0"/>
                    <w:jc w:val="left"/>
                    <w:rPr>
                      <w:rFonts w:hint="default" w:ascii="Times New Roman" w:hAnsi="Times New Roman" w:eastAsia="宋体" w:cs="Times New Roman"/>
                      <w:b/>
                      <w:color w:val="auto"/>
                      <w:sz w:val="21"/>
                      <w:szCs w:val="24"/>
                      <w:vertAlign w:val="baseline"/>
                      <w:lang w:val="en-US" w:eastAsia="zh-CN"/>
                    </w:rPr>
                  </w:pPr>
                </w:p>
              </w:tc>
              <w:tc>
                <w:tcPr>
                  <w:tcW w:w="2277" w:type="dxa"/>
                  <w:vAlign w:val="center"/>
                </w:tcPr>
                <w:p w14:paraId="66A5AF0B">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排放速率（kg/h）</w:t>
                  </w:r>
                </w:p>
              </w:tc>
              <w:tc>
                <w:tcPr>
                  <w:tcW w:w="2092" w:type="dxa"/>
                  <w:vAlign w:val="center"/>
                </w:tcPr>
                <w:p w14:paraId="4C73D1D9">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0.021</w:t>
                  </w:r>
                </w:p>
              </w:tc>
            </w:tr>
            <w:tr w14:paraId="46F25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47" w:type="dxa"/>
                  <w:gridSpan w:val="2"/>
                  <w:vAlign w:val="center"/>
                </w:tcPr>
                <w:p w14:paraId="594F0BB8">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总抽风量（m³/h）</w:t>
                  </w:r>
                </w:p>
              </w:tc>
              <w:tc>
                <w:tcPr>
                  <w:tcW w:w="2092" w:type="dxa"/>
                  <w:vAlign w:val="center"/>
                </w:tcPr>
                <w:p w14:paraId="12795463">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9000</w:t>
                  </w:r>
                </w:p>
              </w:tc>
            </w:tr>
            <w:tr w14:paraId="62C43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47" w:type="dxa"/>
                  <w:gridSpan w:val="2"/>
                  <w:vAlign w:val="center"/>
                </w:tcPr>
                <w:p w14:paraId="47476DAA">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工作时间（h/a）</w:t>
                  </w:r>
                </w:p>
              </w:tc>
              <w:tc>
                <w:tcPr>
                  <w:tcW w:w="2092" w:type="dxa"/>
                  <w:vAlign w:val="center"/>
                </w:tcPr>
                <w:p w14:paraId="33F8A169">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4"/>
                      <w:vertAlign w:val="baseline"/>
                      <w:lang w:val="en-US" w:eastAsia="zh-CN"/>
                    </w:rPr>
                  </w:pPr>
                  <w:r>
                    <w:rPr>
                      <w:rFonts w:hint="default" w:ascii="Times New Roman" w:hAnsi="Times New Roman" w:eastAsia="宋体" w:cs="var(--dsw-font-markdown-table)"/>
                      <w:color w:val="auto"/>
                      <w:kern w:val="0"/>
                      <w:sz w:val="21"/>
                      <w:szCs w:val="24"/>
                      <w:lang w:val="en-US" w:eastAsia="zh-CN" w:bidi="ar"/>
                    </w:rPr>
                    <w:t>1500</w:t>
                  </w:r>
                </w:p>
              </w:tc>
            </w:tr>
          </w:tbl>
          <w:p w14:paraId="0A4F300E">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Segoe UI"/>
                <w:b w:val="0"/>
                <w:bCs w:val="0"/>
                <w:i w:val="0"/>
                <w:iCs w:val="0"/>
                <w:caps w:val="0"/>
                <w:color w:val="auto"/>
                <w:spacing w:val="0"/>
                <w:sz w:val="21"/>
                <w:szCs w:val="24"/>
                <w:shd w:val="clear" w:fill="FFFFFF"/>
              </w:rPr>
            </w:pPr>
            <w:r>
              <w:rPr>
                <w:rFonts w:hint="default" w:ascii="Times New Roman" w:hAnsi="Times New Roman" w:eastAsia="宋体" w:cs="Segoe UI"/>
                <w:b w:val="0"/>
                <w:bCs w:val="0"/>
                <w:i w:val="0"/>
                <w:iCs w:val="0"/>
                <w:caps w:val="0"/>
                <w:color w:val="auto"/>
                <w:spacing w:val="0"/>
                <w:sz w:val="21"/>
                <w:szCs w:val="24"/>
                <w:shd w:val="clear" w:fill="FFFFFF"/>
              </w:rPr>
              <w:t>通过采取上述措施，食堂油烟有组织排放浓度为1.44mg/m³，可满足《饮食业油烟排放标准（试行）》（GB18483</w:t>
            </w:r>
            <w:r>
              <w:rPr>
                <w:rFonts w:hint="eastAsia" w:ascii="Times New Roman" w:hAnsi="Times New Roman" w:cs="Segoe UI"/>
                <w:b w:val="0"/>
                <w:bCs w:val="0"/>
                <w:i w:val="0"/>
                <w:iCs w:val="0"/>
                <w:caps w:val="0"/>
                <w:color w:val="auto"/>
                <w:spacing w:val="0"/>
                <w:sz w:val="21"/>
                <w:szCs w:val="24"/>
                <w:shd w:val="clear" w:fill="FFFFFF"/>
                <w:lang w:val="en-US" w:eastAsia="zh-CN"/>
              </w:rPr>
              <w:t>-</w:t>
            </w:r>
            <w:r>
              <w:rPr>
                <w:rFonts w:hint="default" w:ascii="Times New Roman" w:hAnsi="Times New Roman" w:eastAsia="宋体" w:cs="Segoe UI"/>
                <w:b w:val="0"/>
                <w:bCs w:val="0"/>
                <w:i w:val="0"/>
                <w:iCs w:val="0"/>
                <w:caps w:val="0"/>
                <w:color w:val="auto"/>
                <w:spacing w:val="0"/>
                <w:sz w:val="21"/>
                <w:szCs w:val="24"/>
                <w:shd w:val="clear" w:fill="FFFFFF"/>
              </w:rPr>
              <w:t>2001）表2最高允许排放浓度限值（≤2.0mg/m³），对周围大气环境影响不大。</w:t>
            </w:r>
          </w:p>
          <w:p w14:paraId="213624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jc w:val="left"/>
              <w:textAlignment w:val="auto"/>
              <w:rPr>
                <w:rFonts w:hint="default" w:ascii="Times New Roman" w:hAnsi="Times New Roman" w:eastAsia="宋体"/>
                <w:color w:val="auto"/>
                <w:sz w:val="21"/>
              </w:rPr>
            </w:pPr>
            <w:r>
              <w:rPr>
                <w:rFonts w:hint="default" w:ascii="Times New Roman" w:hAnsi="Times New Roman" w:eastAsia="宋体" w:cs="Times New Roman"/>
                <w:b/>
                <w:bCs/>
                <w:color w:val="auto"/>
                <w:kern w:val="0"/>
                <w:sz w:val="21"/>
                <w:szCs w:val="24"/>
                <w:lang w:val="en-US" w:eastAsia="zh-CN" w:bidi="ar"/>
              </w:rPr>
              <w:t>2</w:t>
            </w:r>
            <w:r>
              <w:rPr>
                <w:rFonts w:hint="eastAsia" w:ascii="Times New Roman" w:hAnsi="Times New Roman" w:eastAsia="宋体" w:cs="宋体"/>
                <w:b/>
                <w:bCs/>
                <w:color w:val="auto"/>
                <w:kern w:val="0"/>
                <w:sz w:val="21"/>
                <w:szCs w:val="24"/>
                <w:lang w:val="en-US" w:eastAsia="zh-CN" w:bidi="ar"/>
              </w:rPr>
              <w:t>、大气污染物排放核算</w:t>
            </w:r>
          </w:p>
          <w:p w14:paraId="4992B2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default" w:ascii="Times New Roman" w:hAnsi="Times New Roman" w:eastAsia="宋体" w:cs="Segoe UI"/>
                <w:i w:val="0"/>
                <w:iCs w:val="0"/>
                <w:caps w:val="0"/>
                <w:color w:val="auto"/>
                <w:spacing w:val="0"/>
                <w:sz w:val="21"/>
                <w:szCs w:val="24"/>
                <w:shd w:val="clear" w:fill="FFFFFF"/>
              </w:rPr>
            </w:pPr>
            <w:r>
              <w:rPr>
                <w:rFonts w:hint="eastAsia" w:ascii="Times New Roman" w:hAnsi="Times New Roman" w:eastAsia="宋体" w:cs="宋体"/>
                <w:color w:val="auto"/>
                <w:kern w:val="0"/>
                <w:sz w:val="21"/>
                <w:szCs w:val="24"/>
                <w:lang w:val="en-US" w:eastAsia="zh-CN" w:bidi="ar"/>
              </w:rPr>
              <w:t>项目大气污染物排放总量情况见下表。</w:t>
            </w:r>
          </w:p>
          <w:p w14:paraId="4322E702">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Times New Roman" w:hAnsi="Times New Roman" w:eastAsia="宋体" w:cs="Times New Roman"/>
                <w:b/>
                <w:color w:val="auto"/>
                <w:sz w:val="21"/>
                <w:szCs w:val="24"/>
                <w:lang w:val="en-US" w:eastAsia="zh-CN"/>
              </w:rPr>
            </w:pPr>
            <w:r>
              <w:rPr>
                <w:rFonts w:hint="default" w:ascii="Times New Roman" w:hAnsi="Times New Roman" w:eastAsia="宋体" w:cs="Times New Roman"/>
                <w:b/>
                <w:color w:val="auto"/>
                <w:sz w:val="21"/>
                <w:szCs w:val="24"/>
                <w:lang w:val="en-US" w:eastAsia="zh-CN"/>
              </w:rPr>
              <w:t>项目大气污染物有组织排放量核算表</w:t>
            </w:r>
          </w:p>
          <w:tbl>
            <w:tblPr>
              <w:tblStyle w:val="49"/>
              <w:tblW w:w="99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089"/>
              <w:gridCol w:w="3184"/>
              <w:gridCol w:w="1661"/>
              <w:gridCol w:w="1661"/>
              <w:gridCol w:w="1661"/>
            </w:tblGrid>
            <w:tr w14:paraId="2E282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614F52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序号</w:t>
                  </w:r>
                </w:p>
              </w:tc>
              <w:tc>
                <w:tcPr>
                  <w:tcW w:w="1089" w:type="dxa"/>
                  <w:vAlign w:val="center"/>
                </w:tcPr>
                <w:p w14:paraId="0BA195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排放口编号</w:t>
                  </w:r>
                </w:p>
              </w:tc>
              <w:tc>
                <w:tcPr>
                  <w:tcW w:w="3184" w:type="dxa"/>
                  <w:vAlign w:val="center"/>
                </w:tcPr>
                <w:p w14:paraId="75B2A5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污染物</w:t>
                  </w:r>
                </w:p>
              </w:tc>
              <w:tc>
                <w:tcPr>
                  <w:tcW w:w="1661" w:type="dxa"/>
                  <w:vAlign w:val="center"/>
                </w:tcPr>
                <w:p w14:paraId="67D442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核算排放浓度（mg/m³）</w:t>
                  </w:r>
                </w:p>
              </w:tc>
              <w:tc>
                <w:tcPr>
                  <w:tcW w:w="1661" w:type="dxa"/>
                  <w:vAlign w:val="center"/>
                </w:tcPr>
                <w:p w14:paraId="48F9F4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核算排放速率（kg/h）</w:t>
                  </w:r>
                </w:p>
              </w:tc>
              <w:tc>
                <w:tcPr>
                  <w:tcW w:w="1661" w:type="dxa"/>
                  <w:vAlign w:val="center"/>
                </w:tcPr>
                <w:p w14:paraId="2E7231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核算年排放量（t/a）</w:t>
                  </w:r>
                </w:p>
              </w:tc>
            </w:tr>
            <w:tr w14:paraId="1861B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6" w:type="dxa"/>
                  <w:gridSpan w:val="6"/>
                  <w:vAlign w:val="center"/>
                </w:tcPr>
                <w:p w14:paraId="3CB984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b/>
                      <w:bCs/>
                      <w:color w:val="auto"/>
                      <w:kern w:val="0"/>
                      <w:sz w:val="21"/>
                      <w:szCs w:val="24"/>
                      <w:lang w:val="en-US" w:eastAsia="zh-CN" w:bidi="ar"/>
                    </w:rPr>
                    <w:t>一般排放口</w:t>
                  </w:r>
                </w:p>
              </w:tc>
            </w:tr>
            <w:tr w14:paraId="3EB0D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restart"/>
                  <w:vAlign w:val="center"/>
                </w:tcPr>
                <w:p w14:paraId="6F3000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var(--dsw-font-markdown-table)"/>
                      <w:b w:val="0"/>
                      <w:bCs w:val="0"/>
                      <w:color w:val="auto"/>
                      <w:kern w:val="0"/>
                      <w:sz w:val="21"/>
                      <w:szCs w:val="24"/>
                      <w:lang w:val="en-US" w:eastAsia="zh-CN" w:bidi="ar"/>
                    </w:rPr>
                    <w:t>1</w:t>
                  </w:r>
                </w:p>
              </w:tc>
              <w:tc>
                <w:tcPr>
                  <w:tcW w:w="1089" w:type="dxa"/>
                  <w:vMerge w:val="restart"/>
                  <w:vAlign w:val="center"/>
                </w:tcPr>
                <w:p w14:paraId="698F92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var(--dsw-font-markdown-table)"/>
                      <w:b w:val="0"/>
                      <w:bCs w:val="0"/>
                      <w:color w:val="auto"/>
                      <w:kern w:val="0"/>
                      <w:sz w:val="21"/>
                      <w:szCs w:val="24"/>
                      <w:lang w:val="en-US" w:eastAsia="zh-CN" w:bidi="ar"/>
                    </w:rPr>
                    <w:t>G1</w:t>
                  </w:r>
                </w:p>
              </w:tc>
              <w:tc>
                <w:tcPr>
                  <w:tcW w:w="3184" w:type="dxa"/>
                  <w:vAlign w:val="center"/>
                </w:tcPr>
                <w:p w14:paraId="47933A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var(--dsw-font-markdown-table)"/>
                      <w:b w:val="0"/>
                      <w:bCs w:val="0"/>
                      <w:color w:val="auto"/>
                      <w:kern w:val="0"/>
                      <w:sz w:val="21"/>
                      <w:szCs w:val="24"/>
                      <w:lang w:val="en-US" w:eastAsia="zh-CN" w:bidi="ar"/>
                    </w:rPr>
                    <w:t>挥发性有机物（非甲烷总烃、总VOCs）</w:t>
                  </w:r>
                </w:p>
              </w:tc>
              <w:tc>
                <w:tcPr>
                  <w:tcW w:w="1661" w:type="dxa"/>
                  <w:vAlign w:val="center"/>
                </w:tcPr>
                <w:p w14:paraId="7A33352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Times New Roman"/>
                      <w:b w:val="0"/>
                      <w:bCs w:val="0"/>
                      <w:i w:val="0"/>
                      <w:iCs w:val="0"/>
                      <w:color w:val="000000"/>
                      <w:kern w:val="0"/>
                      <w:sz w:val="21"/>
                      <w:szCs w:val="21"/>
                      <w:u w:val="none"/>
                      <w:lang w:val="en-US" w:eastAsia="zh-CN" w:bidi="ar"/>
                    </w:rPr>
                    <w:t>0.788</w:t>
                  </w:r>
                </w:p>
              </w:tc>
              <w:tc>
                <w:tcPr>
                  <w:tcW w:w="1661" w:type="dxa"/>
                  <w:vAlign w:val="center"/>
                </w:tcPr>
                <w:p w14:paraId="2FB8A6F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Times New Roman"/>
                      <w:b w:val="0"/>
                      <w:bCs w:val="0"/>
                      <w:i w:val="0"/>
                      <w:iCs w:val="0"/>
                      <w:color w:val="000000"/>
                      <w:kern w:val="0"/>
                      <w:sz w:val="21"/>
                      <w:szCs w:val="21"/>
                      <w:u w:val="none"/>
                      <w:lang w:val="en-US" w:eastAsia="zh-CN" w:bidi="ar"/>
                    </w:rPr>
                    <w:t>0.024</w:t>
                  </w:r>
                </w:p>
              </w:tc>
              <w:tc>
                <w:tcPr>
                  <w:tcW w:w="1661" w:type="dxa"/>
                  <w:vAlign w:val="center"/>
                </w:tcPr>
                <w:p w14:paraId="29FEE3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Times New Roman"/>
                      <w:b w:val="0"/>
                      <w:bCs w:val="0"/>
                      <w:i w:val="0"/>
                      <w:iCs w:val="0"/>
                      <w:color w:val="000000"/>
                      <w:kern w:val="0"/>
                      <w:sz w:val="21"/>
                      <w:szCs w:val="21"/>
                      <w:u w:val="none"/>
                      <w:lang w:val="en-US" w:eastAsia="zh-CN" w:bidi="ar"/>
                    </w:rPr>
                    <w:t>0.057</w:t>
                  </w:r>
                </w:p>
              </w:tc>
            </w:tr>
            <w:tr w14:paraId="506B4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14:paraId="74D7F9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p>
              </w:tc>
              <w:tc>
                <w:tcPr>
                  <w:tcW w:w="1089" w:type="dxa"/>
                  <w:vMerge w:val="continue"/>
                  <w:vAlign w:val="center"/>
                </w:tcPr>
                <w:p w14:paraId="3B70C2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p>
              </w:tc>
              <w:tc>
                <w:tcPr>
                  <w:tcW w:w="3184" w:type="dxa"/>
                  <w:vAlign w:val="center"/>
                </w:tcPr>
                <w:p w14:paraId="706A94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var(--dsw-font-markdown-table)"/>
                      <w:b w:val="0"/>
                      <w:bCs w:val="0"/>
                      <w:color w:val="auto"/>
                      <w:kern w:val="0"/>
                      <w:sz w:val="21"/>
                      <w:szCs w:val="24"/>
                      <w:lang w:val="en-US" w:eastAsia="zh-CN" w:bidi="ar"/>
                    </w:rPr>
                    <w:t>颗粒物</w:t>
                  </w:r>
                </w:p>
              </w:tc>
              <w:tc>
                <w:tcPr>
                  <w:tcW w:w="1661" w:type="dxa"/>
                  <w:vAlign w:val="center"/>
                </w:tcPr>
                <w:p w14:paraId="12E91F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bCs w:val="0"/>
                      <w:i w:val="0"/>
                      <w:iCs w:val="0"/>
                      <w:caps w:val="0"/>
                      <w:strike w:val="0"/>
                      <w:color w:val="auto"/>
                      <w:spacing w:val="0"/>
                      <w:sz w:val="21"/>
                      <w:szCs w:val="24"/>
                      <w:u w:val="none"/>
                      <w:vertAlign w:val="baseline"/>
                      <w:lang w:val="en-US"/>
                    </w:rPr>
                  </w:pPr>
                  <w:r>
                    <w:rPr>
                      <w:rFonts w:hint="default" w:ascii="Times New Roman" w:hAnsi="Times New Roman" w:eastAsia="宋体" w:cs="Times New Roman"/>
                      <w:b w:val="0"/>
                      <w:bCs w:val="0"/>
                      <w:i w:val="0"/>
                      <w:iCs w:val="0"/>
                      <w:color w:val="000000"/>
                      <w:kern w:val="0"/>
                      <w:sz w:val="21"/>
                      <w:szCs w:val="21"/>
                      <w:u w:val="none"/>
                      <w:lang w:val="en-US" w:eastAsia="zh-CN" w:bidi="ar"/>
                    </w:rPr>
                    <w:t>0.404</w:t>
                  </w:r>
                </w:p>
              </w:tc>
              <w:tc>
                <w:tcPr>
                  <w:tcW w:w="1661" w:type="dxa"/>
                  <w:vAlign w:val="center"/>
                </w:tcPr>
                <w:p w14:paraId="1808CDB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Times New Roman"/>
                      <w:b w:val="0"/>
                      <w:bCs w:val="0"/>
                      <w:i w:val="0"/>
                      <w:iCs w:val="0"/>
                      <w:color w:val="000000"/>
                      <w:kern w:val="0"/>
                      <w:sz w:val="21"/>
                      <w:szCs w:val="21"/>
                      <w:u w:val="none"/>
                      <w:lang w:val="en-US" w:eastAsia="zh-CN" w:bidi="ar"/>
                    </w:rPr>
                    <w:t>0.012</w:t>
                  </w:r>
                </w:p>
              </w:tc>
              <w:tc>
                <w:tcPr>
                  <w:tcW w:w="1661" w:type="dxa"/>
                  <w:vAlign w:val="center"/>
                </w:tcPr>
                <w:p w14:paraId="643B80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Times New Roman"/>
                      <w:b w:val="0"/>
                      <w:bCs w:val="0"/>
                      <w:i w:val="0"/>
                      <w:iCs w:val="0"/>
                      <w:color w:val="000000"/>
                      <w:kern w:val="0"/>
                      <w:sz w:val="21"/>
                      <w:szCs w:val="21"/>
                      <w:u w:val="none"/>
                      <w:lang w:val="en-US" w:eastAsia="zh-CN" w:bidi="ar"/>
                    </w:rPr>
                    <w:t>0.029</w:t>
                  </w:r>
                </w:p>
              </w:tc>
            </w:tr>
            <w:tr w14:paraId="3B415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623F18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eastAsia" w:cs="var(--dsw-font-markdown-table)"/>
                      <w:b w:val="0"/>
                      <w:bCs w:val="0"/>
                      <w:color w:val="auto"/>
                      <w:kern w:val="0"/>
                      <w:sz w:val="21"/>
                      <w:szCs w:val="24"/>
                      <w:lang w:val="en-US" w:eastAsia="zh-CN" w:bidi="ar"/>
                    </w:rPr>
                    <w:t>2</w:t>
                  </w:r>
                </w:p>
              </w:tc>
              <w:tc>
                <w:tcPr>
                  <w:tcW w:w="1089" w:type="dxa"/>
                  <w:vAlign w:val="center"/>
                </w:tcPr>
                <w:p w14:paraId="79FEAB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eastAsia" w:cs="var(--dsw-font-markdown-table)"/>
                      <w:b w:val="0"/>
                      <w:bCs w:val="0"/>
                      <w:color w:val="auto"/>
                      <w:kern w:val="0"/>
                      <w:sz w:val="21"/>
                      <w:szCs w:val="24"/>
                      <w:lang w:val="en-US" w:eastAsia="zh-CN" w:bidi="ar"/>
                    </w:rPr>
                    <w:t>G2~G7</w:t>
                  </w:r>
                </w:p>
              </w:tc>
              <w:tc>
                <w:tcPr>
                  <w:tcW w:w="3184" w:type="dxa"/>
                  <w:vAlign w:val="center"/>
                </w:tcPr>
                <w:p w14:paraId="0B4269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var(--dsw-font-markdown-table)"/>
                      <w:b w:val="0"/>
                      <w:bCs w:val="0"/>
                      <w:color w:val="auto"/>
                      <w:kern w:val="0"/>
                      <w:sz w:val="21"/>
                      <w:szCs w:val="24"/>
                      <w:lang w:val="en-US" w:eastAsia="zh-CN" w:bidi="ar"/>
                    </w:rPr>
                    <w:t>挥发性有机物（非甲烷总烃、总VOCs）</w:t>
                  </w:r>
                </w:p>
              </w:tc>
              <w:tc>
                <w:tcPr>
                  <w:tcW w:w="1661" w:type="dxa"/>
                  <w:vAlign w:val="center"/>
                </w:tcPr>
                <w:p w14:paraId="67EFCDB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Times New Roman"/>
                      <w:b w:val="0"/>
                      <w:bCs w:val="0"/>
                      <w:i w:val="0"/>
                      <w:iCs w:val="0"/>
                      <w:color w:val="000000"/>
                      <w:kern w:val="0"/>
                      <w:sz w:val="21"/>
                      <w:szCs w:val="21"/>
                      <w:u w:val="none"/>
                      <w:lang w:val="en-US" w:eastAsia="zh-CN" w:bidi="ar"/>
                    </w:rPr>
                    <w:t>0.069</w:t>
                  </w:r>
                </w:p>
              </w:tc>
              <w:tc>
                <w:tcPr>
                  <w:tcW w:w="1661" w:type="dxa"/>
                  <w:vAlign w:val="center"/>
                </w:tcPr>
                <w:p w14:paraId="2FD1CE6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Times New Roman"/>
                      <w:b w:val="0"/>
                      <w:bCs w:val="0"/>
                      <w:i w:val="0"/>
                      <w:iCs w:val="0"/>
                      <w:color w:val="000000"/>
                      <w:kern w:val="0"/>
                      <w:sz w:val="21"/>
                      <w:szCs w:val="21"/>
                      <w:u w:val="none"/>
                      <w:lang w:val="en-US" w:eastAsia="zh-CN" w:bidi="ar"/>
                    </w:rPr>
                    <w:t>0.001</w:t>
                  </w:r>
                </w:p>
              </w:tc>
              <w:tc>
                <w:tcPr>
                  <w:tcW w:w="1661" w:type="dxa"/>
                  <w:vAlign w:val="center"/>
                </w:tcPr>
                <w:p w14:paraId="45A8E7D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bCs w:val="0"/>
                      <w:i w:val="0"/>
                      <w:iCs w:val="0"/>
                      <w:caps w:val="0"/>
                      <w:strike w:val="0"/>
                      <w:color w:val="auto"/>
                      <w:spacing w:val="0"/>
                      <w:sz w:val="21"/>
                      <w:szCs w:val="24"/>
                      <w:u w:val="none"/>
                      <w:vertAlign w:val="baseline"/>
                      <w:lang w:val="en-US"/>
                    </w:rPr>
                  </w:pPr>
                  <w:r>
                    <w:rPr>
                      <w:rFonts w:hint="default" w:ascii="Times New Roman" w:hAnsi="Times New Roman" w:eastAsia="宋体" w:cs="Times New Roman"/>
                      <w:b w:val="0"/>
                      <w:bCs w:val="0"/>
                      <w:i w:val="0"/>
                      <w:iCs w:val="0"/>
                      <w:color w:val="000000"/>
                      <w:kern w:val="0"/>
                      <w:sz w:val="21"/>
                      <w:szCs w:val="21"/>
                      <w:u w:val="none"/>
                      <w:lang w:val="en-US" w:eastAsia="zh-CN" w:bidi="ar"/>
                    </w:rPr>
                    <w:t>0.0</w:t>
                  </w:r>
                  <w:r>
                    <w:rPr>
                      <w:rFonts w:hint="eastAsia" w:ascii="Times New Roman" w:hAnsi="Times New Roman" w:eastAsia="宋体" w:cs="Times New Roman"/>
                      <w:b w:val="0"/>
                      <w:bCs w:val="0"/>
                      <w:i w:val="0"/>
                      <w:iCs w:val="0"/>
                      <w:color w:val="000000"/>
                      <w:kern w:val="0"/>
                      <w:sz w:val="21"/>
                      <w:szCs w:val="21"/>
                      <w:u w:val="none"/>
                      <w:lang w:val="en-US" w:eastAsia="zh-CN" w:bidi="ar"/>
                    </w:rPr>
                    <w:t>18</w:t>
                  </w:r>
                </w:p>
              </w:tc>
            </w:tr>
            <w:tr w14:paraId="1D830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1AB6FC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eastAsia" w:cs="var(--dsw-font-markdown-table)"/>
                      <w:b w:val="0"/>
                      <w:bCs w:val="0"/>
                      <w:color w:val="auto"/>
                      <w:kern w:val="0"/>
                      <w:sz w:val="21"/>
                      <w:szCs w:val="24"/>
                      <w:lang w:val="en-US" w:eastAsia="zh-CN" w:bidi="ar"/>
                    </w:rPr>
                    <w:t>3</w:t>
                  </w:r>
                </w:p>
              </w:tc>
              <w:tc>
                <w:tcPr>
                  <w:tcW w:w="1089" w:type="dxa"/>
                  <w:vAlign w:val="center"/>
                </w:tcPr>
                <w:p w14:paraId="4D9E9E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eastAsia" w:cs="var(--dsw-font-markdown-table)"/>
                      <w:b w:val="0"/>
                      <w:bCs w:val="0"/>
                      <w:color w:val="auto"/>
                      <w:kern w:val="0"/>
                      <w:sz w:val="21"/>
                      <w:szCs w:val="24"/>
                      <w:lang w:val="en-US" w:eastAsia="zh-CN" w:bidi="ar"/>
                    </w:rPr>
                    <w:t>G8</w:t>
                  </w:r>
                </w:p>
              </w:tc>
              <w:tc>
                <w:tcPr>
                  <w:tcW w:w="3184" w:type="dxa"/>
                  <w:vAlign w:val="center"/>
                </w:tcPr>
                <w:p w14:paraId="40EC12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var(--dsw-font-markdown-table)"/>
                      <w:b w:val="0"/>
                      <w:bCs w:val="0"/>
                      <w:color w:val="auto"/>
                      <w:kern w:val="0"/>
                      <w:sz w:val="21"/>
                      <w:szCs w:val="24"/>
                      <w:lang w:val="en-US" w:eastAsia="zh-CN" w:bidi="ar"/>
                    </w:rPr>
                    <w:t>油烟</w:t>
                  </w:r>
                </w:p>
              </w:tc>
              <w:tc>
                <w:tcPr>
                  <w:tcW w:w="1661" w:type="dxa"/>
                  <w:vAlign w:val="center"/>
                </w:tcPr>
                <w:p w14:paraId="229AB5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Times New Roman"/>
                      <w:b w:val="0"/>
                      <w:bCs w:val="0"/>
                      <w:i w:val="0"/>
                      <w:iCs w:val="0"/>
                      <w:color w:val="000000"/>
                      <w:kern w:val="0"/>
                      <w:sz w:val="21"/>
                      <w:szCs w:val="21"/>
                      <w:u w:val="none"/>
                      <w:lang w:val="en-US" w:eastAsia="zh-CN" w:bidi="ar"/>
                    </w:rPr>
                    <w:t>1.444</w:t>
                  </w:r>
                </w:p>
              </w:tc>
              <w:tc>
                <w:tcPr>
                  <w:tcW w:w="1661" w:type="dxa"/>
                  <w:vAlign w:val="center"/>
                </w:tcPr>
                <w:p w14:paraId="30DBA7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Times New Roman"/>
                      <w:b w:val="0"/>
                      <w:bCs w:val="0"/>
                      <w:i w:val="0"/>
                      <w:iCs w:val="0"/>
                      <w:color w:val="000000"/>
                      <w:kern w:val="0"/>
                      <w:sz w:val="21"/>
                      <w:szCs w:val="21"/>
                      <w:u w:val="none"/>
                      <w:lang w:val="en-US" w:eastAsia="zh-CN" w:bidi="ar"/>
                    </w:rPr>
                    <w:t>0.013</w:t>
                  </w:r>
                </w:p>
              </w:tc>
              <w:tc>
                <w:tcPr>
                  <w:tcW w:w="1661" w:type="dxa"/>
                  <w:vAlign w:val="center"/>
                </w:tcPr>
                <w:p w14:paraId="6C48B4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Times New Roman"/>
                      <w:b w:val="0"/>
                      <w:bCs w:val="0"/>
                      <w:i w:val="0"/>
                      <w:iCs w:val="0"/>
                      <w:color w:val="000000"/>
                      <w:kern w:val="0"/>
                      <w:sz w:val="21"/>
                      <w:szCs w:val="21"/>
                      <w:u w:val="none"/>
                      <w:lang w:val="en-US" w:eastAsia="zh-CN" w:bidi="ar"/>
                    </w:rPr>
                    <w:t>0.020</w:t>
                  </w:r>
                </w:p>
              </w:tc>
            </w:tr>
            <w:tr w14:paraId="33700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4AE88FBF">
                  <w:pPr>
                    <w:keepNext w:val="0"/>
                    <w:keepLines w:val="0"/>
                    <w:widowControl/>
                    <w:suppressLineNumbers w:val="0"/>
                    <w:spacing w:before="0" w:beforeAutospacing="0" w:after="0" w:afterAutospacing="0"/>
                    <w:ind w:left="0" w:right="0"/>
                    <w:jc w:val="right"/>
                    <w:textAlignment w:val="center"/>
                    <w:rPr>
                      <w:rFonts w:hint="eastAsia" w:cs="var(--dsw-font-markdown-table)"/>
                      <w:b w:val="0"/>
                      <w:bCs w:val="0"/>
                      <w:color w:val="auto"/>
                      <w:kern w:val="0"/>
                      <w:sz w:val="21"/>
                      <w:szCs w:val="24"/>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4</w:t>
                  </w:r>
                </w:p>
              </w:tc>
              <w:tc>
                <w:tcPr>
                  <w:tcW w:w="1089" w:type="dxa"/>
                  <w:vAlign w:val="center"/>
                </w:tcPr>
                <w:p w14:paraId="7055BFA6">
                  <w:pPr>
                    <w:keepNext w:val="0"/>
                    <w:keepLines w:val="0"/>
                    <w:widowControl/>
                    <w:suppressLineNumbers w:val="0"/>
                    <w:spacing w:before="0" w:beforeAutospacing="0" w:after="0" w:afterAutospacing="0"/>
                    <w:ind w:left="0" w:right="0"/>
                    <w:jc w:val="center"/>
                    <w:textAlignment w:val="center"/>
                    <w:rPr>
                      <w:rFonts w:hint="eastAsia" w:cs="var(--dsw-font-markdown-table)"/>
                      <w:b w:val="0"/>
                      <w:bCs w:val="0"/>
                      <w:color w:val="auto"/>
                      <w:kern w:val="0"/>
                      <w:sz w:val="21"/>
                      <w:szCs w:val="24"/>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G9</w:t>
                  </w:r>
                </w:p>
              </w:tc>
              <w:tc>
                <w:tcPr>
                  <w:tcW w:w="3184" w:type="dxa"/>
                  <w:vAlign w:val="center"/>
                </w:tcPr>
                <w:p w14:paraId="5DB1A5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b w:val="0"/>
                      <w:bCs w:val="0"/>
                      <w:color w:val="auto"/>
                      <w:kern w:val="0"/>
                      <w:sz w:val="21"/>
                      <w:szCs w:val="24"/>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挥发性有机物（非甲烷总烃、总</w:t>
                  </w:r>
                  <w:r>
                    <w:rPr>
                      <w:rFonts w:hint="default" w:ascii="Times New Roman" w:hAnsi="Times New Roman" w:eastAsia="宋体" w:cs="Times New Roman"/>
                      <w:b w:val="0"/>
                      <w:bCs w:val="0"/>
                      <w:i w:val="0"/>
                      <w:iCs w:val="0"/>
                      <w:color w:val="000000"/>
                      <w:kern w:val="0"/>
                      <w:sz w:val="21"/>
                      <w:szCs w:val="21"/>
                      <w:u w:val="none"/>
                      <w:lang w:val="en-US" w:eastAsia="zh-CN" w:bidi="ar"/>
                    </w:rPr>
                    <w:t>VOCs</w:t>
                  </w:r>
                  <w:r>
                    <w:rPr>
                      <w:rFonts w:hint="eastAsia" w:ascii="宋体" w:hAnsi="宋体" w:eastAsia="宋体" w:cs="宋体"/>
                      <w:b w:val="0"/>
                      <w:bCs w:val="0"/>
                      <w:i w:val="0"/>
                      <w:iCs w:val="0"/>
                      <w:color w:val="000000"/>
                      <w:kern w:val="0"/>
                      <w:sz w:val="21"/>
                      <w:szCs w:val="21"/>
                      <w:u w:val="none"/>
                      <w:lang w:val="en-US" w:eastAsia="zh-CN" w:bidi="ar"/>
                    </w:rPr>
                    <w:t>）</w:t>
                  </w:r>
                </w:p>
              </w:tc>
              <w:tc>
                <w:tcPr>
                  <w:tcW w:w="1661" w:type="dxa"/>
                  <w:vAlign w:val="center"/>
                </w:tcPr>
                <w:p w14:paraId="1299C1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0.659</w:t>
                  </w:r>
                </w:p>
              </w:tc>
              <w:tc>
                <w:tcPr>
                  <w:tcW w:w="1661" w:type="dxa"/>
                  <w:vAlign w:val="center"/>
                </w:tcPr>
                <w:p w14:paraId="5D1339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0.004</w:t>
                  </w:r>
                </w:p>
              </w:tc>
              <w:tc>
                <w:tcPr>
                  <w:tcW w:w="1661" w:type="dxa"/>
                  <w:vAlign w:val="center"/>
                </w:tcPr>
                <w:p w14:paraId="7EBD5E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0.009</w:t>
                  </w:r>
                </w:p>
              </w:tc>
            </w:tr>
            <w:tr w14:paraId="64098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9" w:type="dxa"/>
                  <w:gridSpan w:val="2"/>
                  <w:vMerge w:val="restart"/>
                  <w:vAlign w:val="center"/>
                </w:tcPr>
                <w:p w14:paraId="6582B3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var(--dsw-font-markdown-table)"/>
                      <w:b w:val="0"/>
                      <w:bCs w:val="0"/>
                      <w:color w:val="auto"/>
                      <w:kern w:val="0"/>
                      <w:sz w:val="21"/>
                      <w:szCs w:val="24"/>
                      <w:lang w:val="en-US" w:eastAsia="zh-CN" w:bidi="ar"/>
                    </w:rPr>
                    <w:t>一般排放口合计</w:t>
                  </w:r>
                </w:p>
              </w:tc>
              <w:tc>
                <w:tcPr>
                  <w:tcW w:w="6506" w:type="dxa"/>
                  <w:gridSpan w:val="3"/>
                  <w:vAlign w:val="center"/>
                </w:tcPr>
                <w:p w14:paraId="6DD60D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var(--dsw-font-markdown-table)"/>
                      <w:b w:val="0"/>
                      <w:bCs w:val="0"/>
                      <w:color w:val="auto"/>
                      <w:kern w:val="0"/>
                      <w:sz w:val="21"/>
                      <w:szCs w:val="24"/>
                      <w:lang w:val="en-US" w:eastAsia="zh-CN" w:bidi="ar"/>
                    </w:rPr>
                    <w:t>挥发性有机物（非甲烷总烃、总VOCs）</w:t>
                  </w:r>
                </w:p>
              </w:tc>
              <w:tc>
                <w:tcPr>
                  <w:tcW w:w="1661" w:type="dxa"/>
                  <w:shd w:val="clear" w:color="auto" w:fill="auto"/>
                  <w:vAlign w:val="center"/>
                </w:tcPr>
                <w:p w14:paraId="2F63D7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0.084</w:t>
                  </w:r>
                </w:p>
              </w:tc>
            </w:tr>
            <w:tr w14:paraId="730B2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9" w:type="dxa"/>
                  <w:gridSpan w:val="2"/>
                  <w:vMerge w:val="continue"/>
                  <w:vAlign w:val="center"/>
                </w:tcPr>
                <w:p w14:paraId="2A83DE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p>
              </w:tc>
              <w:tc>
                <w:tcPr>
                  <w:tcW w:w="6506" w:type="dxa"/>
                  <w:gridSpan w:val="3"/>
                  <w:vAlign w:val="center"/>
                </w:tcPr>
                <w:p w14:paraId="494C4A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var(--dsw-font-markdown-table)"/>
                      <w:b w:val="0"/>
                      <w:bCs w:val="0"/>
                      <w:color w:val="auto"/>
                      <w:kern w:val="0"/>
                      <w:sz w:val="21"/>
                      <w:szCs w:val="24"/>
                      <w:lang w:val="en-US" w:eastAsia="zh-CN" w:bidi="ar"/>
                    </w:rPr>
                    <w:t>颗粒物</w:t>
                  </w:r>
                </w:p>
              </w:tc>
              <w:tc>
                <w:tcPr>
                  <w:tcW w:w="1661" w:type="dxa"/>
                  <w:vAlign w:val="center"/>
                </w:tcPr>
                <w:p w14:paraId="515468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Times New Roman"/>
                      <w:i w:val="0"/>
                      <w:iCs w:val="0"/>
                      <w:color w:val="000000"/>
                      <w:kern w:val="0"/>
                      <w:sz w:val="21"/>
                      <w:szCs w:val="21"/>
                      <w:u w:val="none"/>
                      <w:lang w:val="en-US" w:eastAsia="zh-CN" w:bidi="ar"/>
                    </w:rPr>
                    <w:t>0.029</w:t>
                  </w:r>
                </w:p>
              </w:tc>
            </w:tr>
            <w:tr w14:paraId="5C29A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9" w:type="dxa"/>
                  <w:gridSpan w:val="2"/>
                  <w:vMerge w:val="continue"/>
                  <w:vAlign w:val="center"/>
                </w:tcPr>
                <w:p w14:paraId="0B7564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p>
              </w:tc>
              <w:tc>
                <w:tcPr>
                  <w:tcW w:w="6506" w:type="dxa"/>
                  <w:gridSpan w:val="3"/>
                  <w:vAlign w:val="center"/>
                </w:tcPr>
                <w:p w14:paraId="7BDB60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var(--dsw-font-markdown-table)"/>
                      <w:b w:val="0"/>
                      <w:bCs w:val="0"/>
                      <w:color w:val="auto"/>
                      <w:kern w:val="0"/>
                      <w:sz w:val="21"/>
                      <w:szCs w:val="24"/>
                      <w:lang w:val="en-US" w:eastAsia="zh-CN" w:bidi="ar"/>
                    </w:rPr>
                    <w:t>油烟</w:t>
                  </w:r>
                </w:p>
              </w:tc>
              <w:tc>
                <w:tcPr>
                  <w:tcW w:w="1661" w:type="dxa"/>
                  <w:vAlign w:val="center"/>
                </w:tcPr>
                <w:p w14:paraId="5D0151F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Times New Roman"/>
                      <w:i w:val="0"/>
                      <w:iCs w:val="0"/>
                      <w:color w:val="000000"/>
                      <w:kern w:val="0"/>
                      <w:sz w:val="21"/>
                      <w:szCs w:val="21"/>
                      <w:u w:val="none"/>
                      <w:lang w:val="en-US" w:eastAsia="zh-CN" w:bidi="ar"/>
                    </w:rPr>
                    <w:t>0.020</w:t>
                  </w:r>
                </w:p>
              </w:tc>
            </w:tr>
            <w:tr w14:paraId="343CE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9" w:type="dxa"/>
                  <w:gridSpan w:val="2"/>
                  <w:vMerge w:val="restart"/>
                  <w:vAlign w:val="center"/>
                </w:tcPr>
                <w:p w14:paraId="5A3150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var(--dsw-font-markdown-table)"/>
                      <w:b w:val="0"/>
                      <w:bCs w:val="0"/>
                      <w:color w:val="auto"/>
                      <w:kern w:val="0"/>
                      <w:sz w:val="21"/>
                      <w:szCs w:val="24"/>
                      <w:lang w:val="en-US" w:eastAsia="zh-CN" w:bidi="ar"/>
                    </w:rPr>
                    <w:t>有组织排放总计</w:t>
                  </w:r>
                </w:p>
              </w:tc>
              <w:tc>
                <w:tcPr>
                  <w:tcW w:w="6506" w:type="dxa"/>
                  <w:gridSpan w:val="3"/>
                  <w:vAlign w:val="center"/>
                </w:tcPr>
                <w:p w14:paraId="094D66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var(--dsw-font-markdown-table)"/>
                      <w:b w:val="0"/>
                      <w:bCs w:val="0"/>
                      <w:color w:val="auto"/>
                      <w:kern w:val="0"/>
                      <w:sz w:val="21"/>
                      <w:szCs w:val="24"/>
                      <w:lang w:val="en-US" w:eastAsia="zh-CN" w:bidi="ar"/>
                    </w:rPr>
                    <w:t>挥发性有机物（非甲烷总烃、总VOCs）</w:t>
                  </w:r>
                </w:p>
              </w:tc>
              <w:tc>
                <w:tcPr>
                  <w:tcW w:w="1661" w:type="dxa"/>
                  <w:shd w:val="clear" w:color="auto" w:fill="auto"/>
                  <w:vAlign w:val="center"/>
                </w:tcPr>
                <w:p w14:paraId="360BFC8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0.084</w:t>
                  </w:r>
                </w:p>
              </w:tc>
            </w:tr>
            <w:tr w14:paraId="6139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9" w:type="dxa"/>
                  <w:gridSpan w:val="2"/>
                  <w:vMerge w:val="continue"/>
                  <w:vAlign w:val="center"/>
                </w:tcPr>
                <w:p w14:paraId="7D1202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p>
              </w:tc>
              <w:tc>
                <w:tcPr>
                  <w:tcW w:w="6506" w:type="dxa"/>
                  <w:gridSpan w:val="3"/>
                  <w:vAlign w:val="center"/>
                </w:tcPr>
                <w:p w14:paraId="57D1EF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var(--dsw-font-markdown-table)"/>
                      <w:b w:val="0"/>
                      <w:bCs w:val="0"/>
                      <w:color w:val="auto"/>
                      <w:kern w:val="0"/>
                      <w:sz w:val="21"/>
                      <w:szCs w:val="24"/>
                      <w:lang w:val="en-US" w:eastAsia="zh-CN" w:bidi="ar"/>
                    </w:rPr>
                    <w:t>颗粒物</w:t>
                  </w:r>
                </w:p>
              </w:tc>
              <w:tc>
                <w:tcPr>
                  <w:tcW w:w="1661" w:type="dxa"/>
                  <w:vAlign w:val="center"/>
                </w:tcPr>
                <w:p w14:paraId="148215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bCs w:val="0"/>
                      <w:i w:val="0"/>
                      <w:iCs w:val="0"/>
                      <w:caps w:val="0"/>
                      <w:strike w:val="0"/>
                      <w:color w:val="auto"/>
                      <w:spacing w:val="0"/>
                      <w:sz w:val="21"/>
                      <w:szCs w:val="24"/>
                      <w:u w:val="none"/>
                      <w:vertAlign w:val="baseline"/>
                      <w:lang w:val="en-US"/>
                    </w:rPr>
                  </w:pPr>
                  <w:r>
                    <w:rPr>
                      <w:rFonts w:hint="default" w:ascii="Times New Roman" w:hAnsi="Times New Roman" w:eastAsia="宋体" w:cs="Times New Roman"/>
                      <w:i w:val="0"/>
                      <w:iCs w:val="0"/>
                      <w:color w:val="000000"/>
                      <w:kern w:val="0"/>
                      <w:sz w:val="21"/>
                      <w:szCs w:val="21"/>
                      <w:u w:val="none"/>
                      <w:lang w:val="en-US" w:eastAsia="zh-CN" w:bidi="ar"/>
                    </w:rPr>
                    <w:t>0.029</w:t>
                  </w:r>
                </w:p>
              </w:tc>
            </w:tr>
            <w:tr w14:paraId="57B53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9" w:type="dxa"/>
                  <w:gridSpan w:val="2"/>
                  <w:vMerge w:val="continue"/>
                  <w:vAlign w:val="center"/>
                </w:tcPr>
                <w:p w14:paraId="06969D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p>
              </w:tc>
              <w:tc>
                <w:tcPr>
                  <w:tcW w:w="6506" w:type="dxa"/>
                  <w:gridSpan w:val="3"/>
                  <w:vAlign w:val="center"/>
                </w:tcPr>
                <w:p w14:paraId="35E4E3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var(--dsw-font-markdown-table)"/>
                      <w:b w:val="0"/>
                      <w:bCs w:val="0"/>
                      <w:color w:val="auto"/>
                      <w:kern w:val="0"/>
                      <w:sz w:val="21"/>
                      <w:szCs w:val="24"/>
                      <w:lang w:val="en-US" w:eastAsia="zh-CN" w:bidi="ar"/>
                    </w:rPr>
                    <w:t>油烟</w:t>
                  </w:r>
                </w:p>
              </w:tc>
              <w:tc>
                <w:tcPr>
                  <w:tcW w:w="1661" w:type="dxa"/>
                  <w:vAlign w:val="center"/>
                </w:tcPr>
                <w:p w14:paraId="262FD63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Times New Roman"/>
                      <w:i w:val="0"/>
                      <w:iCs w:val="0"/>
                      <w:color w:val="000000"/>
                      <w:kern w:val="0"/>
                      <w:sz w:val="21"/>
                      <w:szCs w:val="21"/>
                      <w:u w:val="none"/>
                      <w:lang w:val="en-US" w:eastAsia="zh-CN" w:bidi="ar"/>
                    </w:rPr>
                    <w:t>0.020</w:t>
                  </w:r>
                </w:p>
              </w:tc>
            </w:tr>
          </w:tbl>
          <w:p w14:paraId="7F5A9485">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sz w:val="21"/>
                <w:szCs w:val="24"/>
                <w:lang w:val="en-US" w:eastAsia="zh-CN"/>
              </w:rPr>
            </w:pPr>
            <w:r>
              <w:rPr>
                <w:rFonts w:hint="default" w:ascii="Times New Roman" w:hAnsi="Times New Roman" w:eastAsia="宋体" w:cs="Times New Roman"/>
                <w:b/>
                <w:color w:val="auto"/>
                <w:sz w:val="21"/>
                <w:szCs w:val="24"/>
                <w:lang w:val="en-US" w:eastAsia="zh-CN"/>
              </w:rPr>
              <w:t>项目大气污染物无组织排放量核算表</w:t>
            </w:r>
          </w:p>
          <w:tbl>
            <w:tblPr>
              <w:tblStyle w:val="49"/>
              <w:tblW w:w="99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
              <w:gridCol w:w="738"/>
              <w:gridCol w:w="1135"/>
              <w:gridCol w:w="845"/>
              <w:gridCol w:w="994"/>
              <w:gridCol w:w="3811"/>
              <w:gridCol w:w="1179"/>
              <w:gridCol w:w="824"/>
            </w:tblGrid>
            <w:tr w14:paraId="5D00A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451" w:type="dxa"/>
                  <w:vMerge w:val="restart"/>
                  <w:vAlign w:val="center"/>
                </w:tcPr>
                <w:p w14:paraId="5B5545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序号</w:t>
                  </w:r>
                </w:p>
              </w:tc>
              <w:tc>
                <w:tcPr>
                  <w:tcW w:w="738" w:type="dxa"/>
                  <w:vMerge w:val="restart"/>
                  <w:vAlign w:val="center"/>
                </w:tcPr>
                <w:p w14:paraId="293ECC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排放口编号</w:t>
                  </w:r>
                </w:p>
              </w:tc>
              <w:tc>
                <w:tcPr>
                  <w:tcW w:w="1135" w:type="dxa"/>
                  <w:vMerge w:val="restart"/>
                  <w:vAlign w:val="center"/>
                </w:tcPr>
                <w:p w14:paraId="628BD7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产污环节</w:t>
                  </w:r>
                </w:p>
              </w:tc>
              <w:tc>
                <w:tcPr>
                  <w:tcW w:w="845" w:type="dxa"/>
                  <w:vMerge w:val="restart"/>
                  <w:vAlign w:val="center"/>
                </w:tcPr>
                <w:p w14:paraId="7F38A4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污染物</w:t>
                  </w:r>
                </w:p>
              </w:tc>
              <w:tc>
                <w:tcPr>
                  <w:tcW w:w="994" w:type="dxa"/>
                  <w:vMerge w:val="restart"/>
                  <w:vAlign w:val="center"/>
                </w:tcPr>
                <w:p w14:paraId="385659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主要污染防治措施</w:t>
                  </w:r>
                </w:p>
              </w:tc>
              <w:tc>
                <w:tcPr>
                  <w:tcW w:w="4990" w:type="dxa"/>
                  <w:gridSpan w:val="2"/>
                  <w:vAlign w:val="center"/>
                </w:tcPr>
                <w:p w14:paraId="13DEFC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国家或地方污染物排放标准</w:t>
                  </w:r>
                </w:p>
              </w:tc>
              <w:tc>
                <w:tcPr>
                  <w:tcW w:w="824" w:type="dxa"/>
                  <w:vMerge w:val="restart"/>
                  <w:shd w:val="clear" w:color="auto" w:fill="auto"/>
                  <w:vAlign w:val="center"/>
                </w:tcPr>
                <w:p w14:paraId="3B8DB9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kern w:val="2"/>
                      <w:sz w:val="21"/>
                      <w:szCs w:val="24"/>
                      <w:u w:val="none"/>
                      <w:vertAlign w:val="baseline"/>
                      <w:lang w:val="en-US" w:eastAsia="zh-CN" w:bidi="ar-SA"/>
                    </w:rPr>
                  </w:pPr>
                  <w:r>
                    <w:rPr>
                      <w:rFonts w:hint="default" w:ascii="Times New Roman" w:hAnsi="Times New Roman" w:eastAsia="宋体" w:cs="var(--dsw-font-markdown-table-h"/>
                      <w:b/>
                      <w:bCs/>
                      <w:color w:val="auto"/>
                      <w:kern w:val="0"/>
                      <w:sz w:val="21"/>
                      <w:szCs w:val="24"/>
                      <w:lang w:val="en-US" w:eastAsia="zh-CN" w:bidi="ar"/>
                    </w:rPr>
                    <w:t>年排放量（t/a）</w:t>
                  </w:r>
                </w:p>
              </w:tc>
            </w:tr>
            <w:tr w14:paraId="2AC92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451" w:type="dxa"/>
                  <w:vMerge w:val="continue"/>
                  <w:vAlign w:val="center"/>
                </w:tcPr>
                <w:p w14:paraId="5AF1F6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738" w:type="dxa"/>
                  <w:vMerge w:val="continue"/>
                  <w:vAlign w:val="center"/>
                </w:tcPr>
                <w:p w14:paraId="485C44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1135" w:type="dxa"/>
                  <w:vMerge w:val="continue"/>
                  <w:vAlign w:val="center"/>
                </w:tcPr>
                <w:p w14:paraId="0C00A4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845" w:type="dxa"/>
                  <w:vMerge w:val="continue"/>
                  <w:vAlign w:val="center"/>
                </w:tcPr>
                <w:p w14:paraId="417F33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994" w:type="dxa"/>
                  <w:vMerge w:val="continue"/>
                  <w:vAlign w:val="center"/>
                </w:tcPr>
                <w:p w14:paraId="64A2CE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3811" w:type="dxa"/>
                  <w:vAlign w:val="center"/>
                </w:tcPr>
                <w:p w14:paraId="2B716C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标准名称</w:t>
                  </w:r>
                </w:p>
              </w:tc>
              <w:tc>
                <w:tcPr>
                  <w:tcW w:w="1179" w:type="dxa"/>
                  <w:vAlign w:val="center"/>
                </w:tcPr>
                <w:p w14:paraId="327073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浓度限值（mg/m³）</w:t>
                  </w:r>
                </w:p>
              </w:tc>
              <w:tc>
                <w:tcPr>
                  <w:tcW w:w="824" w:type="dxa"/>
                  <w:vMerge w:val="continue"/>
                  <w:vAlign w:val="center"/>
                </w:tcPr>
                <w:p w14:paraId="2D17E1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r>
            <w:tr w14:paraId="4B7E7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451" w:type="dxa"/>
                  <w:vMerge w:val="restart"/>
                  <w:vAlign w:val="center"/>
                </w:tcPr>
                <w:p w14:paraId="479F85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1</w:t>
                  </w:r>
                </w:p>
              </w:tc>
              <w:tc>
                <w:tcPr>
                  <w:tcW w:w="738" w:type="dxa"/>
                  <w:vMerge w:val="restart"/>
                  <w:vAlign w:val="center"/>
                </w:tcPr>
                <w:p w14:paraId="0BA0A4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w:t>
                  </w:r>
                </w:p>
              </w:tc>
              <w:tc>
                <w:tcPr>
                  <w:tcW w:w="1135" w:type="dxa"/>
                  <w:vMerge w:val="restart"/>
                  <w:vAlign w:val="center"/>
                </w:tcPr>
                <w:p w14:paraId="4102AC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鞋底制造工序（拌料、发泡、打粗、刷处理剂、</w:t>
                  </w:r>
                  <w:r>
                    <w:rPr>
                      <w:rFonts w:hint="eastAsia" w:cs="var(--dsw-font-markdown-table)"/>
                      <w:color w:val="auto"/>
                      <w:kern w:val="0"/>
                      <w:sz w:val="21"/>
                      <w:szCs w:val="24"/>
                      <w:lang w:val="en-US" w:eastAsia="zh-CN" w:bidi="ar"/>
                    </w:rPr>
                    <w:t>清洁、</w:t>
                  </w:r>
                  <w:r>
                    <w:rPr>
                      <w:rFonts w:hint="default" w:ascii="Times New Roman" w:hAnsi="Times New Roman" w:eastAsia="宋体" w:cs="var(--dsw-font-markdown-table)"/>
                      <w:color w:val="auto"/>
                      <w:kern w:val="0"/>
                      <w:sz w:val="21"/>
                      <w:szCs w:val="24"/>
                      <w:lang w:val="en-US" w:eastAsia="zh-CN" w:bidi="ar"/>
                    </w:rPr>
                    <w:t>刷胶）</w:t>
                  </w:r>
                </w:p>
              </w:tc>
              <w:tc>
                <w:tcPr>
                  <w:tcW w:w="845" w:type="dxa"/>
                  <w:vAlign w:val="center"/>
                </w:tcPr>
                <w:p w14:paraId="7A7E33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非甲烷总烃</w:t>
                  </w:r>
                </w:p>
              </w:tc>
              <w:tc>
                <w:tcPr>
                  <w:tcW w:w="994" w:type="dxa"/>
                  <w:vMerge w:val="restart"/>
                  <w:vAlign w:val="center"/>
                </w:tcPr>
                <w:p w14:paraId="350B86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加强车间通风换气</w:t>
                  </w:r>
                </w:p>
              </w:tc>
              <w:tc>
                <w:tcPr>
                  <w:tcW w:w="3811" w:type="dxa"/>
                  <w:vMerge w:val="restart"/>
                  <w:vAlign w:val="center"/>
                </w:tcPr>
                <w:p w14:paraId="5FB04A22">
                  <w:pPr>
                    <w:keepNext w:val="0"/>
                    <w:keepLines w:val="0"/>
                    <w:widowControl/>
                    <w:suppressLineNumbers w:val="0"/>
                    <w:spacing w:before="0" w:beforeAutospacing="0" w:after="0" w:afterAutospacing="0"/>
                    <w:ind w:left="0" w:right="0"/>
                    <w:jc w:val="left"/>
                    <w:rPr>
                      <w:rFonts w:hint="default" w:ascii="Times New Roman" w:hAnsi="Times New Roman" w:eastAsia="宋体" w:cs="Segoe UI"/>
                      <w:b w:val="0"/>
                      <w:i w:val="0"/>
                      <w:iCs w:val="0"/>
                      <w:caps w:val="0"/>
                      <w:strike w:val="0"/>
                      <w:color w:val="auto"/>
                      <w:spacing w:val="0"/>
                      <w:sz w:val="21"/>
                      <w:szCs w:val="24"/>
                      <w:u w:val="none"/>
                      <w:vertAlign w:val="baseline"/>
                    </w:rPr>
                  </w:pPr>
                  <w:r>
                    <w:rPr>
                      <w:rFonts w:hint="eastAsia" w:ascii="宋体" w:hAnsi="宋体" w:eastAsia="宋体" w:cs="宋体"/>
                      <w:b w:val="0"/>
                      <w:bCs w:val="0"/>
                      <w:color w:val="auto"/>
                      <w:kern w:val="0"/>
                      <w:sz w:val="21"/>
                      <w:szCs w:val="21"/>
                      <w:lang w:val="en-US" w:eastAsia="zh-CN" w:bidi="ar"/>
                    </w:rPr>
                    <w:t>《合成树脂工业污染物排放标准》（</w:t>
                  </w:r>
                  <w:r>
                    <w:rPr>
                      <w:rFonts w:hint="default" w:ascii="Times New Roman" w:hAnsi="Times New Roman" w:eastAsia="宋体" w:cs="Times New Roman"/>
                      <w:b w:val="0"/>
                      <w:bCs w:val="0"/>
                      <w:color w:val="auto"/>
                      <w:kern w:val="0"/>
                      <w:sz w:val="21"/>
                      <w:szCs w:val="21"/>
                      <w:lang w:val="en-US" w:eastAsia="zh-CN" w:bidi="ar"/>
                    </w:rPr>
                    <w:t>GB31572</w:t>
                  </w:r>
                  <w:r>
                    <w:rPr>
                      <w:rFonts w:hint="eastAsia" w:ascii="宋体" w:hAnsi="宋体" w:eastAsia="宋体" w:cs="宋体"/>
                      <w:b w:val="0"/>
                      <w:bCs w:val="0"/>
                      <w:color w:val="auto"/>
                      <w:kern w:val="0"/>
                      <w:sz w:val="21"/>
                      <w:szCs w:val="21"/>
                      <w:lang w:val="en-US" w:eastAsia="zh-CN" w:bidi="ar"/>
                    </w:rPr>
                    <w:t>—</w:t>
                  </w:r>
                  <w:r>
                    <w:rPr>
                      <w:rFonts w:hint="default" w:ascii="Times New Roman" w:hAnsi="Times New Roman" w:eastAsia="宋体" w:cs="Times New Roman"/>
                      <w:b w:val="0"/>
                      <w:bCs w:val="0"/>
                      <w:color w:val="auto"/>
                      <w:kern w:val="0"/>
                      <w:sz w:val="21"/>
                      <w:szCs w:val="21"/>
                      <w:lang w:val="en-US" w:eastAsia="zh-CN" w:bidi="ar"/>
                    </w:rPr>
                    <w:t>2015</w:t>
                  </w:r>
                  <w:r>
                    <w:rPr>
                      <w:rFonts w:hint="eastAsia" w:ascii="宋体" w:hAnsi="宋体" w:eastAsia="宋体" w:cs="宋体"/>
                      <w:b w:val="0"/>
                      <w:bCs w:val="0"/>
                      <w:color w:val="auto"/>
                      <w:kern w:val="0"/>
                      <w:sz w:val="21"/>
                      <w:szCs w:val="21"/>
                      <w:lang w:val="en-US" w:eastAsia="zh-CN" w:bidi="ar"/>
                    </w:rPr>
                    <w:t>）及其修改单中表</w:t>
                  </w:r>
                  <w:r>
                    <w:rPr>
                      <w:rFonts w:hint="default" w:ascii="Times New Roman" w:hAnsi="Times New Roman" w:eastAsia="宋体" w:cs="Times New Roman"/>
                      <w:b w:val="0"/>
                      <w:bCs w:val="0"/>
                      <w:color w:val="auto"/>
                      <w:kern w:val="0"/>
                      <w:sz w:val="21"/>
                      <w:szCs w:val="21"/>
                      <w:lang w:val="en-US" w:eastAsia="zh-CN" w:bidi="ar"/>
                    </w:rPr>
                    <w:t>9</w:t>
                  </w:r>
                  <w:r>
                    <w:rPr>
                      <w:rFonts w:hint="eastAsia" w:ascii="宋体" w:hAnsi="宋体" w:eastAsia="宋体" w:cs="宋体"/>
                      <w:b w:val="0"/>
                      <w:bCs w:val="0"/>
                      <w:color w:val="auto"/>
                      <w:kern w:val="0"/>
                      <w:sz w:val="21"/>
                      <w:szCs w:val="21"/>
                      <w:lang w:val="en-US" w:eastAsia="zh-CN" w:bidi="ar"/>
                    </w:rPr>
                    <w:t>企业边界大气污染物浓度限值与广东省地方标准《大气污染物排放限值》</w:t>
                  </w:r>
                  <w:r>
                    <w:rPr>
                      <w:rFonts w:hint="eastAsia" w:ascii="宋体" w:hAnsi="宋体" w:cs="宋体"/>
                      <w:b w:val="0"/>
                      <w:bCs w:val="0"/>
                      <w:color w:val="auto"/>
                      <w:kern w:val="0"/>
                      <w:sz w:val="21"/>
                      <w:szCs w:val="21"/>
                      <w:lang w:val="en-US" w:eastAsia="zh-CN" w:bidi="ar"/>
                    </w:rPr>
                    <w:t>（</w:t>
                  </w:r>
                  <w:r>
                    <w:rPr>
                      <w:rFonts w:hint="default" w:ascii="Times New Roman" w:hAnsi="Times New Roman" w:eastAsia="宋体" w:cs="Times New Roman"/>
                      <w:b w:val="0"/>
                      <w:bCs w:val="0"/>
                      <w:color w:val="auto"/>
                      <w:kern w:val="0"/>
                      <w:sz w:val="21"/>
                      <w:szCs w:val="21"/>
                      <w:lang w:val="en-US" w:eastAsia="zh-CN" w:bidi="ar"/>
                    </w:rPr>
                    <w:t>DB44/27</w:t>
                  </w:r>
                  <w:r>
                    <w:rPr>
                      <w:rFonts w:hint="eastAsia" w:cs="Times New Roman"/>
                      <w:b w:val="0"/>
                      <w:bCs w:val="0"/>
                      <w:color w:val="auto"/>
                      <w:kern w:val="0"/>
                      <w:sz w:val="21"/>
                      <w:szCs w:val="21"/>
                      <w:lang w:val="en-US" w:eastAsia="zh-CN" w:bidi="ar"/>
                    </w:rPr>
                    <w:t xml:space="preserve">- </w:t>
                  </w:r>
                  <w:r>
                    <w:rPr>
                      <w:rFonts w:hint="default" w:ascii="Times New Roman" w:hAnsi="Times New Roman" w:eastAsia="宋体" w:cs="Times New Roman"/>
                      <w:b w:val="0"/>
                      <w:bCs w:val="0"/>
                      <w:color w:val="auto"/>
                      <w:kern w:val="0"/>
                      <w:sz w:val="21"/>
                      <w:szCs w:val="21"/>
                      <w:lang w:val="en-US" w:eastAsia="zh-CN" w:bidi="ar"/>
                    </w:rPr>
                    <w:t>2001</w:t>
                  </w:r>
                  <w:r>
                    <w:rPr>
                      <w:rFonts w:hint="eastAsia" w:cs="Times New Roman"/>
                      <w:b w:val="0"/>
                      <w:bCs w:val="0"/>
                      <w:color w:val="auto"/>
                      <w:kern w:val="0"/>
                      <w:sz w:val="21"/>
                      <w:szCs w:val="21"/>
                      <w:lang w:val="en-US" w:eastAsia="zh-CN" w:bidi="ar"/>
                    </w:rPr>
                    <w:t>）</w:t>
                  </w:r>
                  <w:r>
                    <w:rPr>
                      <w:rFonts w:hint="eastAsia" w:ascii="宋体" w:hAnsi="宋体" w:eastAsia="宋体" w:cs="宋体"/>
                      <w:b w:val="0"/>
                      <w:bCs w:val="0"/>
                      <w:color w:val="auto"/>
                      <w:kern w:val="0"/>
                      <w:sz w:val="21"/>
                      <w:szCs w:val="21"/>
                      <w:lang w:val="en-US" w:eastAsia="zh-CN" w:bidi="ar"/>
                    </w:rPr>
                    <w:t>第二时段二级标准较严者</w:t>
                  </w:r>
                  <w:r>
                    <w:rPr>
                      <w:rFonts w:hint="default" w:ascii="Times New Roman" w:hAnsi="Times New Roman" w:eastAsia="宋体" w:cs="Segoe UI"/>
                      <w:b w:val="0"/>
                      <w:bCs w:val="0"/>
                      <w:i w:val="0"/>
                      <w:iCs w:val="0"/>
                      <w:caps w:val="0"/>
                      <w:color w:val="auto"/>
                      <w:spacing w:val="0"/>
                      <w:sz w:val="21"/>
                      <w:szCs w:val="24"/>
                      <w:shd w:val="clear" w:fill="FFFFFF"/>
                      <w:lang w:val="en-US" w:eastAsia="zh-CN"/>
                    </w:rPr>
                    <w:t>；</w:t>
                  </w:r>
                </w:p>
              </w:tc>
              <w:tc>
                <w:tcPr>
                  <w:tcW w:w="1179" w:type="dxa"/>
                  <w:vAlign w:val="center"/>
                </w:tcPr>
                <w:p w14:paraId="5209CA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4.0</w:t>
                  </w:r>
                </w:p>
              </w:tc>
              <w:tc>
                <w:tcPr>
                  <w:tcW w:w="824" w:type="dxa"/>
                  <w:vAlign w:val="center"/>
                </w:tcPr>
                <w:p w14:paraId="291D9EA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i w:val="0"/>
                      <w:iCs w:val="0"/>
                      <w:caps w:val="0"/>
                      <w:strike w:val="0"/>
                      <w:color w:val="auto"/>
                      <w:spacing w:val="0"/>
                      <w:sz w:val="21"/>
                      <w:szCs w:val="24"/>
                      <w:u w:val="none"/>
                      <w:vertAlign w:val="baseline"/>
                    </w:rPr>
                  </w:pPr>
                  <w:r>
                    <w:rPr>
                      <w:rFonts w:hint="eastAsia" w:ascii="宋体" w:hAnsi="宋体" w:eastAsia="宋体" w:cs="宋体"/>
                      <w:i w:val="0"/>
                      <w:iCs w:val="0"/>
                      <w:color w:val="000000"/>
                      <w:kern w:val="0"/>
                      <w:sz w:val="21"/>
                      <w:szCs w:val="21"/>
                      <w:u w:val="none"/>
                      <w:lang w:val="en-US" w:eastAsia="zh-CN" w:bidi="ar"/>
                    </w:rPr>
                    <w:t>0.441</w:t>
                  </w:r>
                </w:p>
              </w:tc>
            </w:tr>
            <w:tr w14:paraId="74EBF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1" w:type="dxa"/>
                  <w:vMerge w:val="continue"/>
                  <w:vAlign w:val="center"/>
                </w:tcPr>
                <w:p w14:paraId="5E5D6D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738" w:type="dxa"/>
                  <w:vMerge w:val="continue"/>
                  <w:vAlign w:val="center"/>
                </w:tcPr>
                <w:p w14:paraId="3516FE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1135" w:type="dxa"/>
                  <w:vMerge w:val="continue"/>
                  <w:vAlign w:val="center"/>
                </w:tcPr>
                <w:p w14:paraId="1C3BEC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845" w:type="dxa"/>
                  <w:vAlign w:val="center"/>
                </w:tcPr>
                <w:p w14:paraId="47CF88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颗粒物</w:t>
                  </w:r>
                </w:p>
              </w:tc>
              <w:tc>
                <w:tcPr>
                  <w:tcW w:w="994" w:type="dxa"/>
                  <w:vMerge w:val="continue"/>
                  <w:vAlign w:val="center"/>
                </w:tcPr>
                <w:p w14:paraId="6B84F0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3811" w:type="dxa"/>
                  <w:vMerge w:val="continue"/>
                  <w:vAlign w:val="center"/>
                </w:tcPr>
                <w:p w14:paraId="4D64F77A">
                  <w:pPr>
                    <w:keepNext w:val="0"/>
                    <w:keepLines w:val="0"/>
                    <w:widowControl/>
                    <w:suppressLineNumbers w:val="0"/>
                    <w:spacing w:before="0" w:beforeAutospacing="0" w:after="0" w:afterAutospacing="0"/>
                    <w:ind w:left="0" w:right="0"/>
                    <w:jc w:val="left"/>
                    <w:rPr>
                      <w:rFonts w:hint="eastAsia" w:ascii="宋体" w:hAnsi="宋体" w:eastAsia="宋体" w:cs="宋体"/>
                      <w:b w:val="0"/>
                      <w:bCs w:val="0"/>
                      <w:color w:val="auto"/>
                      <w:kern w:val="0"/>
                      <w:sz w:val="21"/>
                      <w:szCs w:val="21"/>
                      <w:lang w:val="en-US" w:eastAsia="zh-CN" w:bidi="ar"/>
                    </w:rPr>
                  </w:pPr>
                </w:p>
              </w:tc>
              <w:tc>
                <w:tcPr>
                  <w:tcW w:w="1179" w:type="dxa"/>
                  <w:vAlign w:val="center"/>
                </w:tcPr>
                <w:p w14:paraId="44AC96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1.0</w:t>
                  </w:r>
                </w:p>
              </w:tc>
              <w:tc>
                <w:tcPr>
                  <w:tcW w:w="824" w:type="dxa"/>
                  <w:vAlign w:val="center"/>
                </w:tcPr>
                <w:p w14:paraId="45ED94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0.679</w:t>
                  </w:r>
                </w:p>
              </w:tc>
            </w:tr>
            <w:tr w14:paraId="3D94F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51" w:type="dxa"/>
                  <w:vMerge w:val="continue"/>
                  <w:vAlign w:val="center"/>
                </w:tcPr>
                <w:p w14:paraId="5B578F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738" w:type="dxa"/>
                  <w:vMerge w:val="continue"/>
                  <w:vAlign w:val="center"/>
                </w:tcPr>
                <w:p w14:paraId="054AF7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1135" w:type="dxa"/>
                  <w:vMerge w:val="continue"/>
                  <w:vAlign w:val="center"/>
                </w:tcPr>
                <w:p w14:paraId="63BAFF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845" w:type="dxa"/>
                  <w:vAlign w:val="center"/>
                </w:tcPr>
                <w:p w14:paraId="66C267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总VOCS</w:t>
                  </w:r>
                </w:p>
              </w:tc>
              <w:tc>
                <w:tcPr>
                  <w:tcW w:w="994" w:type="dxa"/>
                  <w:vMerge w:val="continue"/>
                  <w:vAlign w:val="center"/>
                </w:tcPr>
                <w:p w14:paraId="23EA46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3811" w:type="dxa"/>
                  <w:vAlign w:val="center"/>
                </w:tcPr>
                <w:p w14:paraId="11A93093">
                  <w:pPr>
                    <w:keepNext w:val="0"/>
                    <w:keepLines w:val="0"/>
                    <w:widowControl/>
                    <w:suppressLineNumbers w:val="0"/>
                    <w:spacing w:before="0" w:beforeAutospacing="0" w:after="0" w:afterAutospacing="0"/>
                    <w:ind w:left="0" w:right="0"/>
                    <w:jc w:val="left"/>
                    <w:rPr>
                      <w:rFonts w:hint="default" w:ascii="Times New Roman" w:hAnsi="Times New Roman" w:eastAsia="宋体" w:cs="Segoe UI"/>
                      <w:b w:val="0"/>
                      <w:bCs w:val="0"/>
                      <w:i w:val="0"/>
                      <w:iCs w:val="0"/>
                      <w:caps w:val="0"/>
                      <w:color w:val="auto"/>
                      <w:spacing w:val="0"/>
                      <w:sz w:val="21"/>
                      <w:szCs w:val="24"/>
                      <w:shd w:val="clear" w:fill="FFFFFF"/>
                      <w:lang w:val="en-US" w:eastAsia="zh-CN"/>
                    </w:rPr>
                  </w:pPr>
                  <w:r>
                    <w:rPr>
                      <w:rFonts w:hint="eastAsia" w:ascii="Times New Roman" w:hAnsi="Times New Roman" w:eastAsia="宋体" w:cs="var(--dsw-font-markdown-table)"/>
                      <w:b w:val="0"/>
                      <w:bCs w:val="0"/>
                      <w:color w:val="auto"/>
                      <w:kern w:val="0"/>
                      <w:sz w:val="21"/>
                      <w:szCs w:val="24"/>
                      <w:lang w:val="en-US" w:eastAsia="zh-CN" w:bidi="ar"/>
                    </w:rPr>
                    <w:t>《制鞋行业挥发性有机化合物排放标准》（</w:t>
                  </w:r>
                  <w:r>
                    <w:rPr>
                      <w:rFonts w:hint="default" w:ascii="Times New Roman" w:hAnsi="Times New Roman" w:eastAsia="宋体" w:cs="var(--dsw-font-markdown-table)"/>
                      <w:b w:val="0"/>
                      <w:bCs w:val="0"/>
                      <w:color w:val="auto"/>
                      <w:kern w:val="0"/>
                      <w:sz w:val="21"/>
                      <w:szCs w:val="24"/>
                      <w:lang w:val="en-US" w:eastAsia="zh-CN" w:bidi="ar"/>
                    </w:rPr>
                    <w:t xml:space="preserve">DB44 </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817</w:t>
                  </w:r>
                  <w:r>
                    <w:rPr>
                      <w:rFonts w:hint="eastAsia" w:cs="var(--dsw-font-markdown-table)"/>
                      <w:b w:val="0"/>
                      <w:bCs w:val="0"/>
                      <w:color w:val="auto"/>
                      <w:kern w:val="0"/>
                      <w:sz w:val="21"/>
                      <w:szCs w:val="24"/>
                      <w:lang w:val="en-US" w:eastAsia="zh-CN" w:bidi="ar"/>
                    </w:rPr>
                    <w:t xml:space="preserve">- </w:t>
                  </w:r>
                  <w:r>
                    <w:rPr>
                      <w:rFonts w:hint="default" w:ascii="Times New Roman" w:hAnsi="Times New Roman" w:eastAsia="宋体" w:cs="var(--dsw-font-markdown-table)"/>
                      <w:b w:val="0"/>
                      <w:bCs w:val="0"/>
                      <w:color w:val="auto"/>
                      <w:kern w:val="0"/>
                      <w:sz w:val="21"/>
                      <w:szCs w:val="24"/>
                      <w:lang w:val="en-US" w:eastAsia="zh-CN" w:bidi="ar"/>
                    </w:rPr>
                    <w:t>2010</w:t>
                  </w:r>
                  <w:r>
                    <w:rPr>
                      <w:rFonts w:hint="eastAsia" w:ascii="Times New Roman" w:hAnsi="Times New Roman" w:eastAsia="宋体" w:cs="var(--dsw-font-markdown-table)"/>
                      <w:b w:val="0"/>
                      <w:bCs w:val="0"/>
                      <w:color w:val="auto"/>
                      <w:kern w:val="0"/>
                      <w:sz w:val="21"/>
                      <w:szCs w:val="24"/>
                      <w:lang w:val="en-US" w:eastAsia="zh-CN" w:bidi="ar"/>
                    </w:rPr>
                    <w:t>）</w:t>
                  </w:r>
                  <w:r>
                    <w:rPr>
                      <w:rFonts w:hint="eastAsia" w:cs="var(--dsw-font-markdown-table)"/>
                      <w:b w:val="0"/>
                      <w:bCs w:val="0"/>
                      <w:color w:val="auto"/>
                      <w:kern w:val="0"/>
                      <w:sz w:val="21"/>
                      <w:szCs w:val="24"/>
                      <w:lang w:val="en-US" w:eastAsia="zh-CN" w:bidi="ar"/>
                    </w:rPr>
                    <w:t xml:space="preserve"> 第二时段无组织排放监控浓度限值</w:t>
                  </w:r>
                  <w:r>
                    <w:rPr>
                      <w:rFonts w:hint="eastAsia" w:ascii="Times New Roman" w:hAnsi="Times New Roman" w:eastAsia="宋体" w:cs="var(--dsw-font-markdown-table)"/>
                      <w:b w:val="0"/>
                      <w:bCs w:val="0"/>
                      <w:color w:val="auto"/>
                      <w:kern w:val="0"/>
                      <w:sz w:val="21"/>
                      <w:szCs w:val="24"/>
                      <w:lang w:val="en-US" w:eastAsia="zh-CN" w:bidi="ar"/>
                    </w:rPr>
                    <w:t>要求</w:t>
                  </w:r>
                </w:p>
              </w:tc>
              <w:tc>
                <w:tcPr>
                  <w:tcW w:w="1179" w:type="dxa"/>
                  <w:vAlign w:val="center"/>
                </w:tcPr>
                <w:p w14:paraId="6CEC72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2.0</w:t>
                  </w:r>
                </w:p>
              </w:tc>
              <w:tc>
                <w:tcPr>
                  <w:tcW w:w="824" w:type="dxa"/>
                  <w:vAlign w:val="center"/>
                </w:tcPr>
                <w:p w14:paraId="13DE86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0.441</w:t>
                  </w:r>
                </w:p>
              </w:tc>
            </w:tr>
            <w:tr w14:paraId="733D7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451" w:type="dxa"/>
                  <w:vMerge w:val="continue"/>
                  <w:vAlign w:val="center"/>
                </w:tcPr>
                <w:p w14:paraId="1673DB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738" w:type="dxa"/>
                  <w:vMerge w:val="continue"/>
                  <w:vAlign w:val="center"/>
                </w:tcPr>
                <w:p w14:paraId="07D5A1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1135" w:type="dxa"/>
                  <w:vMerge w:val="continue"/>
                  <w:vAlign w:val="center"/>
                </w:tcPr>
                <w:p w14:paraId="706325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845" w:type="dxa"/>
                  <w:vAlign w:val="center"/>
                </w:tcPr>
                <w:p w14:paraId="76F432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eastAsia" w:ascii="Times New Roman" w:hAnsi="Times New Roman" w:eastAsia="宋体" w:cs="var(--dsw-font-markdown-table)"/>
                      <w:color w:val="auto"/>
                      <w:kern w:val="0"/>
                      <w:sz w:val="21"/>
                      <w:szCs w:val="24"/>
                      <w:lang w:val="en-US" w:eastAsia="zh-CN" w:bidi="ar"/>
                    </w:rPr>
                    <w:t>臭气浓度</w:t>
                  </w:r>
                </w:p>
              </w:tc>
              <w:tc>
                <w:tcPr>
                  <w:tcW w:w="994" w:type="dxa"/>
                  <w:vMerge w:val="continue"/>
                  <w:vAlign w:val="center"/>
                </w:tcPr>
                <w:p w14:paraId="35FF8B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3811" w:type="dxa"/>
                  <w:vAlign w:val="center"/>
                </w:tcPr>
                <w:p w14:paraId="226AEA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eastAsia" w:ascii="Times New Roman" w:hAnsi="Times New Roman" w:eastAsia="宋体" w:cs="var(--dsw-font-markdown-table)"/>
                      <w:color w:val="auto"/>
                      <w:kern w:val="0"/>
                      <w:sz w:val="21"/>
                      <w:szCs w:val="24"/>
                      <w:lang w:val="en-US" w:eastAsia="zh-CN" w:bidi="ar"/>
                    </w:rPr>
                    <w:t>《恶臭污染物排放标准》（</w:t>
                  </w:r>
                  <w:r>
                    <w:rPr>
                      <w:rFonts w:hint="default" w:ascii="Times New Roman" w:hAnsi="Times New Roman" w:eastAsia="宋体" w:cs="var(--dsw-font-markdown-table)"/>
                      <w:color w:val="auto"/>
                      <w:kern w:val="0"/>
                      <w:sz w:val="21"/>
                      <w:szCs w:val="24"/>
                      <w:lang w:val="en-US" w:eastAsia="zh-CN" w:bidi="ar"/>
                    </w:rPr>
                    <w:t>GB14554</w:t>
                  </w:r>
                  <w:r>
                    <w:rPr>
                      <w:rFonts w:hint="eastAsia" w:cs="var(--dsw-font-markdown-table)"/>
                      <w:color w:val="auto"/>
                      <w:kern w:val="0"/>
                      <w:sz w:val="21"/>
                      <w:szCs w:val="24"/>
                      <w:lang w:val="en-US" w:eastAsia="zh-CN" w:bidi="ar"/>
                    </w:rPr>
                    <w:t xml:space="preserve">- </w:t>
                  </w:r>
                  <w:r>
                    <w:rPr>
                      <w:rFonts w:hint="default" w:ascii="Times New Roman" w:hAnsi="Times New Roman" w:eastAsia="宋体" w:cs="var(--dsw-font-markdown-table)"/>
                      <w:color w:val="auto"/>
                      <w:kern w:val="0"/>
                      <w:sz w:val="21"/>
                      <w:szCs w:val="24"/>
                      <w:lang w:val="en-US" w:eastAsia="zh-CN" w:bidi="ar"/>
                    </w:rPr>
                    <w:t>93</w:t>
                  </w:r>
                  <w:r>
                    <w:rPr>
                      <w:rFonts w:hint="eastAsia" w:ascii="Times New Roman" w:hAnsi="Times New Roman" w:eastAsia="宋体" w:cs="var(--dsw-font-markdown-table)"/>
                      <w:color w:val="auto"/>
                      <w:kern w:val="0"/>
                      <w:sz w:val="21"/>
                      <w:szCs w:val="24"/>
                      <w:lang w:val="en-US" w:eastAsia="zh-CN" w:bidi="ar"/>
                    </w:rPr>
                    <w:t>）表</w:t>
                  </w:r>
                  <w:r>
                    <w:rPr>
                      <w:rFonts w:hint="default" w:ascii="Times New Roman" w:hAnsi="Times New Roman" w:eastAsia="宋体" w:cs="var(--dsw-font-markdown-table)"/>
                      <w:color w:val="auto"/>
                      <w:kern w:val="0"/>
                      <w:sz w:val="21"/>
                      <w:szCs w:val="24"/>
                      <w:lang w:val="en-US" w:eastAsia="zh-CN" w:bidi="ar"/>
                    </w:rPr>
                    <w:t>1</w:t>
                  </w:r>
                  <w:r>
                    <w:rPr>
                      <w:rFonts w:hint="eastAsia" w:ascii="Times New Roman" w:hAnsi="Times New Roman" w:eastAsia="宋体" w:cs="var(--dsw-font-markdown-table)"/>
                      <w:color w:val="auto"/>
                      <w:kern w:val="0"/>
                      <w:sz w:val="21"/>
                      <w:szCs w:val="24"/>
                      <w:lang w:val="en-US" w:eastAsia="zh-CN" w:bidi="ar"/>
                    </w:rPr>
                    <w:t>恶臭污染物厂界二级新扩改建标准值</w:t>
                  </w:r>
                </w:p>
              </w:tc>
              <w:tc>
                <w:tcPr>
                  <w:tcW w:w="1179" w:type="dxa"/>
                  <w:vAlign w:val="center"/>
                </w:tcPr>
                <w:p w14:paraId="01A8812C">
                  <w:pPr>
                    <w:keepNext w:val="0"/>
                    <w:keepLines w:val="0"/>
                    <w:widowControl/>
                    <w:suppressLineNumbers w:val="0"/>
                    <w:spacing w:before="0" w:beforeAutospacing="0" w:after="0" w:afterAutospacing="0"/>
                    <w:ind w:left="0" w:right="0"/>
                    <w:jc w:val="left"/>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color w:val="auto"/>
                      <w:kern w:val="0"/>
                      <w:sz w:val="20"/>
                      <w:szCs w:val="20"/>
                      <w:lang w:val="en-US" w:eastAsia="zh-CN" w:bidi="ar"/>
                    </w:rPr>
                    <w:t>20</w:t>
                  </w:r>
                  <w:r>
                    <w:rPr>
                      <w:rFonts w:hint="eastAsia" w:ascii="宋体" w:hAnsi="宋体" w:eastAsia="宋体" w:cs="宋体"/>
                      <w:color w:val="auto"/>
                      <w:kern w:val="0"/>
                      <w:sz w:val="20"/>
                      <w:szCs w:val="20"/>
                      <w:lang w:val="en-US" w:eastAsia="zh-CN" w:bidi="ar"/>
                    </w:rPr>
                    <w:t>（无量纲）</w:t>
                  </w:r>
                </w:p>
              </w:tc>
              <w:tc>
                <w:tcPr>
                  <w:tcW w:w="824" w:type="dxa"/>
                  <w:vAlign w:val="center"/>
                </w:tcPr>
                <w:p w14:paraId="1082ECE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b/>
                      <w:bCs/>
                      <w:color w:val="auto"/>
                      <w:kern w:val="0"/>
                      <w:sz w:val="21"/>
                      <w:szCs w:val="24"/>
                      <w:lang w:val="en-US" w:eastAsia="zh-CN" w:bidi="ar"/>
                    </w:rPr>
                  </w:pPr>
                  <w:r>
                    <w:rPr>
                      <w:rFonts w:hint="eastAsia" w:ascii="宋体" w:hAnsi="宋体" w:eastAsia="宋体" w:cs="宋体"/>
                      <w:i w:val="0"/>
                      <w:iCs w:val="0"/>
                      <w:color w:val="000000"/>
                      <w:kern w:val="0"/>
                      <w:sz w:val="21"/>
                      <w:szCs w:val="21"/>
                      <w:u w:val="none"/>
                      <w:lang w:val="en-US" w:eastAsia="zh-CN" w:bidi="ar"/>
                    </w:rPr>
                    <w:t>少量</w:t>
                  </w:r>
                </w:p>
              </w:tc>
            </w:tr>
            <w:tr w14:paraId="13BFA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451" w:type="dxa"/>
                  <w:vMerge w:val="restart"/>
                  <w:vAlign w:val="center"/>
                </w:tcPr>
                <w:p w14:paraId="1587CE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2</w:t>
                  </w:r>
                </w:p>
              </w:tc>
              <w:tc>
                <w:tcPr>
                  <w:tcW w:w="738" w:type="dxa"/>
                  <w:vMerge w:val="restart"/>
                  <w:vAlign w:val="center"/>
                </w:tcPr>
                <w:p w14:paraId="750C6E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w:t>
                  </w:r>
                </w:p>
              </w:tc>
              <w:tc>
                <w:tcPr>
                  <w:tcW w:w="1135" w:type="dxa"/>
                  <w:vMerge w:val="restart"/>
                  <w:vAlign w:val="center"/>
                </w:tcPr>
                <w:p w14:paraId="5D6DBF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鞋面制造工序（激光切割、UV打印、打印转纸、丝印、热转印/高频/热压/熔断/烫布标）</w:t>
                  </w:r>
                </w:p>
              </w:tc>
              <w:tc>
                <w:tcPr>
                  <w:tcW w:w="845" w:type="dxa"/>
                  <w:vAlign w:val="center"/>
                </w:tcPr>
                <w:p w14:paraId="5EA235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lang w:val="en-US"/>
                    </w:rPr>
                  </w:pPr>
                  <w:r>
                    <w:rPr>
                      <w:rFonts w:hint="default" w:ascii="Times New Roman" w:hAnsi="Times New Roman" w:eastAsia="宋体" w:cs="var(--dsw-font-markdown-table)"/>
                      <w:color w:val="auto"/>
                      <w:kern w:val="0"/>
                      <w:sz w:val="21"/>
                      <w:szCs w:val="24"/>
                      <w:lang w:val="en-US" w:eastAsia="zh-CN" w:bidi="ar"/>
                    </w:rPr>
                    <w:t>非甲烷总烃</w:t>
                  </w:r>
                </w:p>
              </w:tc>
              <w:tc>
                <w:tcPr>
                  <w:tcW w:w="994" w:type="dxa"/>
                  <w:vMerge w:val="restart"/>
                  <w:vAlign w:val="center"/>
                </w:tcPr>
                <w:p w14:paraId="232015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加强车间通风换气</w:t>
                  </w:r>
                </w:p>
              </w:tc>
              <w:tc>
                <w:tcPr>
                  <w:tcW w:w="3811" w:type="dxa"/>
                  <w:vAlign w:val="center"/>
                </w:tcPr>
                <w:p w14:paraId="1CB7545D">
                  <w:pPr>
                    <w:keepNext w:val="0"/>
                    <w:keepLines w:val="0"/>
                    <w:widowControl/>
                    <w:suppressLineNumbers w:val="0"/>
                    <w:spacing w:before="0" w:beforeAutospacing="0" w:after="0" w:afterAutospacing="0"/>
                    <w:ind w:left="0" w:right="0"/>
                    <w:jc w:val="left"/>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b w:val="0"/>
                      <w:bCs w:val="0"/>
                      <w:color w:val="auto"/>
                      <w:kern w:val="0"/>
                      <w:sz w:val="21"/>
                      <w:szCs w:val="24"/>
                      <w:lang w:val="en-US" w:eastAsia="zh-CN" w:bidi="ar"/>
                    </w:rPr>
                    <w:t>《印刷工业大气污染物排放标准》（GB41616</w:t>
                  </w:r>
                  <w:r>
                    <w:rPr>
                      <w:rFonts w:hint="eastAsia" w:cs="var(--dsw-font-markdown-table)"/>
                      <w:b w:val="0"/>
                      <w:bCs w:val="0"/>
                      <w:color w:val="auto"/>
                      <w:kern w:val="0"/>
                      <w:sz w:val="21"/>
                      <w:szCs w:val="24"/>
                      <w:lang w:val="en-US" w:eastAsia="zh-CN" w:bidi="ar"/>
                    </w:rPr>
                    <w:t xml:space="preserve">- </w:t>
                  </w:r>
                  <w:r>
                    <w:rPr>
                      <w:rFonts w:hint="default" w:ascii="Times New Roman" w:hAnsi="Times New Roman" w:eastAsia="宋体" w:cs="var(--dsw-font-markdown-table)"/>
                      <w:b w:val="0"/>
                      <w:bCs w:val="0"/>
                      <w:color w:val="auto"/>
                      <w:kern w:val="0"/>
                      <w:sz w:val="21"/>
                      <w:szCs w:val="24"/>
                      <w:lang w:val="en-US" w:eastAsia="zh-CN" w:bidi="ar"/>
                    </w:rPr>
                    <w:t>2022）与广东省《固定污染源挥发性有机物综合排放标准》（DB44/2367</w:t>
                  </w:r>
                  <w:r>
                    <w:rPr>
                      <w:rFonts w:hint="eastAsia" w:cs="var(--dsw-font-markdown-table)"/>
                      <w:b w:val="0"/>
                      <w:bCs w:val="0"/>
                      <w:color w:val="auto"/>
                      <w:kern w:val="0"/>
                      <w:sz w:val="21"/>
                      <w:szCs w:val="24"/>
                      <w:lang w:val="en-US" w:eastAsia="zh-CN" w:bidi="ar"/>
                    </w:rPr>
                    <w:t xml:space="preserve">- </w:t>
                  </w:r>
                  <w:r>
                    <w:rPr>
                      <w:rFonts w:hint="default" w:ascii="Times New Roman" w:hAnsi="Times New Roman" w:eastAsia="宋体" w:cs="var(--dsw-font-markdown-table)"/>
                      <w:b w:val="0"/>
                      <w:bCs w:val="0"/>
                      <w:color w:val="auto"/>
                      <w:kern w:val="0"/>
                      <w:sz w:val="21"/>
                      <w:szCs w:val="24"/>
                      <w:lang w:val="en-US" w:eastAsia="zh-CN" w:bidi="ar"/>
                    </w:rPr>
                    <w:t>2022）较严者</w:t>
                  </w:r>
                </w:p>
              </w:tc>
              <w:tc>
                <w:tcPr>
                  <w:tcW w:w="1179" w:type="dxa"/>
                  <w:vAlign w:val="center"/>
                </w:tcPr>
                <w:p w14:paraId="3CF440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4.0</w:t>
                  </w:r>
                </w:p>
              </w:tc>
              <w:tc>
                <w:tcPr>
                  <w:tcW w:w="824" w:type="dxa"/>
                  <w:vAlign w:val="center"/>
                </w:tcPr>
                <w:p w14:paraId="5711F24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i w:val="0"/>
                      <w:iCs w:val="0"/>
                      <w:caps w:val="0"/>
                      <w:strike w:val="0"/>
                      <w:color w:val="auto"/>
                      <w:spacing w:val="0"/>
                      <w:sz w:val="21"/>
                      <w:szCs w:val="24"/>
                      <w:u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0.007</w:t>
                  </w:r>
                </w:p>
              </w:tc>
            </w:tr>
            <w:tr w14:paraId="7D67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451" w:type="dxa"/>
                  <w:vMerge w:val="continue"/>
                  <w:vAlign w:val="center"/>
                </w:tcPr>
                <w:p w14:paraId="2A8876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738" w:type="dxa"/>
                  <w:vMerge w:val="continue"/>
                  <w:vAlign w:val="center"/>
                </w:tcPr>
                <w:p w14:paraId="542777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1135" w:type="dxa"/>
                  <w:vMerge w:val="continue"/>
                  <w:vAlign w:val="center"/>
                </w:tcPr>
                <w:p w14:paraId="6D8F6D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845" w:type="dxa"/>
                  <w:vAlign w:val="center"/>
                </w:tcPr>
                <w:p w14:paraId="355DD1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总VOCS</w:t>
                  </w:r>
                </w:p>
              </w:tc>
              <w:tc>
                <w:tcPr>
                  <w:tcW w:w="994" w:type="dxa"/>
                  <w:vMerge w:val="continue"/>
                  <w:vAlign w:val="center"/>
                </w:tcPr>
                <w:p w14:paraId="7EAF24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3811" w:type="dxa"/>
                  <w:vAlign w:val="center"/>
                </w:tcPr>
                <w:p w14:paraId="4C63282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lang w:val="en-US" w:eastAsia="zh-CN" w:bidi="ar"/>
                    </w:rPr>
                  </w:pPr>
                  <w:r>
                    <w:rPr>
                      <w:rFonts w:hint="eastAsia" w:ascii="宋体" w:hAnsi="宋体" w:eastAsia="宋体" w:cs="宋体"/>
                      <w:color w:val="auto"/>
                      <w:kern w:val="0"/>
                      <w:sz w:val="21"/>
                      <w:szCs w:val="21"/>
                      <w:lang w:val="en-US" w:eastAsia="zh-CN" w:bidi="ar"/>
                    </w:rPr>
                    <w:t>《制鞋行业挥发性有机化合物排放标准》（</w:t>
                  </w:r>
                  <w:r>
                    <w:rPr>
                      <w:rFonts w:hint="default" w:ascii="Times New Roman" w:hAnsi="Times New Roman" w:eastAsia="宋体" w:cs="Times New Roman"/>
                      <w:color w:val="auto"/>
                      <w:kern w:val="0"/>
                      <w:sz w:val="21"/>
                      <w:szCs w:val="21"/>
                      <w:lang w:val="en-US" w:eastAsia="zh-CN" w:bidi="ar"/>
                    </w:rPr>
                    <w:t>DB44817</w:t>
                  </w:r>
                  <w:r>
                    <w:rPr>
                      <w:rFonts w:hint="eastAsia" w:cs="Times New Roman"/>
                      <w:color w:val="auto"/>
                      <w:kern w:val="0"/>
                      <w:sz w:val="21"/>
                      <w:szCs w:val="21"/>
                      <w:lang w:val="en-US" w:eastAsia="zh-CN" w:bidi="ar"/>
                    </w:rPr>
                    <w:t xml:space="preserve"> -</w:t>
                  </w:r>
                  <w:r>
                    <w:rPr>
                      <w:rFonts w:hint="default" w:ascii="Times New Roman" w:hAnsi="Times New Roman" w:eastAsia="宋体" w:cs="Times New Roman"/>
                      <w:color w:val="auto"/>
                      <w:kern w:val="0"/>
                      <w:sz w:val="21"/>
                      <w:szCs w:val="21"/>
                      <w:lang w:val="en-US" w:eastAsia="zh-CN" w:bidi="ar"/>
                    </w:rPr>
                    <w:t>2010</w:t>
                  </w:r>
                  <w:r>
                    <w:rPr>
                      <w:rFonts w:hint="eastAsia" w:ascii="宋体" w:hAnsi="宋体" w:eastAsia="宋体" w:cs="宋体"/>
                      <w:color w:val="auto"/>
                      <w:kern w:val="0"/>
                      <w:sz w:val="21"/>
                      <w:szCs w:val="21"/>
                      <w:lang w:val="en-US" w:eastAsia="zh-CN" w:bidi="ar"/>
                    </w:rPr>
                    <w:t>）</w:t>
                  </w:r>
                  <w:r>
                    <w:rPr>
                      <w:rFonts w:hint="eastAsia" w:ascii="宋体" w:hAnsi="宋体" w:cs="宋体"/>
                      <w:color w:val="auto"/>
                      <w:kern w:val="0"/>
                      <w:sz w:val="21"/>
                      <w:szCs w:val="21"/>
                      <w:lang w:val="en-US" w:eastAsia="zh-CN" w:bidi="ar"/>
                    </w:rPr>
                    <w:t xml:space="preserve"> 第二时段无组织排放监控浓度限值</w:t>
                  </w:r>
                  <w:r>
                    <w:rPr>
                      <w:rFonts w:hint="eastAsia" w:ascii="宋体" w:hAnsi="宋体" w:eastAsia="宋体" w:cs="宋体"/>
                      <w:color w:val="auto"/>
                      <w:kern w:val="0"/>
                      <w:sz w:val="21"/>
                      <w:szCs w:val="21"/>
                      <w:lang w:val="en-US" w:eastAsia="zh-CN" w:bidi="ar"/>
                    </w:rPr>
                    <w:t>要求与广东省地方标准《印刷行业挥发性有机化合物排放标准》（</w:t>
                  </w:r>
                  <w:r>
                    <w:rPr>
                      <w:rFonts w:hint="default" w:ascii="Times New Roman" w:hAnsi="Times New Roman" w:eastAsia="宋体" w:cs="Times New Roman"/>
                      <w:color w:val="auto"/>
                      <w:kern w:val="0"/>
                      <w:sz w:val="21"/>
                      <w:szCs w:val="21"/>
                      <w:lang w:val="en-US" w:eastAsia="zh-CN" w:bidi="ar"/>
                    </w:rPr>
                    <w:t>DB44/815</w:t>
                  </w:r>
                  <w:r>
                    <w:rPr>
                      <w:rFonts w:hint="eastAsia" w:cs="Times New Roman"/>
                      <w:color w:val="auto"/>
                      <w:kern w:val="0"/>
                      <w:sz w:val="21"/>
                      <w:szCs w:val="21"/>
                      <w:lang w:val="en-US" w:eastAsia="zh-CN" w:bidi="ar"/>
                    </w:rPr>
                    <w:t xml:space="preserve"> -</w:t>
                  </w:r>
                  <w:r>
                    <w:rPr>
                      <w:rFonts w:hint="default" w:ascii="Times New Roman" w:hAnsi="Times New Roman" w:eastAsia="宋体" w:cs="Times New Roman"/>
                      <w:color w:val="auto"/>
                      <w:kern w:val="0"/>
                      <w:sz w:val="21"/>
                      <w:szCs w:val="21"/>
                      <w:lang w:val="en-US" w:eastAsia="zh-CN" w:bidi="ar"/>
                    </w:rPr>
                    <w:t>2010</w:t>
                  </w:r>
                  <w:r>
                    <w:rPr>
                      <w:rFonts w:hint="eastAsia" w:ascii="宋体" w:hAnsi="宋体" w:eastAsia="宋体" w:cs="宋体"/>
                      <w:color w:val="auto"/>
                      <w:kern w:val="0"/>
                      <w:sz w:val="21"/>
                      <w:szCs w:val="21"/>
                      <w:lang w:val="en-US" w:eastAsia="zh-CN" w:bidi="ar"/>
                    </w:rPr>
                    <w:t>）表</w:t>
                  </w:r>
                  <w:r>
                    <w:rPr>
                      <w:rFonts w:hint="default" w:ascii="Times New Roman" w:hAnsi="Times New Roman" w:eastAsia="宋体" w:cs="Times New Roman"/>
                      <w:color w:val="auto"/>
                      <w:kern w:val="0"/>
                      <w:sz w:val="21"/>
                      <w:szCs w:val="21"/>
                      <w:lang w:val="en-US" w:eastAsia="zh-CN" w:bidi="ar"/>
                    </w:rPr>
                    <w:t>3</w:t>
                  </w:r>
                  <w:r>
                    <w:rPr>
                      <w:rFonts w:hint="eastAsia" w:ascii="宋体" w:hAnsi="宋体" w:eastAsia="宋体" w:cs="宋体"/>
                      <w:color w:val="auto"/>
                      <w:kern w:val="0"/>
                      <w:sz w:val="21"/>
                      <w:szCs w:val="21"/>
                      <w:lang w:val="en-US" w:eastAsia="zh-CN" w:bidi="ar"/>
                    </w:rPr>
                    <w:t>无组织排放监控点浓度</w:t>
                  </w:r>
                </w:p>
              </w:tc>
              <w:tc>
                <w:tcPr>
                  <w:tcW w:w="1179" w:type="dxa"/>
                  <w:vAlign w:val="center"/>
                </w:tcPr>
                <w:p w14:paraId="3DB699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2.0</w:t>
                  </w:r>
                </w:p>
              </w:tc>
              <w:tc>
                <w:tcPr>
                  <w:tcW w:w="824" w:type="dxa"/>
                  <w:vAlign w:val="center"/>
                </w:tcPr>
                <w:p w14:paraId="030AF84B">
                  <w:pPr>
                    <w:keepNext w:val="0"/>
                    <w:keepLines w:val="0"/>
                    <w:widowControl/>
                    <w:suppressLineNumbers w:val="0"/>
                    <w:spacing w:before="0" w:beforeAutospacing="0" w:after="0" w:afterAutospacing="0"/>
                    <w:ind w:left="0" w:right="0"/>
                    <w:jc w:val="center"/>
                    <w:textAlignment w:val="center"/>
                    <w:rPr>
                      <w:rFonts w:hint="default" w:cs="Segoe UI"/>
                      <w:b w:val="0"/>
                      <w:i w:val="0"/>
                      <w:iCs w:val="0"/>
                      <w:caps w:val="0"/>
                      <w:strike w:val="0"/>
                      <w:color w:val="auto"/>
                      <w:spacing w:val="0"/>
                      <w:sz w:val="21"/>
                      <w:szCs w:val="24"/>
                      <w:u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0.007</w:t>
                  </w:r>
                </w:p>
              </w:tc>
            </w:tr>
            <w:tr w14:paraId="33CE6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1" w:type="dxa"/>
                  <w:vMerge w:val="continue"/>
                  <w:vAlign w:val="center"/>
                </w:tcPr>
                <w:p w14:paraId="24E568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738" w:type="dxa"/>
                  <w:vMerge w:val="continue"/>
                  <w:vAlign w:val="center"/>
                </w:tcPr>
                <w:p w14:paraId="16E0C2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1135" w:type="dxa"/>
                  <w:vMerge w:val="continue"/>
                  <w:vAlign w:val="center"/>
                </w:tcPr>
                <w:p w14:paraId="7E2F30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845" w:type="dxa"/>
                  <w:vAlign w:val="center"/>
                </w:tcPr>
                <w:p w14:paraId="682E7C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颗粒物</w:t>
                  </w:r>
                </w:p>
              </w:tc>
              <w:tc>
                <w:tcPr>
                  <w:tcW w:w="994" w:type="dxa"/>
                  <w:vMerge w:val="continue"/>
                  <w:vAlign w:val="center"/>
                </w:tcPr>
                <w:p w14:paraId="621623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3811" w:type="dxa"/>
                  <w:vAlign w:val="center"/>
                </w:tcPr>
                <w:p w14:paraId="30CFF2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广东省《大气污染物排放限值》（DB44/27</w:t>
                  </w:r>
                  <w:r>
                    <w:rPr>
                      <w:rFonts w:hint="eastAsia" w:cs="var(--dsw-font-markdown-table)"/>
                      <w:color w:val="auto"/>
                      <w:kern w:val="0"/>
                      <w:sz w:val="21"/>
                      <w:szCs w:val="24"/>
                      <w:lang w:val="en-US" w:eastAsia="zh-CN" w:bidi="ar"/>
                    </w:rPr>
                    <w:t xml:space="preserve">- </w:t>
                  </w:r>
                  <w:r>
                    <w:rPr>
                      <w:rFonts w:hint="default" w:ascii="Times New Roman" w:hAnsi="Times New Roman" w:eastAsia="宋体" w:cs="var(--dsw-font-markdown-table)"/>
                      <w:color w:val="auto"/>
                      <w:kern w:val="0"/>
                      <w:sz w:val="21"/>
                      <w:szCs w:val="24"/>
                      <w:lang w:val="en-US" w:eastAsia="zh-CN" w:bidi="ar"/>
                    </w:rPr>
                    <w:t>2001）第二时段无组织排放监控浓度限值</w:t>
                  </w:r>
                </w:p>
              </w:tc>
              <w:tc>
                <w:tcPr>
                  <w:tcW w:w="1179" w:type="dxa"/>
                  <w:vAlign w:val="center"/>
                </w:tcPr>
                <w:p w14:paraId="42AA75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var(--dsw-font-markdown-table)"/>
                      <w:color w:val="auto"/>
                      <w:kern w:val="0"/>
                      <w:sz w:val="21"/>
                      <w:szCs w:val="24"/>
                      <w:lang w:val="en-US" w:eastAsia="zh-CN" w:bidi="ar"/>
                    </w:rPr>
                    <w:t>1.0</w:t>
                  </w:r>
                </w:p>
              </w:tc>
              <w:tc>
                <w:tcPr>
                  <w:tcW w:w="824" w:type="dxa"/>
                  <w:vAlign w:val="center"/>
                </w:tcPr>
                <w:p w14:paraId="284577BA">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var(--dsw-font-markdown-table)"/>
                      <w:b/>
                      <w:bCs/>
                      <w:color w:val="auto"/>
                      <w:kern w:val="0"/>
                      <w:sz w:val="21"/>
                      <w:szCs w:val="24"/>
                      <w:lang w:val="en-US" w:eastAsia="zh-CN" w:bidi="ar"/>
                    </w:rPr>
                  </w:pPr>
                  <w:r>
                    <w:rPr>
                      <w:rFonts w:hint="eastAsia" w:ascii="宋体" w:hAnsi="宋体" w:eastAsia="宋体" w:cs="宋体"/>
                      <w:i w:val="0"/>
                      <w:iCs w:val="0"/>
                      <w:color w:val="000000"/>
                      <w:kern w:val="0"/>
                      <w:sz w:val="21"/>
                      <w:szCs w:val="21"/>
                      <w:u w:val="none"/>
                      <w:lang w:val="en-US" w:eastAsia="zh-CN" w:bidi="ar"/>
                    </w:rPr>
                    <w:t>少量</w:t>
                  </w:r>
                </w:p>
              </w:tc>
            </w:tr>
            <w:tr w14:paraId="50110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1" w:type="dxa"/>
                  <w:vMerge w:val="continue"/>
                  <w:vAlign w:val="center"/>
                </w:tcPr>
                <w:p w14:paraId="57C233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738" w:type="dxa"/>
                  <w:vMerge w:val="continue"/>
                  <w:vAlign w:val="center"/>
                </w:tcPr>
                <w:p w14:paraId="4518E4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1135" w:type="dxa"/>
                  <w:vMerge w:val="continue"/>
                  <w:vAlign w:val="center"/>
                </w:tcPr>
                <w:p w14:paraId="5E83BB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845" w:type="dxa"/>
                  <w:vAlign w:val="center"/>
                </w:tcPr>
                <w:p w14:paraId="1B3173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eastAsia" w:ascii="Times New Roman" w:hAnsi="Times New Roman" w:eastAsia="宋体" w:cs="var(--dsw-font-markdown-table)"/>
                      <w:color w:val="auto"/>
                      <w:kern w:val="0"/>
                      <w:sz w:val="21"/>
                      <w:szCs w:val="24"/>
                      <w:lang w:val="en-US" w:eastAsia="zh-CN" w:bidi="ar"/>
                    </w:rPr>
                    <w:t>臭气浓度</w:t>
                  </w:r>
                </w:p>
              </w:tc>
              <w:tc>
                <w:tcPr>
                  <w:tcW w:w="994" w:type="dxa"/>
                  <w:vMerge w:val="continue"/>
                  <w:vAlign w:val="center"/>
                </w:tcPr>
                <w:p w14:paraId="732EAE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3811" w:type="dxa"/>
                  <w:vAlign w:val="center"/>
                </w:tcPr>
                <w:p w14:paraId="73BB61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eastAsia" w:ascii="Times New Roman" w:hAnsi="Times New Roman" w:eastAsia="宋体" w:cs="var(--dsw-font-markdown-table)"/>
                      <w:color w:val="auto"/>
                      <w:kern w:val="0"/>
                      <w:sz w:val="21"/>
                      <w:szCs w:val="24"/>
                      <w:lang w:val="en-US" w:eastAsia="zh-CN" w:bidi="ar"/>
                    </w:rPr>
                    <w:t>《恶臭污染物排放标准》（</w:t>
                  </w:r>
                  <w:r>
                    <w:rPr>
                      <w:rFonts w:hint="default" w:ascii="Times New Roman" w:hAnsi="Times New Roman" w:eastAsia="宋体" w:cs="var(--dsw-font-markdown-table)"/>
                      <w:color w:val="auto"/>
                      <w:kern w:val="0"/>
                      <w:sz w:val="21"/>
                      <w:szCs w:val="24"/>
                      <w:lang w:val="en-US" w:eastAsia="zh-CN" w:bidi="ar"/>
                    </w:rPr>
                    <w:t>GB14554</w:t>
                  </w:r>
                  <w:r>
                    <w:rPr>
                      <w:rFonts w:hint="eastAsia" w:cs="var(--dsw-font-markdown-table)"/>
                      <w:color w:val="auto"/>
                      <w:kern w:val="0"/>
                      <w:sz w:val="21"/>
                      <w:szCs w:val="24"/>
                      <w:lang w:val="en-US" w:eastAsia="zh-CN" w:bidi="ar"/>
                    </w:rPr>
                    <w:t xml:space="preserve"> -</w:t>
                  </w:r>
                  <w:r>
                    <w:rPr>
                      <w:rFonts w:hint="default" w:ascii="Times New Roman" w:hAnsi="Times New Roman" w:eastAsia="宋体" w:cs="var(--dsw-font-markdown-table)"/>
                      <w:color w:val="auto"/>
                      <w:kern w:val="0"/>
                      <w:sz w:val="21"/>
                      <w:szCs w:val="24"/>
                      <w:lang w:val="en-US" w:eastAsia="zh-CN" w:bidi="ar"/>
                    </w:rPr>
                    <w:t>93</w:t>
                  </w:r>
                  <w:r>
                    <w:rPr>
                      <w:rFonts w:hint="eastAsia" w:ascii="Times New Roman" w:hAnsi="Times New Roman" w:eastAsia="宋体" w:cs="var(--dsw-font-markdown-table)"/>
                      <w:color w:val="auto"/>
                      <w:kern w:val="0"/>
                      <w:sz w:val="21"/>
                      <w:szCs w:val="24"/>
                      <w:lang w:val="en-US" w:eastAsia="zh-CN" w:bidi="ar"/>
                    </w:rPr>
                    <w:t>）表</w:t>
                  </w:r>
                  <w:r>
                    <w:rPr>
                      <w:rFonts w:hint="default" w:ascii="Times New Roman" w:hAnsi="Times New Roman" w:eastAsia="宋体" w:cs="var(--dsw-font-markdown-table)"/>
                      <w:color w:val="auto"/>
                      <w:kern w:val="0"/>
                      <w:sz w:val="21"/>
                      <w:szCs w:val="24"/>
                      <w:lang w:val="en-US" w:eastAsia="zh-CN" w:bidi="ar"/>
                    </w:rPr>
                    <w:t>1</w:t>
                  </w:r>
                  <w:r>
                    <w:rPr>
                      <w:rFonts w:hint="eastAsia" w:ascii="Times New Roman" w:hAnsi="Times New Roman" w:eastAsia="宋体" w:cs="var(--dsw-font-markdown-table)"/>
                      <w:color w:val="auto"/>
                      <w:kern w:val="0"/>
                      <w:sz w:val="21"/>
                      <w:szCs w:val="24"/>
                      <w:lang w:val="en-US" w:eastAsia="zh-CN" w:bidi="ar"/>
                    </w:rPr>
                    <w:t>恶臭污染物厂界二级新扩改建标准值</w:t>
                  </w:r>
                </w:p>
              </w:tc>
              <w:tc>
                <w:tcPr>
                  <w:tcW w:w="1179" w:type="dxa"/>
                  <w:vAlign w:val="center"/>
                </w:tcPr>
                <w:p w14:paraId="2EC2E6B2">
                  <w:pPr>
                    <w:keepNext w:val="0"/>
                    <w:keepLines w:val="0"/>
                    <w:widowControl/>
                    <w:suppressLineNumbers w:val="0"/>
                    <w:spacing w:before="0" w:beforeAutospacing="0" w:after="0" w:afterAutospacing="0"/>
                    <w:ind w:left="0" w:right="0"/>
                    <w:jc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color w:val="auto"/>
                      <w:kern w:val="0"/>
                      <w:sz w:val="20"/>
                      <w:szCs w:val="20"/>
                      <w:lang w:val="en-US" w:eastAsia="zh-CN" w:bidi="ar"/>
                    </w:rPr>
                    <w:t>20</w:t>
                  </w:r>
                  <w:r>
                    <w:rPr>
                      <w:rFonts w:hint="eastAsia" w:ascii="宋体" w:hAnsi="宋体" w:eastAsia="宋体" w:cs="宋体"/>
                      <w:color w:val="auto"/>
                      <w:kern w:val="0"/>
                      <w:sz w:val="20"/>
                      <w:szCs w:val="20"/>
                      <w:lang w:val="en-US" w:eastAsia="zh-CN" w:bidi="ar"/>
                    </w:rPr>
                    <w:t>（无量纲）</w:t>
                  </w:r>
                </w:p>
              </w:tc>
              <w:tc>
                <w:tcPr>
                  <w:tcW w:w="824" w:type="dxa"/>
                  <w:vAlign w:val="center"/>
                </w:tcPr>
                <w:p w14:paraId="7A7B5E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b/>
                      <w:bCs/>
                      <w:color w:val="auto"/>
                      <w:kern w:val="0"/>
                      <w:sz w:val="21"/>
                      <w:szCs w:val="24"/>
                      <w:lang w:val="en-US" w:eastAsia="zh-CN" w:bidi="ar"/>
                    </w:rPr>
                  </w:pPr>
                  <w:r>
                    <w:rPr>
                      <w:rFonts w:hint="eastAsia" w:ascii="宋体" w:hAnsi="宋体" w:eastAsia="宋体" w:cs="宋体"/>
                      <w:i w:val="0"/>
                      <w:iCs w:val="0"/>
                      <w:color w:val="000000"/>
                      <w:kern w:val="0"/>
                      <w:sz w:val="21"/>
                      <w:szCs w:val="21"/>
                      <w:u w:val="none"/>
                      <w:lang w:val="en-US" w:eastAsia="zh-CN" w:bidi="ar"/>
                    </w:rPr>
                    <w:t>少量</w:t>
                  </w:r>
                </w:p>
              </w:tc>
            </w:tr>
            <w:tr w14:paraId="21712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451" w:type="dxa"/>
                  <w:vMerge w:val="restart"/>
                  <w:vAlign w:val="center"/>
                </w:tcPr>
                <w:p w14:paraId="26BB70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3</w:t>
                  </w:r>
                </w:p>
              </w:tc>
              <w:tc>
                <w:tcPr>
                  <w:tcW w:w="738" w:type="dxa"/>
                  <w:vMerge w:val="restart"/>
                  <w:vAlign w:val="center"/>
                </w:tcPr>
                <w:p w14:paraId="796940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w:t>
                  </w:r>
                </w:p>
              </w:tc>
              <w:tc>
                <w:tcPr>
                  <w:tcW w:w="1135" w:type="dxa"/>
                  <w:vMerge w:val="restart"/>
                  <w:vAlign w:val="center"/>
                </w:tcPr>
                <w:p w14:paraId="3BCD25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成品组装工序（刷处理剂、刷胶、补胶、打粗、加热定型）</w:t>
                  </w:r>
                </w:p>
              </w:tc>
              <w:tc>
                <w:tcPr>
                  <w:tcW w:w="845" w:type="dxa"/>
                  <w:vAlign w:val="center"/>
                </w:tcPr>
                <w:p w14:paraId="6CA643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b w:val="0"/>
                      <w:bCs w:val="0"/>
                      <w:color w:val="auto"/>
                      <w:kern w:val="0"/>
                      <w:sz w:val="21"/>
                      <w:szCs w:val="24"/>
                      <w:lang w:val="en-US" w:eastAsia="zh-CN" w:bidi="ar"/>
                    </w:rPr>
                    <w:t>非甲烷总烃</w:t>
                  </w:r>
                </w:p>
              </w:tc>
              <w:tc>
                <w:tcPr>
                  <w:tcW w:w="994" w:type="dxa"/>
                  <w:vMerge w:val="restart"/>
                  <w:vAlign w:val="center"/>
                </w:tcPr>
                <w:p w14:paraId="33C8C3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加强车间通风换气</w:t>
                  </w:r>
                </w:p>
              </w:tc>
              <w:tc>
                <w:tcPr>
                  <w:tcW w:w="3811" w:type="dxa"/>
                  <w:vAlign w:val="center"/>
                </w:tcPr>
                <w:p w14:paraId="25AB46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b w:val="0"/>
                      <w:bCs w:val="0"/>
                      <w:color w:val="auto"/>
                      <w:kern w:val="0"/>
                      <w:sz w:val="21"/>
                      <w:szCs w:val="24"/>
                      <w:lang w:val="en-US" w:eastAsia="zh-CN" w:bidi="ar"/>
                    </w:rPr>
                    <w:t>广东省《制鞋行业挥发性有机化合物排放标准》（DB44/817</w:t>
                  </w:r>
                  <w:r>
                    <w:rPr>
                      <w:rFonts w:hint="eastAsia" w:cs="var(--dsw-font-markdown-table)"/>
                      <w:b w:val="0"/>
                      <w:bCs w:val="0"/>
                      <w:color w:val="auto"/>
                      <w:kern w:val="0"/>
                      <w:sz w:val="21"/>
                      <w:szCs w:val="24"/>
                      <w:lang w:val="en-US" w:eastAsia="zh-CN" w:bidi="ar"/>
                    </w:rPr>
                    <w:t xml:space="preserve"> -</w:t>
                  </w:r>
                  <w:r>
                    <w:rPr>
                      <w:rFonts w:hint="default" w:ascii="Times New Roman" w:hAnsi="Times New Roman" w:eastAsia="宋体" w:cs="var(--dsw-font-markdown-table)"/>
                      <w:b w:val="0"/>
                      <w:bCs w:val="0"/>
                      <w:color w:val="auto"/>
                      <w:kern w:val="0"/>
                      <w:sz w:val="21"/>
                      <w:szCs w:val="24"/>
                      <w:lang w:val="en-US" w:eastAsia="zh-CN" w:bidi="ar"/>
                    </w:rPr>
                    <w:t>2010）表2无组织排放监控点浓度限值</w:t>
                  </w:r>
                </w:p>
              </w:tc>
              <w:tc>
                <w:tcPr>
                  <w:tcW w:w="1179" w:type="dxa"/>
                  <w:vAlign w:val="center"/>
                </w:tcPr>
                <w:p w14:paraId="35657E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eastAsia" w:cs="var(--dsw-font-markdown-table)"/>
                      <w:color w:val="auto"/>
                      <w:kern w:val="0"/>
                      <w:sz w:val="21"/>
                      <w:szCs w:val="24"/>
                      <w:lang w:val="en-US" w:eastAsia="zh-CN" w:bidi="ar"/>
                    </w:rPr>
                    <w:t>4</w:t>
                  </w:r>
                  <w:r>
                    <w:rPr>
                      <w:rFonts w:hint="default" w:ascii="Times New Roman" w:hAnsi="Times New Roman" w:eastAsia="宋体" w:cs="var(--dsw-font-markdown-table)"/>
                      <w:color w:val="auto"/>
                      <w:kern w:val="0"/>
                      <w:sz w:val="21"/>
                      <w:szCs w:val="24"/>
                      <w:lang w:val="en-US" w:eastAsia="zh-CN" w:bidi="ar"/>
                    </w:rPr>
                    <w:t>.0</w:t>
                  </w:r>
                </w:p>
              </w:tc>
              <w:tc>
                <w:tcPr>
                  <w:tcW w:w="824" w:type="dxa"/>
                  <w:vAlign w:val="center"/>
                </w:tcPr>
                <w:p w14:paraId="4D88746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i w:val="0"/>
                      <w:iCs w:val="0"/>
                      <w:caps w:val="0"/>
                      <w:strike w:val="0"/>
                      <w:color w:val="auto"/>
                      <w:spacing w:val="0"/>
                      <w:sz w:val="21"/>
                      <w:szCs w:val="24"/>
                      <w:u w:val="none"/>
                      <w:vertAlign w:val="baseline"/>
                      <w:lang w:val="en-US"/>
                    </w:rPr>
                  </w:pPr>
                  <w:r>
                    <w:rPr>
                      <w:rFonts w:hint="default" w:ascii="Times New Roman" w:hAnsi="Times New Roman" w:eastAsia="宋体" w:cs="Times New Roman"/>
                      <w:i w:val="0"/>
                      <w:iCs w:val="0"/>
                      <w:color w:val="000000"/>
                      <w:kern w:val="0"/>
                      <w:sz w:val="21"/>
                      <w:szCs w:val="21"/>
                      <w:u w:val="none"/>
                      <w:lang w:val="en-US" w:eastAsia="zh-CN" w:bidi="ar"/>
                    </w:rPr>
                    <w:t>0.1649</w:t>
                  </w:r>
                </w:p>
              </w:tc>
            </w:tr>
            <w:tr w14:paraId="3C58B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451" w:type="dxa"/>
                  <w:vMerge w:val="continue"/>
                  <w:vAlign w:val="center"/>
                </w:tcPr>
                <w:p w14:paraId="1CDFD3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738" w:type="dxa"/>
                  <w:vMerge w:val="continue"/>
                  <w:vAlign w:val="center"/>
                </w:tcPr>
                <w:p w14:paraId="251983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1135" w:type="dxa"/>
                  <w:vMerge w:val="continue"/>
                  <w:vAlign w:val="center"/>
                </w:tcPr>
                <w:p w14:paraId="3CF6AB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845" w:type="dxa"/>
                  <w:vAlign w:val="center"/>
                </w:tcPr>
                <w:p w14:paraId="4C726D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b w:val="0"/>
                      <w:bCs w:val="0"/>
                      <w:color w:val="auto"/>
                      <w:kern w:val="0"/>
                      <w:sz w:val="21"/>
                      <w:szCs w:val="24"/>
                      <w:lang w:val="en-US" w:eastAsia="zh-CN" w:bidi="ar"/>
                    </w:rPr>
                    <w:t>总VOCs</w:t>
                  </w:r>
                </w:p>
              </w:tc>
              <w:tc>
                <w:tcPr>
                  <w:tcW w:w="994" w:type="dxa"/>
                  <w:vMerge w:val="continue"/>
                  <w:vAlign w:val="center"/>
                </w:tcPr>
                <w:p w14:paraId="4D3DB3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3811" w:type="dxa"/>
                  <w:vAlign w:val="center"/>
                </w:tcPr>
                <w:p w14:paraId="1A8BB8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eastAsia" w:ascii="Times New Roman" w:hAnsi="Times New Roman" w:eastAsia="宋体" w:cs="var(--dsw-font-markdown-table)"/>
                      <w:b w:val="0"/>
                      <w:bCs w:val="0"/>
                      <w:color w:val="auto"/>
                      <w:kern w:val="0"/>
                      <w:sz w:val="21"/>
                      <w:szCs w:val="24"/>
                      <w:lang w:val="en-US" w:eastAsia="zh-CN" w:bidi="ar"/>
                    </w:rPr>
                    <w:t>《制鞋行业挥发性有机化合物排放标准》（</w:t>
                  </w:r>
                  <w:r>
                    <w:rPr>
                      <w:rFonts w:hint="default" w:ascii="Times New Roman" w:hAnsi="Times New Roman" w:eastAsia="宋体" w:cs="var(--dsw-font-markdown-table)"/>
                      <w:b w:val="0"/>
                      <w:bCs w:val="0"/>
                      <w:color w:val="auto"/>
                      <w:kern w:val="0"/>
                      <w:sz w:val="21"/>
                      <w:szCs w:val="24"/>
                      <w:lang w:val="en-US" w:eastAsia="zh-CN" w:bidi="ar"/>
                    </w:rPr>
                    <w:t>DB44</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 xml:space="preserve"> 817</w:t>
                  </w:r>
                  <w:r>
                    <w:rPr>
                      <w:rFonts w:hint="eastAsia" w:cs="var(--dsw-font-markdown-table)"/>
                      <w:b w:val="0"/>
                      <w:bCs w:val="0"/>
                      <w:color w:val="auto"/>
                      <w:kern w:val="0"/>
                      <w:sz w:val="21"/>
                      <w:szCs w:val="24"/>
                      <w:lang w:val="en-US" w:eastAsia="zh-CN" w:bidi="ar"/>
                    </w:rPr>
                    <w:t xml:space="preserve">- </w:t>
                  </w:r>
                  <w:r>
                    <w:rPr>
                      <w:rFonts w:hint="default" w:ascii="Times New Roman" w:hAnsi="Times New Roman" w:eastAsia="宋体" w:cs="var(--dsw-font-markdown-table)"/>
                      <w:b w:val="0"/>
                      <w:bCs w:val="0"/>
                      <w:color w:val="auto"/>
                      <w:kern w:val="0"/>
                      <w:sz w:val="21"/>
                      <w:szCs w:val="24"/>
                      <w:lang w:val="en-US" w:eastAsia="zh-CN" w:bidi="ar"/>
                    </w:rPr>
                    <w:t>2010</w:t>
                  </w:r>
                  <w:r>
                    <w:rPr>
                      <w:rFonts w:hint="eastAsia" w:ascii="Times New Roman" w:hAnsi="Times New Roman" w:eastAsia="宋体" w:cs="var(--dsw-font-markdown-table)"/>
                      <w:b w:val="0"/>
                      <w:bCs w:val="0"/>
                      <w:color w:val="auto"/>
                      <w:kern w:val="0"/>
                      <w:sz w:val="21"/>
                      <w:szCs w:val="24"/>
                      <w:lang w:val="en-US" w:eastAsia="zh-CN" w:bidi="ar"/>
                    </w:rPr>
                    <w:t>）</w:t>
                  </w:r>
                  <w:r>
                    <w:rPr>
                      <w:rFonts w:hint="eastAsia" w:cs="var(--dsw-font-markdown-table)"/>
                      <w:b w:val="0"/>
                      <w:bCs w:val="0"/>
                      <w:color w:val="auto"/>
                      <w:kern w:val="0"/>
                      <w:sz w:val="21"/>
                      <w:szCs w:val="24"/>
                      <w:lang w:val="en-US" w:eastAsia="zh-CN" w:bidi="ar"/>
                    </w:rPr>
                    <w:t xml:space="preserve"> 第二时段无组织排放监控浓度限值</w:t>
                  </w:r>
                  <w:r>
                    <w:rPr>
                      <w:rFonts w:hint="eastAsia" w:ascii="Times New Roman" w:hAnsi="Times New Roman" w:eastAsia="宋体" w:cs="var(--dsw-font-markdown-table)"/>
                      <w:b w:val="0"/>
                      <w:bCs w:val="0"/>
                      <w:color w:val="auto"/>
                      <w:kern w:val="0"/>
                      <w:sz w:val="21"/>
                      <w:szCs w:val="24"/>
                      <w:lang w:val="en-US" w:eastAsia="zh-CN" w:bidi="ar"/>
                    </w:rPr>
                    <w:t>要求</w:t>
                  </w:r>
                </w:p>
              </w:tc>
              <w:tc>
                <w:tcPr>
                  <w:tcW w:w="1179" w:type="dxa"/>
                  <w:vAlign w:val="center"/>
                </w:tcPr>
                <w:p w14:paraId="250120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1.0</w:t>
                  </w:r>
                </w:p>
              </w:tc>
              <w:tc>
                <w:tcPr>
                  <w:tcW w:w="824" w:type="dxa"/>
                  <w:vAlign w:val="center"/>
                </w:tcPr>
                <w:p w14:paraId="07841E8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i w:val="0"/>
                      <w:iCs w:val="0"/>
                      <w:caps w:val="0"/>
                      <w:strike w:val="0"/>
                      <w:color w:val="auto"/>
                      <w:spacing w:val="0"/>
                      <w:sz w:val="21"/>
                      <w:szCs w:val="24"/>
                      <w:u w:val="none"/>
                      <w:vertAlign w:val="baseline"/>
                    </w:rPr>
                  </w:pPr>
                  <w:r>
                    <w:rPr>
                      <w:rFonts w:hint="eastAsia" w:ascii="宋体" w:hAnsi="宋体" w:eastAsia="宋体" w:cs="宋体"/>
                      <w:i w:val="0"/>
                      <w:iCs w:val="0"/>
                      <w:color w:val="000000"/>
                      <w:kern w:val="0"/>
                      <w:sz w:val="21"/>
                      <w:szCs w:val="21"/>
                      <w:u w:val="none"/>
                      <w:lang w:val="en-US" w:eastAsia="zh-CN" w:bidi="ar"/>
                    </w:rPr>
                    <w:t>少量</w:t>
                  </w:r>
                </w:p>
              </w:tc>
            </w:tr>
            <w:tr w14:paraId="1F058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1" w:type="dxa"/>
                  <w:vMerge w:val="continue"/>
                  <w:vAlign w:val="center"/>
                </w:tcPr>
                <w:p w14:paraId="5764AC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738" w:type="dxa"/>
                  <w:vMerge w:val="continue"/>
                  <w:vAlign w:val="center"/>
                </w:tcPr>
                <w:p w14:paraId="126920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1135" w:type="dxa"/>
                  <w:vMerge w:val="continue"/>
                  <w:vAlign w:val="center"/>
                </w:tcPr>
                <w:p w14:paraId="7C5159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845" w:type="dxa"/>
                  <w:vAlign w:val="center"/>
                </w:tcPr>
                <w:p w14:paraId="2D8AE9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颗粒物</w:t>
                  </w:r>
                </w:p>
              </w:tc>
              <w:tc>
                <w:tcPr>
                  <w:tcW w:w="994" w:type="dxa"/>
                  <w:vMerge w:val="continue"/>
                  <w:vAlign w:val="center"/>
                </w:tcPr>
                <w:p w14:paraId="5DA9E7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3811" w:type="dxa"/>
                  <w:vAlign w:val="center"/>
                </w:tcPr>
                <w:p w14:paraId="6AEB12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Times New Roman" w:hAnsi="Times New Roman" w:eastAsia="宋体" w:cs="var(--dsw-font-markdown-table)"/>
                      <w:color w:val="auto"/>
                      <w:kern w:val="0"/>
                      <w:sz w:val="21"/>
                      <w:szCs w:val="24"/>
                      <w:lang w:val="en-US" w:eastAsia="zh-CN" w:bidi="ar"/>
                    </w:rPr>
                  </w:pPr>
                  <w:r>
                    <w:rPr>
                      <w:rFonts w:hint="default" w:ascii="Times New Roman" w:hAnsi="Times New Roman" w:eastAsia="宋体" w:cs="Segoe UI"/>
                      <w:b w:val="0"/>
                      <w:bCs w:val="0"/>
                      <w:i w:val="0"/>
                      <w:iCs w:val="0"/>
                      <w:caps w:val="0"/>
                      <w:color w:val="auto"/>
                      <w:spacing w:val="0"/>
                      <w:sz w:val="21"/>
                      <w:szCs w:val="24"/>
                      <w:shd w:val="clear" w:fill="FFFFFF"/>
                      <w:lang w:val="en-US" w:eastAsia="zh-CN"/>
                    </w:rPr>
                    <w:t>《合成树脂工业污染物排放标准》（GB31572</w:t>
                  </w:r>
                  <w:r>
                    <w:rPr>
                      <w:rFonts w:hint="eastAsia" w:cs="Segoe UI"/>
                      <w:b w:val="0"/>
                      <w:bCs w:val="0"/>
                      <w:i w:val="0"/>
                      <w:iCs w:val="0"/>
                      <w:caps w:val="0"/>
                      <w:color w:val="auto"/>
                      <w:spacing w:val="0"/>
                      <w:sz w:val="21"/>
                      <w:szCs w:val="24"/>
                      <w:shd w:val="clear" w:fill="FFFFFF"/>
                      <w:lang w:val="en-US" w:eastAsia="zh-CN"/>
                    </w:rPr>
                    <w:t xml:space="preserve">- </w:t>
                  </w:r>
                  <w:r>
                    <w:rPr>
                      <w:rFonts w:hint="default" w:ascii="Times New Roman" w:hAnsi="Times New Roman" w:eastAsia="宋体" w:cs="Segoe UI"/>
                      <w:b w:val="0"/>
                      <w:bCs w:val="0"/>
                      <w:i w:val="0"/>
                      <w:iCs w:val="0"/>
                      <w:caps w:val="0"/>
                      <w:color w:val="auto"/>
                      <w:spacing w:val="0"/>
                      <w:sz w:val="21"/>
                      <w:szCs w:val="24"/>
                      <w:shd w:val="clear" w:fill="FFFFFF"/>
                      <w:lang w:val="en-US" w:eastAsia="zh-CN"/>
                    </w:rPr>
                    <w:t>2015）表</w:t>
                  </w:r>
                  <w:r>
                    <w:rPr>
                      <w:rFonts w:hint="eastAsia" w:cs="Segoe UI"/>
                      <w:b w:val="0"/>
                      <w:bCs w:val="0"/>
                      <w:i w:val="0"/>
                      <w:iCs w:val="0"/>
                      <w:caps w:val="0"/>
                      <w:color w:val="auto"/>
                      <w:spacing w:val="0"/>
                      <w:sz w:val="21"/>
                      <w:szCs w:val="24"/>
                      <w:shd w:val="clear" w:fill="FFFFFF"/>
                      <w:lang w:val="en-US" w:eastAsia="zh-CN"/>
                    </w:rPr>
                    <w:t>9</w:t>
                  </w:r>
                  <w:r>
                    <w:rPr>
                      <w:rFonts w:hint="default" w:ascii="Times New Roman" w:hAnsi="Times New Roman" w:eastAsia="宋体" w:cs="Segoe UI"/>
                      <w:b w:val="0"/>
                      <w:bCs w:val="0"/>
                      <w:i w:val="0"/>
                      <w:iCs w:val="0"/>
                      <w:caps w:val="0"/>
                      <w:color w:val="auto"/>
                      <w:spacing w:val="0"/>
                      <w:sz w:val="21"/>
                      <w:szCs w:val="24"/>
                      <w:shd w:val="clear" w:fill="FFFFFF"/>
                      <w:lang w:val="en-US" w:eastAsia="zh-CN"/>
                    </w:rPr>
                    <w:t>限值</w:t>
                  </w:r>
                </w:p>
              </w:tc>
              <w:tc>
                <w:tcPr>
                  <w:tcW w:w="1179" w:type="dxa"/>
                  <w:vAlign w:val="center"/>
                </w:tcPr>
                <w:p w14:paraId="17AFC82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0"/>
                      <w:szCs w:val="20"/>
                      <w:lang w:val="en-US" w:eastAsia="zh-CN" w:bidi="ar"/>
                    </w:rPr>
                  </w:pPr>
                  <w:r>
                    <w:rPr>
                      <w:rFonts w:hint="eastAsia" w:cs="Times New Roman"/>
                      <w:color w:val="auto"/>
                      <w:kern w:val="0"/>
                      <w:sz w:val="20"/>
                      <w:szCs w:val="20"/>
                      <w:lang w:val="en-US" w:eastAsia="zh-CN" w:bidi="ar"/>
                    </w:rPr>
                    <w:t>2.0</w:t>
                  </w:r>
                </w:p>
              </w:tc>
              <w:tc>
                <w:tcPr>
                  <w:tcW w:w="824" w:type="dxa"/>
                  <w:vAlign w:val="center"/>
                </w:tcPr>
                <w:p w14:paraId="6EEB9A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b/>
                      <w:bCs/>
                      <w:color w:val="auto"/>
                      <w:kern w:val="0"/>
                      <w:sz w:val="21"/>
                      <w:szCs w:val="24"/>
                      <w:lang w:val="en-US" w:eastAsia="zh-CN" w:bidi="ar"/>
                    </w:rPr>
                  </w:pPr>
                  <w:r>
                    <w:rPr>
                      <w:rFonts w:hint="eastAsia" w:ascii="宋体" w:hAnsi="宋体" w:eastAsia="宋体" w:cs="宋体"/>
                      <w:i w:val="0"/>
                      <w:iCs w:val="0"/>
                      <w:color w:val="000000"/>
                      <w:kern w:val="0"/>
                      <w:sz w:val="21"/>
                      <w:szCs w:val="21"/>
                      <w:u w:val="none"/>
                      <w:lang w:val="en-US" w:eastAsia="zh-CN" w:bidi="ar"/>
                    </w:rPr>
                    <w:t>少量</w:t>
                  </w:r>
                </w:p>
              </w:tc>
            </w:tr>
            <w:tr w14:paraId="5F29C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451" w:type="dxa"/>
                  <w:vMerge w:val="continue"/>
                  <w:vAlign w:val="center"/>
                </w:tcPr>
                <w:p w14:paraId="0EF8A8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738" w:type="dxa"/>
                  <w:vMerge w:val="continue"/>
                  <w:vAlign w:val="center"/>
                </w:tcPr>
                <w:p w14:paraId="585A35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1135" w:type="dxa"/>
                  <w:vMerge w:val="continue"/>
                  <w:vAlign w:val="center"/>
                </w:tcPr>
                <w:p w14:paraId="233325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845" w:type="dxa"/>
                  <w:vAlign w:val="center"/>
                </w:tcPr>
                <w:p w14:paraId="5047B9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臭气浓度</w:t>
                  </w:r>
                </w:p>
              </w:tc>
              <w:tc>
                <w:tcPr>
                  <w:tcW w:w="994" w:type="dxa"/>
                  <w:vMerge w:val="continue"/>
                  <w:vAlign w:val="center"/>
                </w:tcPr>
                <w:p w14:paraId="6913E5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3811" w:type="dxa"/>
                  <w:vAlign w:val="center"/>
                </w:tcPr>
                <w:p w14:paraId="681B48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《恶臭污染物排放标准》（GB14554</w:t>
                  </w:r>
                  <w:r>
                    <w:rPr>
                      <w:rFonts w:hint="eastAsia" w:cs="var(--dsw-font-markdown-table)"/>
                      <w:b w:val="0"/>
                      <w:bCs w:val="0"/>
                      <w:color w:val="auto"/>
                      <w:kern w:val="0"/>
                      <w:sz w:val="21"/>
                      <w:szCs w:val="24"/>
                      <w:lang w:val="en-US" w:eastAsia="zh-CN" w:bidi="ar"/>
                    </w:rPr>
                    <w:t xml:space="preserve">- </w:t>
                  </w:r>
                  <w:r>
                    <w:rPr>
                      <w:rFonts w:hint="default" w:ascii="Times New Roman" w:hAnsi="Times New Roman" w:eastAsia="宋体" w:cs="var(--dsw-font-markdown-table)"/>
                      <w:b w:val="0"/>
                      <w:bCs w:val="0"/>
                      <w:color w:val="auto"/>
                      <w:kern w:val="0"/>
                      <w:sz w:val="21"/>
                      <w:szCs w:val="24"/>
                      <w:lang w:val="en-US" w:eastAsia="zh-CN" w:bidi="ar"/>
                    </w:rPr>
                    <w:t>93）表1恶臭污染物厂界标准值</w:t>
                  </w:r>
                </w:p>
              </w:tc>
              <w:tc>
                <w:tcPr>
                  <w:tcW w:w="1179" w:type="dxa"/>
                  <w:vAlign w:val="center"/>
                </w:tcPr>
                <w:p w14:paraId="55D85786">
                  <w:pPr>
                    <w:keepNext w:val="0"/>
                    <w:keepLines w:val="0"/>
                    <w:widowControl/>
                    <w:suppressLineNumbers w:val="0"/>
                    <w:spacing w:before="0" w:beforeAutospacing="0" w:after="0" w:afterAutospacing="0"/>
                    <w:ind w:left="0" w:right="0"/>
                    <w:jc w:val="left"/>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color w:val="auto"/>
                      <w:kern w:val="0"/>
                      <w:sz w:val="20"/>
                      <w:szCs w:val="20"/>
                      <w:lang w:val="en-US" w:eastAsia="zh-CN" w:bidi="ar"/>
                    </w:rPr>
                    <w:t>20</w:t>
                  </w:r>
                  <w:r>
                    <w:rPr>
                      <w:rFonts w:hint="eastAsia" w:ascii="宋体" w:hAnsi="宋体" w:eastAsia="宋体" w:cs="宋体"/>
                      <w:color w:val="auto"/>
                      <w:kern w:val="0"/>
                      <w:sz w:val="20"/>
                      <w:szCs w:val="20"/>
                      <w:lang w:val="en-US" w:eastAsia="zh-CN" w:bidi="ar"/>
                    </w:rPr>
                    <w:t>（无量纲）</w:t>
                  </w:r>
                </w:p>
              </w:tc>
              <w:tc>
                <w:tcPr>
                  <w:tcW w:w="824" w:type="dxa"/>
                  <w:vAlign w:val="center"/>
                </w:tcPr>
                <w:p w14:paraId="1E17752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w:t>
                  </w:r>
                </w:p>
              </w:tc>
            </w:tr>
            <w:tr w14:paraId="26CA0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451" w:type="dxa"/>
                  <w:vAlign w:val="center"/>
                </w:tcPr>
                <w:p w14:paraId="349FF0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4</w:t>
                  </w:r>
                </w:p>
              </w:tc>
              <w:tc>
                <w:tcPr>
                  <w:tcW w:w="738" w:type="dxa"/>
                  <w:vAlign w:val="center"/>
                </w:tcPr>
                <w:p w14:paraId="7A4F17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w:t>
                  </w:r>
                </w:p>
              </w:tc>
              <w:tc>
                <w:tcPr>
                  <w:tcW w:w="1135" w:type="dxa"/>
                  <w:vAlign w:val="center"/>
                </w:tcPr>
                <w:p w14:paraId="26B850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食堂烹饪</w:t>
                  </w:r>
                </w:p>
              </w:tc>
              <w:tc>
                <w:tcPr>
                  <w:tcW w:w="845" w:type="dxa"/>
                  <w:vAlign w:val="center"/>
                </w:tcPr>
                <w:p w14:paraId="0D3755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油烟</w:t>
                  </w:r>
                </w:p>
              </w:tc>
              <w:tc>
                <w:tcPr>
                  <w:tcW w:w="994" w:type="dxa"/>
                  <w:vAlign w:val="center"/>
                </w:tcPr>
                <w:p w14:paraId="599643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加强厨房通风</w:t>
                  </w:r>
                </w:p>
              </w:tc>
              <w:tc>
                <w:tcPr>
                  <w:tcW w:w="3811" w:type="dxa"/>
                  <w:vAlign w:val="center"/>
                </w:tcPr>
                <w:p w14:paraId="3AD4D3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w:t>
                  </w:r>
                </w:p>
              </w:tc>
              <w:tc>
                <w:tcPr>
                  <w:tcW w:w="1179" w:type="dxa"/>
                  <w:vAlign w:val="center"/>
                </w:tcPr>
                <w:p w14:paraId="4DFA84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w:t>
                  </w:r>
                </w:p>
              </w:tc>
              <w:tc>
                <w:tcPr>
                  <w:tcW w:w="824" w:type="dxa"/>
                  <w:vAlign w:val="center"/>
                </w:tcPr>
                <w:p w14:paraId="73C538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Times New Roman"/>
                      <w:i w:val="0"/>
                      <w:iCs w:val="0"/>
                      <w:color w:val="000000"/>
                      <w:kern w:val="0"/>
                      <w:sz w:val="21"/>
                      <w:szCs w:val="21"/>
                      <w:u w:val="none"/>
                      <w:lang w:val="en-US" w:eastAsia="zh-CN" w:bidi="ar"/>
                    </w:rPr>
                    <w:t>0.032</w:t>
                  </w:r>
                </w:p>
              </w:tc>
            </w:tr>
            <w:tr w14:paraId="5FFF3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1189" w:type="dxa"/>
                  <w:gridSpan w:val="2"/>
                  <w:vMerge w:val="restart"/>
                  <w:vAlign w:val="center"/>
                </w:tcPr>
                <w:p w14:paraId="0C0D1E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b/>
                      <w:bCs/>
                      <w:color w:val="auto"/>
                      <w:kern w:val="0"/>
                      <w:sz w:val="21"/>
                      <w:szCs w:val="24"/>
                      <w:lang w:val="en-US" w:eastAsia="zh-CN" w:bidi="ar"/>
                    </w:rPr>
                    <w:t>无组织排放总计</w:t>
                  </w:r>
                </w:p>
              </w:tc>
              <w:tc>
                <w:tcPr>
                  <w:tcW w:w="7964" w:type="dxa"/>
                  <w:gridSpan w:val="5"/>
                  <w:vAlign w:val="center"/>
                </w:tcPr>
                <w:p w14:paraId="1997E9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b/>
                      <w:bCs/>
                      <w:color w:val="auto"/>
                      <w:kern w:val="0"/>
                      <w:sz w:val="21"/>
                      <w:szCs w:val="24"/>
                      <w:lang w:val="en-US" w:eastAsia="zh-CN" w:bidi="ar"/>
                    </w:rPr>
                    <w:t>挥发性有机物（非甲烷总烃、总VOCs）</w:t>
                  </w:r>
                </w:p>
              </w:tc>
              <w:tc>
                <w:tcPr>
                  <w:tcW w:w="824" w:type="dxa"/>
                  <w:vAlign w:val="center"/>
                </w:tcPr>
                <w:p w14:paraId="3C221A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i w:val="0"/>
                      <w:iCs w:val="0"/>
                      <w:caps w:val="0"/>
                      <w:strike w:val="0"/>
                      <w:color w:val="auto"/>
                      <w:spacing w:val="0"/>
                      <w:sz w:val="21"/>
                      <w:szCs w:val="24"/>
                      <w:u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0.612</w:t>
                  </w:r>
                </w:p>
              </w:tc>
            </w:tr>
            <w:tr w14:paraId="27CE6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1189" w:type="dxa"/>
                  <w:gridSpan w:val="2"/>
                  <w:vMerge w:val="continue"/>
                  <w:vAlign w:val="center"/>
                </w:tcPr>
                <w:p w14:paraId="7BEE2E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7964" w:type="dxa"/>
                  <w:gridSpan w:val="5"/>
                  <w:vAlign w:val="center"/>
                </w:tcPr>
                <w:p w14:paraId="19ED0F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b/>
                      <w:bCs/>
                      <w:color w:val="auto"/>
                      <w:kern w:val="0"/>
                      <w:sz w:val="21"/>
                      <w:szCs w:val="24"/>
                      <w:lang w:val="en-US" w:eastAsia="zh-CN" w:bidi="ar"/>
                    </w:rPr>
                    <w:t>颗粒物</w:t>
                  </w:r>
                </w:p>
              </w:tc>
              <w:tc>
                <w:tcPr>
                  <w:tcW w:w="824" w:type="dxa"/>
                  <w:vAlign w:val="center"/>
                </w:tcPr>
                <w:p w14:paraId="075690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i w:val="0"/>
                      <w:iCs w:val="0"/>
                      <w:caps w:val="0"/>
                      <w:strike w:val="0"/>
                      <w:color w:val="auto"/>
                      <w:spacing w:val="0"/>
                      <w:sz w:val="21"/>
                      <w:szCs w:val="24"/>
                      <w:u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0.679</w:t>
                  </w:r>
                </w:p>
              </w:tc>
            </w:tr>
            <w:tr w14:paraId="2AF80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1189" w:type="dxa"/>
                  <w:gridSpan w:val="2"/>
                  <w:vMerge w:val="continue"/>
                  <w:vAlign w:val="center"/>
                </w:tcPr>
                <w:p w14:paraId="328DDE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7964" w:type="dxa"/>
                  <w:gridSpan w:val="5"/>
                  <w:vAlign w:val="center"/>
                </w:tcPr>
                <w:p w14:paraId="4FD5FB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b/>
                      <w:bCs/>
                      <w:color w:val="auto"/>
                      <w:kern w:val="0"/>
                      <w:sz w:val="21"/>
                      <w:szCs w:val="24"/>
                      <w:lang w:val="en-US" w:eastAsia="zh-CN" w:bidi="ar"/>
                    </w:rPr>
                    <w:t>油烟</w:t>
                  </w:r>
                </w:p>
              </w:tc>
              <w:tc>
                <w:tcPr>
                  <w:tcW w:w="824" w:type="dxa"/>
                  <w:vAlign w:val="center"/>
                </w:tcPr>
                <w:p w14:paraId="08139D2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Times New Roman"/>
                      <w:i w:val="0"/>
                      <w:iCs w:val="0"/>
                      <w:color w:val="000000"/>
                      <w:kern w:val="0"/>
                      <w:sz w:val="21"/>
                      <w:szCs w:val="21"/>
                      <w:u w:val="none"/>
                      <w:lang w:val="en-US" w:eastAsia="zh-CN" w:bidi="ar"/>
                    </w:rPr>
                    <w:t>0.032</w:t>
                  </w:r>
                </w:p>
              </w:tc>
            </w:tr>
          </w:tbl>
          <w:p w14:paraId="1717B3DF">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sz w:val="21"/>
                <w:szCs w:val="24"/>
                <w:lang w:val="en-US" w:eastAsia="zh-CN"/>
              </w:rPr>
            </w:pPr>
            <w:r>
              <w:rPr>
                <w:rFonts w:hint="default" w:ascii="Times New Roman" w:hAnsi="Times New Roman" w:eastAsia="宋体" w:cs="Times New Roman"/>
                <w:b/>
                <w:color w:val="auto"/>
                <w:sz w:val="21"/>
                <w:szCs w:val="24"/>
                <w:lang w:val="en-US" w:eastAsia="zh-CN"/>
              </w:rPr>
              <w:t>项目大气污染物年排放量核算表</w:t>
            </w:r>
          </w:p>
          <w:tbl>
            <w:tblPr>
              <w:tblStyle w:val="49"/>
              <w:tblW w:w="99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
              <w:gridCol w:w="4696"/>
              <w:gridCol w:w="1657"/>
              <w:gridCol w:w="1980"/>
              <w:gridCol w:w="1109"/>
            </w:tblGrid>
            <w:tr w14:paraId="018B6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dxa"/>
                  <w:vAlign w:val="center"/>
                </w:tcPr>
                <w:p w14:paraId="42C3CD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序号</w:t>
                  </w:r>
                </w:p>
              </w:tc>
              <w:tc>
                <w:tcPr>
                  <w:tcW w:w="4696" w:type="dxa"/>
                  <w:vAlign w:val="center"/>
                </w:tcPr>
                <w:p w14:paraId="5AF262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污染物</w:t>
                  </w:r>
                </w:p>
              </w:tc>
              <w:tc>
                <w:tcPr>
                  <w:tcW w:w="1657" w:type="dxa"/>
                  <w:vAlign w:val="center"/>
                </w:tcPr>
                <w:p w14:paraId="0A5644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有组织年排放量（t/a）</w:t>
                  </w:r>
                </w:p>
              </w:tc>
              <w:tc>
                <w:tcPr>
                  <w:tcW w:w="1980" w:type="dxa"/>
                  <w:vAlign w:val="center"/>
                </w:tcPr>
                <w:p w14:paraId="27D392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无组织年排放量（t/a）</w:t>
                  </w:r>
                </w:p>
              </w:tc>
              <w:tc>
                <w:tcPr>
                  <w:tcW w:w="1109" w:type="dxa"/>
                  <w:vAlign w:val="center"/>
                </w:tcPr>
                <w:p w14:paraId="0EB814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年排放量（t/a）</w:t>
                  </w:r>
                </w:p>
              </w:tc>
            </w:tr>
            <w:tr w14:paraId="406DD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dxa"/>
                  <w:vAlign w:val="center"/>
                </w:tcPr>
                <w:p w14:paraId="1EE802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1</w:t>
                  </w:r>
                </w:p>
              </w:tc>
              <w:tc>
                <w:tcPr>
                  <w:tcW w:w="4696" w:type="dxa"/>
                  <w:vAlign w:val="center"/>
                </w:tcPr>
                <w:p w14:paraId="7EE03F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挥发性有机物（非甲烷总烃、总VOCs）</w:t>
                  </w:r>
                </w:p>
              </w:tc>
              <w:tc>
                <w:tcPr>
                  <w:tcW w:w="1657" w:type="dxa"/>
                  <w:vAlign w:val="center"/>
                </w:tcPr>
                <w:p w14:paraId="54AD406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Times New Roman"/>
                      <w:i w:val="0"/>
                      <w:iCs w:val="0"/>
                      <w:color w:val="000000"/>
                      <w:kern w:val="0"/>
                      <w:sz w:val="21"/>
                      <w:szCs w:val="21"/>
                      <w:u w:val="none"/>
                      <w:lang w:val="en-US" w:eastAsia="zh-CN" w:bidi="ar"/>
                    </w:rPr>
                    <w:t>0.08</w:t>
                  </w:r>
                  <w:r>
                    <w:rPr>
                      <w:rFonts w:hint="eastAsia" w:ascii="Times New Roman" w:hAnsi="Times New Roman" w:eastAsia="宋体" w:cs="Times New Roman"/>
                      <w:i w:val="0"/>
                      <w:iCs w:val="0"/>
                      <w:color w:val="000000"/>
                      <w:kern w:val="0"/>
                      <w:sz w:val="21"/>
                      <w:szCs w:val="21"/>
                      <w:u w:val="none"/>
                      <w:lang w:val="en-US" w:eastAsia="zh-CN" w:bidi="ar"/>
                    </w:rPr>
                    <w:t>4</w:t>
                  </w:r>
                </w:p>
              </w:tc>
              <w:tc>
                <w:tcPr>
                  <w:tcW w:w="1980" w:type="dxa"/>
                  <w:vAlign w:val="center"/>
                </w:tcPr>
                <w:p w14:paraId="452D9B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Times New Roman"/>
                      <w:i w:val="0"/>
                      <w:iCs w:val="0"/>
                      <w:color w:val="000000"/>
                      <w:kern w:val="0"/>
                      <w:sz w:val="21"/>
                      <w:szCs w:val="21"/>
                      <w:u w:val="none"/>
                      <w:lang w:val="en-US" w:eastAsia="zh-CN" w:bidi="ar"/>
                    </w:rPr>
                    <w:t>0.612</w:t>
                  </w:r>
                </w:p>
              </w:tc>
              <w:tc>
                <w:tcPr>
                  <w:tcW w:w="1109" w:type="dxa"/>
                  <w:shd w:val="clear" w:color="auto" w:fill="auto"/>
                  <w:vAlign w:val="center"/>
                </w:tcPr>
                <w:p w14:paraId="48B0A0F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0.697</w:t>
                  </w:r>
                </w:p>
              </w:tc>
            </w:tr>
            <w:tr w14:paraId="3AC4C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dxa"/>
                  <w:vAlign w:val="center"/>
                </w:tcPr>
                <w:p w14:paraId="07123F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2</w:t>
                  </w:r>
                </w:p>
              </w:tc>
              <w:tc>
                <w:tcPr>
                  <w:tcW w:w="4696" w:type="dxa"/>
                  <w:vAlign w:val="center"/>
                </w:tcPr>
                <w:p w14:paraId="36DBCF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颗粒物</w:t>
                  </w:r>
                </w:p>
              </w:tc>
              <w:tc>
                <w:tcPr>
                  <w:tcW w:w="1657" w:type="dxa"/>
                  <w:vAlign w:val="center"/>
                </w:tcPr>
                <w:p w14:paraId="42FD06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Times New Roman"/>
                      <w:i w:val="0"/>
                      <w:iCs w:val="0"/>
                      <w:color w:val="000000"/>
                      <w:kern w:val="0"/>
                      <w:sz w:val="21"/>
                      <w:szCs w:val="21"/>
                      <w:u w:val="none"/>
                      <w:lang w:val="en-US" w:eastAsia="zh-CN" w:bidi="ar"/>
                    </w:rPr>
                    <w:t>0.029</w:t>
                  </w:r>
                </w:p>
              </w:tc>
              <w:tc>
                <w:tcPr>
                  <w:tcW w:w="1980" w:type="dxa"/>
                  <w:vAlign w:val="center"/>
                </w:tcPr>
                <w:p w14:paraId="3FE576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Times New Roman"/>
                      <w:i w:val="0"/>
                      <w:iCs w:val="0"/>
                      <w:color w:val="000000"/>
                      <w:kern w:val="0"/>
                      <w:sz w:val="21"/>
                      <w:szCs w:val="21"/>
                      <w:u w:val="none"/>
                      <w:lang w:val="en-US" w:eastAsia="zh-CN" w:bidi="ar"/>
                    </w:rPr>
                    <w:t>0.679</w:t>
                  </w:r>
                </w:p>
              </w:tc>
              <w:tc>
                <w:tcPr>
                  <w:tcW w:w="1109" w:type="dxa"/>
                  <w:vAlign w:val="center"/>
                </w:tcPr>
                <w:p w14:paraId="64A9F51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Times New Roman"/>
                      <w:i w:val="0"/>
                      <w:iCs w:val="0"/>
                      <w:color w:val="000000"/>
                      <w:kern w:val="0"/>
                      <w:sz w:val="21"/>
                      <w:szCs w:val="21"/>
                      <w:u w:val="none"/>
                      <w:lang w:val="en-US" w:eastAsia="zh-CN" w:bidi="ar"/>
                    </w:rPr>
                    <w:t>0.708</w:t>
                  </w:r>
                </w:p>
              </w:tc>
            </w:tr>
            <w:tr w14:paraId="66794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dxa"/>
                  <w:vAlign w:val="center"/>
                </w:tcPr>
                <w:p w14:paraId="1C4965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3</w:t>
                  </w:r>
                </w:p>
              </w:tc>
              <w:tc>
                <w:tcPr>
                  <w:tcW w:w="4696" w:type="dxa"/>
                  <w:vAlign w:val="center"/>
                </w:tcPr>
                <w:p w14:paraId="21FA39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油烟</w:t>
                  </w:r>
                </w:p>
              </w:tc>
              <w:tc>
                <w:tcPr>
                  <w:tcW w:w="1657" w:type="dxa"/>
                  <w:vAlign w:val="center"/>
                </w:tcPr>
                <w:p w14:paraId="02101CD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Times New Roman"/>
                      <w:i w:val="0"/>
                      <w:iCs w:val="0"/>
                      <w:color w:val="000000"/>
                      <w:kern w:val="0"/>
                      <w:sz w:val="21"/>
                      <w:szCs w:val="21"/>
                      <w:u w:val="none"/>
                      <w:lang w:val="en-US" w:eastAsia="zh-CN" w:bidi="ar"/>
                    </w:rPr>
                    <w:t>0.020</w:t>
                  </w:r>
                </w:p>
              </w:tc>
              <w:tc>
                <w:tcPr>
                  <w:tcW w:w="1980" w:type="dxa"/>
                  <w:vAlign w:val="center"/>
                </w:tcPr>
                <w:p w14:paraId="74D831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Times New Roman"/>
                      <w:i w:val="0"/>
                      <w:iCs w:val="0"/>
                      <w:color w:val="000000"/>
                      <w:kern w:val="0"/>
                      <w:sz w:val="21"/>
                      <w:szCs w:val="21"/>
                      <w:u w:val="none"/>
                      <w:lang w:val="en-US" w:eastAsia="zh-CN" w:bidi="ar"/>
                    </w:rPr>
                    <w:t>0.032</w:t>
                  </w:r>
                </w:p>
              </w:tc>
              <w:tc>
                <w:tcPr>
                  <w:tcW w:w="1109" w:type="dxa"/>
                  <w:vAlign w:val="center"/>
                </w:tcPr>
                <w:p w14:paraId="04D23C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Times New Roman"/>
                      <w:i w:val="0"/>
                      <w:iCs w:val="0"/>
                      <w:color w:val="000000"/>
                      <w:kern w:val="0"/>
                      <w:sz w:val="21"/>
                      <w:szCs w:val="21"/>
                      <w:u w:val="none"/>
                      <w:lang w:val="en-US" w:eastAsia="zh-CN" w:bidi="ar"/>
                    </w:rPr>
                    <w:t>0.052</w:t>
                  </w:r>
                </w:p>
              </w:tc>
            </w:tr>
          </w:tbl>
          <w:p w14:paraId="217B875B">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sz w:val="21"/>
                <w:szCs w:val="24"/>
                <w:lang w:val="en-US" w:eastAsia="zh-CN"/>
              </w:rPr>
            </w:pPr>
            <w:r>
              <w:rPr>
                <w:rFonts w:hint="default" w:ascii="Times New Roman" w:hAnsi="Times New Roman" w:eastAsia="宋体" w:cs="Times New Roman"/>
                <w:b/>
                <w:color w:val="auto"/>
                <w:sz w:val="21"/>
                <w:szCs w:val="24"/>
                <w:lang w:val="en-US" w:eastAsia="zh-CN"/>
              </w:rPr>
              <w:t>项目污染源非正常排放量核算表</w:t>
            </w:r>
          </w:p>
          <w:tbl>
            <w:tblPr>
              <w:tblStyle w:val="49"/>
              <w:tblW w:w="99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
              <w:gridCol w:w="1346"/>
              <w:gridCol w:w="858"/>
              <w:gridCol w:w="2139"/>
              <w:gridCol w:w="1195"/>
              <w:gridCol w:w="1107"/>
              <w:gridCol w:w="1047"/>
              <w:gridCol w:w="1020"/>
              <w:gridCol w:w="818"/>
            </w:tblGrid>
            <w:tr w14:paraId="70BCB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 w:type="dxa"/>
                  <w:vAlign w:val="center"/>
                </w:tcPr>
                <w:p w14:paraId="1FAC96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序号</w:t>
                  </w:r>
                </w:p>
              </w:tc>
              <w:tc>
                <w:tcPr>
                  <w:tcW w:w="1346" w:type="dxa"/>
                  <w:vAlign w:val="center"/>
                </w:tcPr>
                <w:p w14:paraId="1A3D83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污染源</w:t>
                  </w:r>
                </w:p>
              </w:tc>
              <w:tc>
                <w:tcPr>
                  <w:tcW w:w="858" w:type="dxa"/>
                  <w:vAlign w:val="center"/>
                </w:tcPr>
                <w:p w14:paraId="6D3736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非正常排放原因</w:t>
                  </w:r>
                </w:p>
              </w:tc>
              <w:tc>
                <w:tcPr>
                  <w:tcW w:w="2139" w:type="dxa"/>
                  <w:vAlign w:val="center"/>
                </w:tcPr>
                <w:p w14:paraId="6F2D1D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污染物</w:t>
                  </w:r>
                </w:p>
              </w:tc>
              <w:tc>
                <w:tcPr>
                  <w:tcW w:w="1195" w:type="dxa"/>
                  <w:vAlign w:val="center"/>
                </w:tcPr>
                <w:p w14:paraId="50CE66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非正常排放浓度（mg/m³）</w:t>
                  </w:r>
                </w:p>
              </w:tc>
              <w:tc>
                <w:tcPr>
                  <w:tcW w:w="1107" w:type="dxa"/>
                  <w:vAlign w:val="center"/>
                </w:tcPr>
                <w:p w14:paraId="2BD970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非正常排放速率（kg/h）</w:t>
                  </w:r>
                </w:p>
              </w:tc>
              <w:tc>
                <w:tcPr>
                  <w:tcW w:w="1047" w:type="dxa"/>
                  <w:vAlign w:val="center"/>
                </w:tcPr>
                <w:p w14:paraId="755E6E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单次持续时间/h</w:t>
                  </w:r>
                </w:p>
              </w:tc>
              <w:tc>
                <w:tcPr>
                  <w:tcW w:w="1020" w:type="dxa"/>
                  <w:vAlign w:val="center"/>
                </w:tcPr>
                <w:p w14:paraId="6AAECB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年发生频次/次</w:t>
                  </w:r>
                </w:p>
              </w:tc>
              <w:tc>
                <w:tcPr>
                  <w:tcW w:w="818" w:type="dxa"/>
                  <w:vAlign w:val="center"/>
                </w:tcPr>
                <w:p w14:paraId="38D011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应对措施</w:t>
                  </w:r>
                </w:p>
              </w:tc>
            </w:tr>
            <w:tr w14:paraId="53CDB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 w:type="dxa"/>
                  <w:vMerge w:val="restart"/>
                  <w:vAlign w:val="center"/>
                </w:tcPr>
                <w:p w14:paraId="0091FB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1</w:t>
                  </w:r>
                </w:p>
              </w:tc>
              <w:tc>
                <w:tcPr>
                  <w:tcW w:w="1346" w:type="dxa"/>
                  <w:vMerge w:val="restart"/>
                  <w:vAlign w:val="center"/>
                </w:tcPr>
                <w:p w14:paraId="2BCC55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G1排气筒</w:t>
                  </w:r>
                </w:p>
              </w:tc>
              <w:tc>
                <w:tcPr>
                  <w:tcW w:w="858" w:type="dxa"/>
                  <w:vMerge w:val="restart"/>
                  <w:vAlign w:val="center"/>
                </w:tcPr>
                <w:p w14:paraId="102FD8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废气处理设施故障，处理效率降至0</w:t>
                  </w:r>
                </w:p>
              </w:tc>
              <w:tc>
                <w:tcPr>
                  <w:tcW w:w="2139" w:type="dxa"/>
                  <w:vAlign w:val="center"/>
                </w:tcPr>
                <w:p w14:paraId="031F1C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挥发性有机物（非甲烷总烃、总VOCs）</w:t>
                  </w:r>
                </w:p>
              </w:tc>
              <w:tc>
                <w:tcPr>
                  <w:tcW w:w="1195" w:type="dxa"/>
                  <w:vAlign w:val="center"/>
                </w:tcPr>
                <w:p w14:paraId="24EA55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2.625</w:t>
                  </w:r>
                </w:p>
              </w:tc>
              <w:tc>
                <w:tcPr>
                  <w:tcW w:w="1107" w:type="dxa"/>
                  <w:vAlign w:val="center"/>
                </w:tcPr>
                <w:p w14:paraId="1570EA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0.079</w:t>
                  </w:r>
                </w:p>
              </w:tc>
              <w:tc>
                <w:tcPr>
                  <w:tcW w:w="1047" w:type="dxa"/>
                  <w:vAlign w:val="center"/>
                </w:tcPr>
                <w:p w14:paraId="495A61C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1020" w:type="dxa"/>
                  <w:vAlign w:val="center"/>
                </w:tcPr>
                <w:p w14:paraId="56C56BF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818" w:type="dxa"/>
                  <w:vMerge w:val="restart"/>
                  <w:vAlign w:val="center"/>
                </w:tcPr>
                <w:p w14:paraId="0BE844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立即停止生产，对废气治理设施进行抢修</w:t>
                  </w:r>
                </w:p>
              </w:tc>
            </w:tr>
            <w:tr w14:paraId="1F5BC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 w:type="dxa"/>
                  <w:vMerge w:val="continue"/>
                  <w:vAlign w:val="center"/>
                </w:tcPr>
                <w:p w14:paraId="2BFA22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1346" w:type="dxa"/>
                  <w:vMerge w:val="continue"/>
                  <w:vAlign w:val="center"/>
                </w:tcPr>
                <w:p w14:paraId="39C327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858" w:type="dxa"/>
                  <w:vMerge w:val="continue"/>
                  <w:vAlign w:val="center"/>
                </w:tcPr>
                <w:p w14:paraId="2529DC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2139" w:type="dxa"/>
                  <w:vAlign w:val="center"/>
                </w:tcPr>
                <w:p w14:paraId="0A0C57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颗粒物</w:t>
                  </w:r>
                </w:p>
              </w:tc>
              <w:tc>
                <w:tcPr>
                  <w:tcW w:w="1195" w:type="dxa"/>
                  <w:vAlign w:val="center"/>
                </w:tcPr>
                <w:p w14:paraId="2552703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4.042</w:t>
                  </w:r>
                </w:p>
              </w:tc>
              <w:tc>
                <w:tcPr>
                  <w:tcW w:w="1107" w:type="dxa"/>
                  <w:vAlign w:val="center"/>
                </w:tcPr>
                <w:p w14:paraId="3F5DC8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0.121</w:t>
                  </w:r>
                </w:p>
              </w:tc>
              <w:tc>
                <w:tcPr>
                  <w:tcW w:w="1047" w:type="dxa"/>
                  <w:vAlign w:val="center"/>
                </w:tcPr>
                <w:p w14:paraId="1E28C5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1020" w:type="dxa"/>
                  <w:vAlign w:val="center"/>
                </w:tcPr>
                <w:p w14:paraId="24A3260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818" w:type="dxa"/>
                  <w:vMerge w:val="continue"/>
                  <w:vAlign w:val="center"/>
                </w:tcPr>
                <w:p w14:paraId="35D93D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r>
            <w:tr w14:paraId="63A98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 w:type="dxa"/>
                  <w:vAlign w:val="center"/>
                </w:tcPr>
                <w:p w14:paraId="3A3620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eastAsia" w:cs="var(--dsw-font-markdown-table)"/>
                      <w:color w:val="auto"/>
                      <w:kern w:val="0"/>
                      <w:sz w:val="21"/>
                      <w:szCs w:val="24"/>
                      <w:lang w:val="en-US" w:eastAsia="zh-CN" w:bidi="ar"/>
                    </w:rPr>
                    <w:t>2</w:t>
                  </w:r>
                </w:p>
              </w:tc>
              <w:tc>
                <w:tcPr>
                  <w:tcW w:w="1346" w:type="dxa"/>
                  <w:vAlign w:val="center"/>
                </w:tcPr>
                <w:p w14:paraId="1F812A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eastAsia" w:cs="var(--dsw-font-markdown-table)"/>
                      <w:color w:val="auto"/>
                      <w:kern w:val="0"/>
                      <w:sz w:val="21"/>
                      <w:szCs w:val="24"/>
                      <w:lang w:val="en-US" w:eastAsia="zh-CN" w:bidi="ar"/>
                    </w:rPr>
                    <w:t>G2~G7</w:t>
                  </w:r>
                  <w:r>
                    <w:rPr>
                      <w:rFonts w:hint="default" w:ascii="Times New Roman" w:hAnsi="Times New Roman" w:eastAsia="宋体" w:cs="var(--dsw-font-markdown-table)"/>
                      <w:color w:val="auto"/>
                      <w:kern w:val="0"/>
                      <w:sz w:val="21"/>
                      <w:szCs w:val="24"/>
                      <w:lang w:val="en-US" w:eastAsia="zh-CN" w:bidi="ar"/>
                    </w:rPr>
                    <w:t>排气筒</w:t>
                  </w:r>
                </w:p>
              </w:tc>
              <w:tc>
                <w:tcPr>
                  <w:tcW w:w="858" w:type="dxa"/>
                  <w:vMerge w:val="continue"/>
                  <w:vAlign w:val="center"/>
                </w:tcPr>
                <w:p w14:paraId="1E91B0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2139" w:type="dxa"/>
                  <w:vAlign w:val="center"/>
                </w:tcPr>
                <w:p w14:paraId="59E9CC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挥发性有机物（非甲烷总烃、总VOCs）</w:t>
                  </w:r>
                </w:p>
              </w:tc>
              <w:tc>
                <w:tcPr>
                  <w:tcW w:w="1195" w:type="dxa"/>
                  <w:vAlign w:val="center"/>
                </w:tcPr>
                <w:p w14:paraId="3B83ED4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0.231</w:t>
                  </w:r>
                </w:p>
              </w:tc>
              <w:tc>
                <w:tcPr>
                  <w:tcW w:w="1107" w:type="dxa"/>
                  <w:vAlign w:val="center"/>
                </w:tcPr>
                <w:p w14:paraId="3B8F2A5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0.005</w:t>
                  </w:r>
                </w:p>
              </w:tc>
              <w:tc>
                <w:tcPr>
                  <w:tcW w:w="1047" w:type="dxa"/>
                  <w:vAlign w:val="center"/>
                </w:tcPr>
                <w:p w14:paraId="689782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1020" w:type="dxa"/>
                  <w:vAlign w:val="center"/>
                </w:tcPr>
                <w:p w14:paraId="62F9DD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818" w:type="dxa"/>
                  <w:vMerge w:val="continue"/>
                  <w:vAlign w:val="center"/>
                </w:tcPr>
                <w:p w14:paraId="421376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r>
            <w:tr w14:paraId="1D805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 w:type="dxa"/>
                  <w:vAlign w:val="center"/>
                </w:tcPr>
                <w:p w14:paraId="3DB1CB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eastAsia" w:cs="var(--dsw-font-markdown-table)"/>
                      <w:color w:val="auto"/>
                      <w:kern w:val="0"/>
                      <w:sz w:val="21"/>
                      <w:szCs w:val="24"/>
                      <w:lang w:val="en-US" w:eastAsia="zh-CN" w:bidi="ar"/>
                    </w:rPr>
                    <w:t>3</w:t>
                  </w:r>
                </w:p>
              </w:tc>
              <w:tc>
                <w:tcPr>
                  <w:tcW w:w="1346" w:type="dxa"/>
                  <w:vAlign w:val="center"/>
                </w:tcPr>
                <w:p w14:paraId="119E62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eastAsia" w:cs="var(--dsw-font-markdown-table)"/>
                      <w:color w:val="auto"/>
                      <w:kern w:val="0"/>
                      <w:sz w:val="21"/>
                      <w:szCs w:val="24"/>
                      <w:lang w:val="en-US" w:eastAsia="zh-CN" w:bidi="ar"/>
                    </w:rPr>
                    <w:t>G8</w:t>
                  </w:r>
                  <w:r>
                    <w:rPr>
                      <w:rFonts w:hint="default" w:ascii="Times New Roman" w:hAnsi="Times New Roman" w:eastAsia="宋体" w:cs="var(--dsw-font-markdown-table)"/>
                      <w:color w:val="auto"/>
                      <w:kern w:val="0"/>
                      <w:sz w:val="21"/>
                      <w:szCs w:val="24"/>
                      <w:lang w:val="en-US" w:eastAsia="zh-CN" w:bidi="ar"/>
                    </w:rPr>
                    <w:t>排气筒</w:t>
                  </w:r>
                </w:p>
              </w:tc>
              <w:tc>
                <w:tcPr>
                  <w:tcW w:w="858" w:type="dxa"/>
                  <w:vMerge w:val="continue"/>
                  <w:vAlign w:val="center"/>
                </w:tcPr>
                <w:p w14:paraId="30ACD8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2139" w:type="dxa"/>
                  <w:vAlign w:val="center"/>
                </w:tcPr>
                <w:p w14:paraId="7C25FC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油烟</w:t>
                  </w:r>
                </w:p>
              </w:tc>
              <w:tc>
                <w:tcPr>
                  <w:tcW w:w="1195" w:type="dxa"/>
                  <w:vAlign w:val="center"/>
                </w:tcPr>
                <w:p w14:paraId="76384B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9.667</w:t>
                  </w:r>
                </w:p>
              </w:tc>
              <w:tc>
                <w:tcPr>
                  <w:tcW w:w="1107" w:type="dxa"/>
                  <w:vAlign w:val="center"/>
                </w:tcPr>
                <w:p w14:paraId="04E582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0.087</w:t>
                  </w:r>
                </w:p>
              </w:tc>
              <w:tc>
                <w:tcPr>
                  <w:tcW w:w="1047" w:type="dxa"/>
                  <w:vAlign w:val="center"/>
                </w:tcPr>
                <w:p w14:paraId="5ED52F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1020" w:type="dxa"/>
                  <w:vAlign w:val="center"/>
                </w:tcPr>
                <w:p w14:paraId="502740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818" w:type="dxa"/>
                  <w:vMerge w:val="continue"/>
                  <w:vAlign w:val="center"/>
                </w:tcPr>
                <w:p w14:paraId="5259F0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r>
            <w:tr w14:paraId="42683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 w:type="dxa"/>
                  <w:vAlign w:val="center"/>
                </w:tcPr>
                <w:p w14:paraId="243678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4</w:t>
                  </w:r>
                </w:p>
              </w:tc>
              <w:tc>
                <w:tcPr>
                  <w:tcW w:w="1346" w:type="dxa"/>
                  <w:vAlign w:val="center"/>
                </w:tcPr>
                <w:p w14:paraId="68EA38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G8</w:t>
                  </w:r>
                  <w:r>
                    <w:rPr>
                      <w:rFonts w:hint="default" w:ascii="Times New Roman" w:hAnsi="Times New Roman" w:eastAsia="宋体" w:cs="var(--dsw-font-markdown-table)"/>
                      <w:color w:val="auto"/>
                      <w:kern w:val="0"/>
                      <w:sz w:val="21"/>
                      <w:szCs w:val="24"/>
                      <w:lang w:val="en-US" w:eastAsia="zh-CN" w:bidi="ar"/>
                    </w:rPr>
                    <w:t>排气筒</w:t>
                  </w:r>
                </w:p>
              </w:tc>
              <w:tc>
                <w:tcPr>
                  <w:tcW w:w="858" w:type="dxa"/>
                  <w:vMerge w:val="continue"/>
                  <w:vAlign w:val="center"/>
                </w:tcPr>
                <w:p w14:paraId="045F75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2139" w:type="dxa"/>
                  <w:vAlign w:val="center"/>
                </w:tcPr>
                <w:p w14:paraId="7EFF23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挥发性有机物（非甲烷总烃、总VOCs）</w:t>
                  </w:r>
                </w:p>
              </w:tc>
              <w:tc>
                <w:tcPr>
                  <w:tcW w:w="1195" w:type="dxa"/>
                  <w:vAlign w:val="center"/>
                </w:tcPr>
                <w:p w14:paraId="22EB106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2.198</w:t>
                  </w:r>
                </w:p>
              </w:tc>
              <w:tc>
                <w:tcPr>
                  <w:tcW w:w="1107" w:type="dxa"/>
                  <w:vAlign w:val="center"/>
                </w:tcPr>
                <w:p w14:paraId="614F191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0.013</w:t>
                  </w:r>
                </w:p>
              </w:tc>
              <w:tc>
                <w:tcPr>
                  <w:tcW w:w="1047" w:type="dxa"/>
                  <w:vAlign w:val="center"/>
                </w:tcPr>
                <w:p w14:paraId="321850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1020" w:type="dxa"/>
                  <w:vAlign w:val="center"/>
                </w:tcPr>
                <w:p w14:paraId="7B2584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818" w:type="dxa"/>
                  <w:vMerge w:val="continue"/>
                  <w:vAlign w:val="center"/>
                </w:tcPr>
                <w:p w14:paraId="32FC33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p>
              </w:tc>
            </w:tr>
          </w:tbl>
          <w:p w14:paraId="2F080143">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sz w:val="21"/>
                <w:szCs w:val="24"/>
                <w:lang w:val="en-US" w:eastAsia="zh-CN"/>
              </w:rPr>
            </w:pPr>
            <w:r>
              <w:rPr>
                <w:rFonts w:hint="default" w:ascii="Times New Roman" w:hAnsi="Times New Roman" w:eastAsia="宋体" w:cs="Times New Roman"/>
                <w:b/>
                <w:color w:val="auto"/>
                <w:sz w:val="21"/>
                <w:szCs w:val="24"/>
                <w:lang w:val="en-US" w:eastAsia="zh-CN"/>
              </w:rPr>
              <w:t>项目废气排放口一览表</w:t>
            </w:r>
          </w:p>
          <w:tbl>
            <w:tblPr>
              <w:tblStyle w:val="49"/>
              <w:tblW w:w="99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7"/>
              <w:gridCol w:w="1107"/>
              <w:gridCol w:w="1107"/>
              <w:gridCol w:w="1107"/>
              <w:gridCol w:w="1107"/>
              <w:gridCol w:w="1107"/>
              <w:gridCol w:w="1108"/>
              <w:gridCol w:w="1108"/>
              <w:gridCol w:w="1108"/>
            </w:tblGrid>
            <w:tr w14:paraId="119D9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dxa"/>
                  <w:vAlign w:val="center"/>
                </w:tcPr>
                <w:p w14:paraId="1E3A70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排放口编号</w:t>
                  </w:r>
                </w:p>
              </w:tc>
              <w:tc>
                <w:tcPr>
                  <w:tcW w:w="1107" w:type="dxa"/>
                  <w:vAlign w:val="center"/>
                </w:tcPr>
                <w:p w14:paraId="33C246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废气类型</w:t>
                  </w:r>
                </w:p>
              </w:tc>
              <w:tc>
                <w:tcPr>
                  <w:tcW w:w="1107" w:type="dxa"/>
                  <w:vAlign w:val="center"/>
                </w:tcPr>
                <w:p w14:paraId="306903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污染物种类</w:t>
                  </w:r>
                </w:p>
              </w:tc>
              <w:tc>
                <w:tcPr>
                  <w:tcW w:w="1107" w:type="dxa"/>
                  <w:vAlign w:val="center"/>
                </w:tcPr>
                <w:p w14:paraId="381F0F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治理措施</w:t>
                  </w:r>
                </w:p>
              </w:tc>
              <w:tc>
                <w:tcPr>
                  <w:tcW w:w="1107" w:type="dxa"/>
                  <w:vAlign w:val="center"/>
                </w:tcPr>
                <w:p w14:paraId="4578D3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是否为可行技术</w:t>
                  </w:r>
                </w:p>
              </w:tc>
              <w:tc>
                <w:tcPr>
                  <w:tcW w:w="1107" w:type="dxa"/>
                  <w:vAlign w:val="center"/>
                </w:tcPr>
                <w:p w14:paraId="5C6B35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排气量（m³/h）</w:t>
                  </w:r>
                </w:p>
              </w:tc>
              <w:tc>
                <w:tcPr>
                  <w:tcW w:w="1108" w:type="dxa"/>
                  <w:vAlign w:val="center"/>
                </w:tcPr>
                <w:p w14:paraId="164EE1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排气筒高度（m）</w:t>
                  </w:r>
                </w:p>
              </w:tc>
              <w:tc>
                <w:tcPr>
                  <w:tcW w:w="1108" w:type="dxa"/>
                  <w:vAlign w:val="center"/>
                </w:tcPr>
                <w:p w14:paraId="7CDB35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排气筒出口内径（m）</w:t>
                  </w:r>
                </w:p>
              </w:tc>
              <w:tc>
                <w:tcPr>
                  <w:tcW w:w="1108" w:type="dxa"/>
                  <w:vAlign w:val="center"/>
                </w:tcPr>
                <w:p w14:paraId="5C4FB9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排气温度（℃）</w:t>
                  </w:r>
                </w:p>
              </w:tc>
            </w:tr>
            <w:tr w14:paraId="1372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dxa"/>
                  <w:vAlign w:val="center"/>
                </w:tcPr>
                <w:p w14:paraId="5083EA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G1</w:t>
                  </w:r>
                </w:p>
              </w:tc>
              <w:tc>
                <w:tcPr>
                  <w:tcW w:w="1107" w:type="dxa"/>
                  <w:vAlign w:val="center"/>
                </w:tcPr>
                <w:p w14:paraId="5444F5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鞋底制造工序（拌料、发泡、打粗、泡药水及烘干</w:t>
                  </w:r>
                  <w:r>
                    <w:rPr>
                      <w:rFonts w:hint="eastAsia" w:cs="var(--dsw-font-markdown-table)"/>
                      <w:color w:val="auto"/>
                      <w:kern w:val="0"/>
                      <w:sz w:val="21"/>
                      <w:szCs w:val="24"/>
                      <w:lang w:val="en-US" w:eastAsia="zh-CN" w:bidi="ar"/>
                    </w:rPr>
                    <w:t>、</w:t>
                  </w:r>
                  <w:r>
                    <w:rPr>
                      <w:rFonts w:hint="default" w:ascii="Times New Roman" w:hAnsi="Times New Roman" w:eastAsia="宋体" w:cs="var(--dsw-font-markdown-table)"/>
                      <w:color w:val="auto"/>
                      <w:kern w:val="0"/>
                      <w:sz w:val="21"/>
                      <w:szCs w:val="24"/>
                      <w:lang w:val="en-US" w:eastAsia="zh-CN" w:bidi="ar"/>
                    </w:rPr>
                    <w:t>刷处理剂、刷胶）</w:t>
                  </w:r>
                </w:p>
              </w:tc>
              <w:tc>
                <w:tcPr>
                  <w:tcW w:w="1107" w:type="dxa"/>
                  <w:vAlign w:val="center"/>
                </w:tcPr>
                <w:p w14:paraId="62D61E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挥发性有机物（非甲烷总烃、总VOCs）、颗粒物、臭气浓度</w:t>
                  </w:r>
                </w:p>
              </w:tc>
              <w:tc>
                <w:tcPr>
                  <w:tcW w:w="1107" w:type="dxa"/>
                  <w:vAlign w:val="center"/>
                </w:tcPr>
                <w:p w14:paraId="236E37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滤筒除尘器+二级活性炭吸附装置</w:t>
                  </w:r>
                </w:p>
              </w:tc>
              <w:tc>
                <w:tcPr>
                  <w:tcW w:w="1107" w:type="dxa"/>
                  <w:vAlign w:val="center"/>
                </w:tcPr>
                <w:p w14:paraId="23AFDA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是</w:t>
                  </w:r>
                </w:p>
              </w:tc>
              <w:tc>
                <w:tcPr>
                  <w:tcW w:w="1107" w:type="dxa"/>
                  <w:vAlign w:val="center"/>
                </w:tcPr>
                <w:p w14:paraId="2E4060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lang w:val="en-US"/>
                    </w:rPr>
                  </w:pPr>
                  <w:r>
                    <w:rPr>
                      <w:rFonts w:hint="eastAsia" w:cs="var(--dsw-font-markdown-table)"/>
                      <w:color w:val="auto"/>
                      <w:kern w:val="0"/>
                      <w:sz w:val="21"/>
                      <w:szCs w:val="24"/>
                      <w:lang w:val="en-US" w:eastAsia="zh-CN" w:bidi="ar"/>
                    </w:rPr>
                    <w:t>30000</w:t>
                  </w:r>
                </w:p>
              </w:tc>
              <w:tc>
                <w:tcPr>
                  <w:tcW w:w="1108" w:type="dxa"/>
                  <w:vAlign w:val="center"/>
                </w:tcPr>
                <w:p w14:paraId="6F1E18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50</w:t>
                  </w:r>
                </w:p>
              </w:tc>
              <w:tc>
                <w:tcPr>
                  <w:tcW w:w="1108" w:type="dxa"/>
                  <w:vAlign w:val="center"/>
                </w:tcPr>
                <w:p w14:paraId="10BC5A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1.0</w:t>
                  </w:r>
                </w:p>
              </w:tc>
              <w:tc>
                <w:tcPr>
                  <w:tcW w:w="1108" w:type="dxa"/>
                  <w:vAlign w:val="center"/>
                </w:tcPr>
                <w:p w14:paraId="44F952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常温</w:t>
                  </w:r>
                </w:p>
              </w:tc>
            </w:tr>
            <w:tr w14:paraId="3579B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dxa"/>
                  <w:vAlign w:val="center"/>
                </w:tcPr>
                <w:p w14:paraId="4E357D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eastAsia" w:cs="var(--dsw-font-markdown-table)"/>
                      <w:color w:val="auto"/>
                      <w:kern w:val="0"/>
                      <w:sz w:val="21"/>
                      <w:szCs w:val="24"/>
                      <w:lang w:val="en-US" w:eastAsia="zh-CN" w:bidi="ar"/>
                    </w:rPr>
                    <w:t>G2~G7</w:t>
                  </w:r>
                </w:p>
              </w:tc>
              <w:tc>
                <w:tcPr>
                  <w:tcW w:w="1107" w:type="dxa"/>
                  <w:vAlign w:val="center"/>
                </w:tcPr>
                <w:p w14:paraId="23B359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成品组装工序（刷处理剂、刷胶）</w:t>
                  </w:r>
                </w:p>
              </w:tc>
              <w:tc>
                <w:tcPr>
                  <w:tcW w:w="1107" w:type="dxa"/>
                  <w:vAlign w:val="center"/>
                </w:tcPr>
                <w:p w14:paraId="06EB75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挥发性有机物（非甲烷总烃、总VOCs）、臭气浓度</w:t>
                  </w:r>
                </w:p>
              </w:tc>
              <w:tc>
                <w:tcPr>
                  <w:tcW w:w="1107" w:type="dxa"/>
                  <w:vAlign w:val="center"/>
                </w:tcPr>
                <w:p w14:paraId="55F2BC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二级活性炭吸附装置</w:t>
                  </w:r>
                </w:p>
              </w:tc>
              <w:tc>
                <w:tcPr>
                  <w:tcW w:w="1107" w:type="dxa"/>
                  <w:vAlign w:val="center"/>
                </w:tcPr>
                <w:p w14:paraId="4DE8E2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是</w:t>
                  </w:r>
                </w:p>
              </w:tc>
              <w:tc>
                <w:tcPr>
                  <w:tcW w:w="1107" w:type="dxa"/>
                  <w:vAlign w:val="center"/>
                </w:tcPr>
                <w:p w14:paraId="365E49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20000（单个）</w:t>
                  </w:r>
                </w:p>
              </w:tc>
              <w:tc>
                <w:tcPr>
                  <w:tcW w:w="1108" w:type="dxa"/>
                  <w:vAlign w:val="center"/>
                </w:tcPr>
                <w:p w14:paraId="71D192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50</w:t>
                  </w:r>
                </w:p>
              </w:tc>
              <w:tc>
                <w:tcPr>
                  <w:tcW w:w="1108" w:type="dxa"/>
                  <w:vAlign w:val="center"/>
                </w:tcPr>
                <w:p w14:paraId="1FFCFF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0.</w:t>
                  </w:r>
                  <w:r>
                    <w:rPr>
                      <w:rFonts w:hint="eastAsia" w:ascii="Times New Roman" w:hAnsi="Times New Roman" w:eastAsia="宋体" w:cs="var(--dsw-font-markdown-table)"/>
                      <w:color w:val="auto"/>
                      <w:kern w:val="0"/>
                      <w:sz w:val="21"/>
                      <w:szCs w:val="24"/>
                      <w:lang w:val="en-US" w:eastAsia="zh-CN" w:bidi="ar"/>
                    </w:rPr>
                    <w:t>6</w:t>
                  </w:r>
                  <w:r>
                    <w:rPr>
                      <w:rFonts w:hint="default" w:ascii="Times New Roman" w:hAnsi="Times New Roman" w:eastAsia="宋体" w:cs="var(--dsw-font-markdown-table)"/>
                      <w:color w:val="auto"/>
                      <w:kern w:val="0"/>
                      <w:sz w:val="21"/>
                      <w:szCs w:val="24"/>
                      <w:lang w:val="en-US" w:eastAsia="zh-CN" w:bidi="ar"/>
                    </w:rPr>
                    <w:t>（单个）</w:t>
                  </w:r>
                </w:p>
              </w:tc>
              <w:tc>
                <w:tcPr>
                  <w:tcW w:w="1108" w:type="dxa"/>
                  <w:vAlign w:val="center"/>
                </w:tcPr>
                <w:p w14:paraId="4A8D78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常温</w:t>
                  </w:r>
                </w:p>
              </w:tc>
            </w:tr>
            <w:tr w14:paraId="3D79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dxa"/>
                  <w:vAlign w:val="center"/>
                </w:tcPr>
                <w:p w14:paraId="6C2B32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eastAsia" w:cs="var(--dsw-font-markdown-table)"/>
                      <w:color w:val="auto"/>
                      <w:kern w:val="0"/>
                      <w:sz w:val="21"/>
                      <w:szCs w:val="24"/>
                      <w:lang w:val="en-US" w:eastAsia="zh-CN" w:bidi="ar"/>
                    </w:rPr>
                    <w:t>G8</w:t>
                  </w:r>
                </w:p>
              </w:tc>
              <w:tc>
                <w:tcPr>
                  <w:tcW w:w="1107" w:type="dxa"/>
                  <w:vAlign w:val="center"/>
                </w:tcPr>
                <w:p w14:paraId="10911E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食堂油烟</w:t>
                  </w:r>
                </w:p>
              </w:tc>
              <w:tc>
                <w:tcPr>
                  <w:tcW w:w="1107" w:type="dxa"/>
                  <w:vAlign w:val="center"/>
                </w:tcPr>
                <w:p w14:paraId="78A0DC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油烟</w:t>
                  </w:r>
                </w:p>
              </w:tc>
              <w:tc>
                <w:tcPr>
                  <w:tcW w:w="1107" w:type="dxa"/>
                  <w:vAlign w:val="center"/>
                </w:tcPr>
                <w:p w14:paraId="14F6E6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运水烟罩+静电油烟净化器</w:t>
                  </w:r>
                </w:p>
              </w:tc>
              <w:tc>
                <w:tcPr>
                  <w:tcW w:w="1107" w:type="dxa"/>
                  <w:vAlign w:val="center"/>
                </w:tcPr>
                <w:p w14:paraId="755563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是</w:t>
                  </w:r>
                </w:p>
              </w:tc>
              <w:tc>
                <w:tcPr>
                  <w:tcW w:w="1107" w:type="dxa"/>
                  <w:vAlign w:val="center"/>
                </w:tcPr>
                <w:p w14:paraId="7DBCA4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9000</w:t>
                  </w:r>
                </w:p>
              </w:tc>
              <w:tc>
                <w:tcPr>
                  <w:tcW w:w="1108" w:type="dxa"/>
                  <w:vAlign w:val="center"/>
                </w:tcPr>
                <w:p w14:paraId="25E699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50</w:t>
                  </w:r>
                </w:p>
              </w:tc>
              <w:tc>
                <w:tcPr>
                  <w:tcW w:w="1108" w:type="dxa"/>
                  <w:vAlign w:val="center"/>
                </w:tcPr>
                <w:p w14:paraId="7A9A42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0.4</w:t>
                  </w:r>
                </w:p>
              </w:tc>
              <w:tc>
                <w:tcPr>
                  <w:tcW w:w="1108" w:type="dxa"/>
                  <w:vAlign w:val="center"/>
                </w:tcPr>
                <w:p w14:paraId="10D39A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常温</w:t>
                  </w:r>
                </w:p>
              </w:tc>
            </w:tr>
            <w:tr w14:paraId="01DC9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dxa"/>
                  <w:vAlign w:val="center"/>
                </w:tcPr>
                <w:p w14:paraId="6D2DC3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cs="var(--dsw-font-markdown-table)"/>
                      <w:color w:val="auto"/>
                      <w:kern w:val="0"/>
                      <w:sz w:val="21"/>
                      <w:szCs w:val="24"/>
                      <w:lang w:val="en-US" w:eastAsia="zh-CN" w:bidi="ar"/>
                    </w:rPr>
                  </w:pPr>
                  <w:bookmarkStart w:id="44" w:name="_Toc412"/>
                  <w:bookmarkStart w:id="45" w:name="_Toc12244"/>
                  <w:r>
                    <w:rPr>
                      <w:rFonts w:hint="eastAsia" w:cs="var(--dsw-font-markdown-table)"/>
                      <w:color w:val="auto"/>
                      <w:kern w:val="0"/>
                      <w:sz w:val="21"/>
                      <w:szCs w:val="24"/>
                      <w:lang w:val="en-US" w:eastAsia="zh-CN" w:bidi="ar"/>
                    </w:rPr>
                    <w:t>G9</w:t>
                  </w:r>
                </w:p>
              </w:tc>
              <w:tc>
                <w:tcPr>
                  <w:tcW w:w="1107" w:type="dxa"/>
                  <w:vAlign w:val="center"/>
                </w:tcPr>
                <w:p w14:paraId="070202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鞋面制造工序（UV打印、打转印纸）</w:t>
                  </w:r>
                </w:p>
              </w:tc>
              <w:tc>
                <w:tcPr>
                  <w:tcW w:w="1107" w:type="dxa"/>
                  <w:vAlign w:val="center"/>
                </w:tcPr>
                <w:p w14:paraId="20FB17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挥发性有机物（非甲烷总烃、总VOCs）、臭气浓度</w:t>
                  </w:r>
                </w:p>
              </w:tc>
              <w:tc>
                <w:tcPr>
                  <w:tcW w:w="1107" w:type="dxa"/>
                  <w:vAlign w:val="center"/>
                </w:tcPr>
                <w:p w14:paraId="7CB85F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二级活性炭吸附装置</w:t>
                  </w:r>
                </w:p>
              </w:tc>
              <w:tc>
                <w:tcPr>
                  <w:tcW w:w="1107" w:type="dxa"/>
                  <w:vAlign w:val="center"/>
                </w:tcPr>
                <w:p w14:paraId="5F947F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是</w:t>
                  </w:r>
                </w:p>
              </w:tc>
              <w:tc>
                <w:tcPr>
                  <w:tcW w:w="1107" w:type="dxa"/>
                  <w:vAlign w:val="center"/>
                </w:tcPr>
                <w:p w14:paraId="11F4B9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6000</w:t>
                  </w:r>
                </w:p>
              </w:tc>
              <w:tc>
                <w:tcPr>
                  <w:tcW w:w="1108" w:type="dxa"/>
                  <w:vAlign w:val="center"/>
                </w:tcPr>
                <w:p w14:paraId="35E888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50</w:t>
                  </w:r>
                </w:p>
              </w:tc>
              <w:tc>
                <w:tcPr>
                  <w:tcW w:w="1108" w:type="dxa"/>
                  <w:vAlign w:val="center"/>
                </w:tcPr>
                <w:p w14:paraId="19C473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0.4</w:t>
                  </w:r>
                </w:p>
              </w:tc>
              <w:tc>
                <w:tcPr>
                  <w:tcW w:w="1108" w:type="dxa"/>
                  <w:vAlign w:val="center"/>
                </w:tcPr>
                <w:p w14:paraId="14ECF0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常温</w:t>
                  </w:r>
                </w:p>
              </w:tc>
            </w:tr>
          </w:tbl>
          <w:p w14:paraId="5E32CE9E">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var(--dsw-font-markdown-h2)"/>
                <w:color w:val="auto"/>
                <w:sz w:val="21"/>
              </w:rPr>
            </w:pPr>
            <w:r>
              <w:rPr>
                <w:rFonts w:hint="eastAsia" w:ascii="Times New Roman" w:hAnsi="Times New Roman" w:eastAsia="宋体" w:cs="var(--dsw-font-markdown-h2)"/>
                <w:i w:val="0"/>
                <w:iCs w:val="0"/>
                <w:caps w:val="0"/>
                <w:color w:val="auto"/>
                <w:spacing w:val="0"/>
                <w:sz w:val="21"/>
                <w:shd w:val="clear" w:fill="FFFFFF"/>
                <w:lang w:val="en-US" w:eastAsia="zh-CN"/>
              </w:rPr>
              <w:t>3、</w:t>
            </w:r>
            <w:r>
              <w:rPr>
                <w:rFonts w:hint="default" w:ascii="Times New Roman" w:hAnsi="Times New Roman" w:eastAsia="宋体" w:cs="var(--dsw-font-markdown-h2)"/>
                <w:i w:val="0"/>
                <w:iCs w:val="0"/>
                <w:caps w:val="0"/>
                <w:color w:val="auto"/>
                <w:spacing w:val="0"/>
                <w:sz w:val="21"/>
                <w:shd w:val="clear" w:fill="FFFFFF"/>
              </w:rPr>
              <w:t>各环保措施的技术经济可行性分析</w:t>
            </w:r>
            <w:bookmarkEnd w:id="44"/>
            <w:bookmarkEnd w:id="45"/>
          </w:p>
          <w:p w14:paraId="0DC772D3">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420" w:leftChars="0" w:right="0" w:rightChars="0"/>
              <w:textAlignment w:val="auto"/>
              <w:rPr>
                <w:rFonts w:hint="default" w:ascii="Times New Roman" w:hAnsi="Times New Roman" w:eastAsia="宋体" w:cs="var(--dsw-font-markdown-h3)"/>
                <w:color w:val="auto"/>
                <w:sz w:val="21"/>
              </w:rPr>
            </w:pPr>
            <w:bookmarkStart w:id="46" w:name="_Toc21289"/>
            <w:bookmarkStart w:id="47" w:name="_Toc31491"/>
            <w:r>
              <w:rPr>
                <w:rFonts w:hint="default" w:ascii="Times New Roman" w:hAnsi="Times New Roman" w:eastAsia="宋体" w:cs="var(--dsw-font-markdown-h3)"/>
                <w:i w:val="0"/>
                <w:iCs w:val="0"/>
                <w:caps w:val="0"/>
                <w:color w:val="auto"/>
                <w:spacing w:val="0"/>
                <w:sz w:val="21"/>
                <w:shd w:val="clear" w:fill="FFFFFF"/>
              </w:rPr>
              <w:t>废气治理措施可行性分析</w:t>
            </w:r>
            <w:bookmarkEnd w:id="46"/>
            <w:bookmarkEnd w:id="47"/>
          </w:p>
          <w:p w14:paraId="44A8ADF9">
            <w:pPr>
              <w:pStyle w:val="4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s="var(--dsw-font-markdown-base)"/>
                <w:i w:val="0"/>
                <w:iCs w:val="0"/>
                <w:caps w:val="0"/>
                <w:color w:val="auto"/>
                <w:spacing w:val="0"/>
                <w:sz w:val="21"/>
                <w:szCs w:val="21"/>
                <w:shd w:val="clear" w:fill="FFFFFF"/>
              </w:rPr>
            </w:pPr>
            <w:r>
              <w:rPr>
                <w:rFonts w:hint="default" w:ascii="Times New Roman" w:hAnsi="Times New Roman" w:eastAsia="宋体" w:cs="var(--dsw-font-markdown-base)"/>
                <w:i w:val="0"/>
                <w:iCs w:val="0"/>
                <w:caps w:val="0"/>
                <w:color w:val="auto"/>
                <w:spacing w:val="0"/>
                <w:sz w:val="21"/>
                <w:szCs w:val="21"/>
                <w:shd w:val="clear" w:fill="FFFFFF"/>
              </w:rPr>
              <w:t>根据《排污许可证申请与核发技术规范总则》（HJ942</w:t>
            </w:r>
            <w:r>
              <w:rPr>
                <w:rFonts w:hint="eastAsia" w:ascii="Times New Roman" w:hAnsi="Times New Roman" w:cs="var(--dsw-font-markdown-base)"/>
                <w:i w:val="0"/>
                <w:iCs w:val="0"/>
                <w:caps w:val="0"/>
                <w:color w:val="auto"/>
                <w:spacing w:val="0"/>
                <w:sz w:val="21"/>
                <w:szCs w:val="21"/>
                <w:shd w:val="clear" w:fill="FFFFFF"/>
                <w:lang w:eastAsia="zh-CN"/>
              </w:rPr>
              <w:t xml:space="preserve"> </w:t>
            </w:r>
            <w:r>
              <w:rPr>
                <w:rFonts w:hint="eastAsia" w:ascii="Times New Roman" w:hAnsi="Times New Roman" w:cs="var(--dsw-font-markdown-base)"/>
                <w:i w:val="0"/>
                <w:iCs w:val="0"/>
                <w:caps w:val="0"/>
                <w:color w:val="auto"/>
                <w:spacing w:val="0"/>
                <w:sz w:val="21"/>
                <w:szCs w:val="21"/>
                <w:shd w:val="clear" w:fill="FFFFFF"/>
                <w:lang w:val="en-US" w:eastAsia="zh-CN"/>
              </w:rPr>
              <w:t>-</w:t>
            </w:r>
            <w:r>
              <w:rPr>
                <w:rFonts w:hint="default" w:ascii="Times New Roman" w:hAnsi="Times New Roman" w:eastAsia="宋体" w:cs="var(--dsw-font-markdown-base)"/>
                <w:i w:val="0"/>
                <w:iCs w:val="0"/>
                <w:caps w:val="0"/>
                <w:color w:val="auto"/>
                <w:spacing w:val="0"/>
                <w:sz w:val="21"/>
                <w:szCs w:val="21"/>
                <w:shd w:val="clear" w:fill="FFFFFF"/>
              </w:rPr>
              <w:t>2018）、《排污许可证申请与核发技术规范橡胶和塑料制品工业》（HJ1122</w:t>
            </w:r>
            <w:r>
              <w:rPr>
                <w:rFonts w:hint="eastAsia" w:ascii="Times New Roman" w:hAnsi="Times New Roman" w:cs="var(--dsw-font-markdown-base)"/>
                <w:i w:val="0"/>
                <w:iCs w:val="0"/>
                <w:caps w:val="0"/>
                <w:color w:val="auto"/>
                <w:spacing w:val="0"/>
                <w:sz w:val="21"/>
                <w:szCs w:val="21"/>
                <w:shd w:val="clear" w:fill="FFFFFF"/>
                <w:lang w:eastAsia="zh-CN"/>
              </w:rPr>
              <w:t xml:space="preserve"> </w:t>
            </w:r>
            <w:r>
              <w:rPr>
                <w:rFonts w:hint="eastAsia" w:ascii="Times New Roman" w:hAnsi="Times New Roman" w:cs="var(--dsw-font-markdown-base)"/>
                <w:i w:val="0"/>
                <w:iCs w:val="0"/>
                <w:caps w:val="0"/>
                <w:color w:val="auto"/>
                <w:spacing w:val="0"/>
                <w:sz w:val="21"/>
                <w:szCs w:val="21"/>
                <w:shd w:val="clear" w:fill="FFFFFF"/>
                <w:lang w:val="en-US" w:eastAsia="zh-CN"/>
              </w:rPr>
              <w:t>-</w:t>
            </w:r>
            <w:r>
              <w:rPr>
                <w:rFonts w:hint="default" w:ascii="Times New Roman" w:hAnsi="Times New Roman" w:eastAsia="宋体" w:cs="var(--dsw-font-markdown-base)"/>
                <w:i w:val="0"/>
                <w:iCs w:val="0"/>
                <w:caps w:val="0"/>
                <w:color w:val="auto"/>
                <w:spacing w:val="0"/>
                <w:sz w:val="21"/>
                <w:szCs w:val="21"/>
                <w:shd w:val="clear" w:fill="FFFFFF"/>
              </w:rPr>
              <w:t>2020）中附录A废气污染防治推荐可行性技术及《排污许可证申请与核发技术规范制鞋工业》（HJ1123</w:t>
            </w:r>
            <w:r>
              <w:rPr>
                <w:rFonts w:hint="eastAsia" w:ascii="Times New Roman" w:hAnsi="Times New Roman" w:cs="var(--dsw-font-markdown-base)"/>
                <w:i w:val="0"/>
                <w:iCs w:val="0"/>
                <w:caps w:val="0"/>
                <w:color w:val="auto"/>
                <w:spacing w:val="0"/>
                <w:sz w:val="21"/>
                <w:szCs w:val="21"/>
                <w:shd w:val="clear" w:fill="FFFFFF"/>
                <w:lang w:val="en-US" w:eastAsia="zh-CN"/>
              </w:rPr>
              <w:t>-</w:t>
            </w:r>
            <w:r>
              <w:rPr>
                <w:rFonts w:hint="eastAsia" w:ascii="Times New Roman" w:hAnsi="Times New Roman" w:cs="var(--dsw-font-markdown-base)"/>
                <w:i w:val="0"/>
                <w:iCs w:val="0"/>
                <w:caps w:val="0"/>
                <w:color w:val="auto"/>
                <w:spacing w:val="0"/>
                <w:sz w:val="21"/>
                <w:szCs w:val="21"/>
                <w:shd w:val="clear" w:fill="FFFFFF"/>
                <w:lang w:eastAsia="zh-CN"/>
              </w:rPr>
              <w:t xml:space="preserve"> </w:t>
            </w:r>
            <w:r>
              <w:rPr>
                <w:rFonts w:hint="default" w:ascii="Times New Roman" w:hAnsi="Times New Roman" w:eastAsia="宋体" w:cs="var(--dsw-font-markdown-base)"/>
                <w:i w:val="0"/>
                <w:iCs w:val="0"/>
                <w:caps w:val="0"/>
                <w:color w:val="auto"/>
                <w:spacing w:val="0"/>
                <w:sz w:val="21"/>
                <w:szCs w:val="21"/>
                <w:shd w:val="clear" w:fill="FFFFFF"/>
              </w:rPr>
              <w:t>2020），其中，颗粒物采用“滤筒除尘”，有机废气采用“活性炭吸附”，均属于规范附录中列明的可行技术范畴，技术路线成熟可靠，能够确保污染物达标排放。项目废气处理设施均属于可行技术。</w:t>
            </w:r>
          </w:p>
          <w:p w14:paraId="2D019DDD">
            <w:pPr>
              <w:pStyle w:val="5"/>
              <w:keepNext w:val="0"/>
              <w:keepLines w:val="0"/>
              <w:pageBreakBefore w:val="0"/>
              <w:widowControl/>
              <w:numPr>
                <w:ilvl w:val="0"/>
                <w:numId w:val="26"/>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2" w:firstLineChars="200"/>
              <w:textAlignment w:val="auto"/>
              <w:rPr>
                <w:rFonts w:hint="default" w:ascii="Times New Roman" w:hAnsi="Times New Roman" w:eastAsia="宋体" w:cs="var(--dsw-font-markdown-h4)"/>
                <w:color w:val="auto"/>
                <w:sz w:val="21"/>
              </w:rPr>
            </w:pPr>
            <w:r>
              <w:rPr>
                <w:rFonts w:hint="default" w:ascii="Times New Roman" w:hAnsi="Times New Roman" w:eastAsia="宋体" w:cs="var(--dsw-font-markdown-h4)"/>
                <w:i w:val="0"/>
                <w:iCs w:val="0"/>
                <w:caps w:val="0"/>
                <w:color w:val="auto"/>
                <w:spacing w:val="0"/>
                <w:sz w:val="21"/>
                <w:shd w:val="clear" w:fill="FFFFFF"/>
              </w:rPr>
              <w:t>滤筒除尘器可行性分析</w:t>
            </w:r>
          </w:p>
          <w:p w14:paraId="4285C50E">
            <w:pPr>
              <w:pStyle w:val="4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项目鞋底制造工序（</w:t>
            </w:r>
            <w:r>
              <w:rPr>
                <w:rFonts w:hint="eastAsia" w:ascii="Times New Roman" w:hAnsi="Times New Roman" w:cs="var(--dsw-font-markdown-base)"/>
                <w:i w:val="0"/>
                <w:iCs w:val="0"/>
                <w:caps w:val="0"/>
                <w:color w:val="auto"/>
                <w:spacing w:val="0"/>
                <w:sz w:val="21"/>
                <w:szCs w:val="21"/>
                <w:shd w:val="clear" w:fill="FFFFFF"/>
                <w:lang w:val="en-US" w:eastAsia="zh-CN"/>
              </w:rPr>
              <w:t>拌</w:t>
            </w:r>
            <w:r>
              <w:rPr>
                <w:rFonts w:hint="default" w:ascii="Times New Roman" w:hAnsi="Times New Roman" w:eastAsia="宋体" w:cs="Segoe UI"/>
                <w:b w:val="0"/>
                <w:bCs w:val="0"/>
                <w:i w:val="0"/>
                <w:iCs w:val="0"/>
                <w:caps w:val="0"/>
                <w:color w:val="auto"/>
                <w:spacing w:val="0"/>
                <w:sz w:val="21"/>
                <w:szCs w:val="24"/>
                <w:shd w:val="clear" w:fill="FFFFFF"/>
              </w:rPr>
              <w:t>料、打粗</w:t>
            </w:r>
            <w:r>
              <w:rPr>
                <w:rFonts w:hint="default" w:ascii="Times New Roman" w:hAnsi="Times New Roman" w:eastAsia="宋体" w:cs="var(--dsw-font-markdown-base)"/>
                <w:i w:val="0"/>
                <w:iCs w:val="0"/>
                <w:caps w:val="0"/>
                <w:color w:val="auto"/>
                <w:spacing w:val="0"/>
                <w:sz w:val="21"/>
                <w:szCs w:val="21"/>
                <w:shd w:val="clear" w:fill="FFFFFF"/>
              </w:rPr>
              <w:t>）产生的含尘废气采用滤筒除尘器处理。</w:t>
            </w:r>
          </w:p>
          <w:p w14:paraId="67C049CA">
            <w:pPr>
              <w:pStyle w:val="4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22"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b/>
                <w:bCs/>
                <w:i w:val="0"/>
                <w:iCs w:val="0"/>
                <w:caps w:val="0"/>
                <w:color w:val="auto"/>
                <w:spacing w:val="0"/>
                <w:sz w:val="21"/>
                <w:szCs w:val="21"/>
                <w:shd w:val="clear" w:fill="FFFFFF"/>
              </w:rPr>
              <w:t>工作原理</w:t>
            </w:r>
            <w:r>
              <w:rPr>
                <w:rFonts w:hint="default" w:ascii="Times New Roman" w:hAnsi="Times New Roman" w:eastAsia="宋体" w:cs="var(--dsw-font-markdown-base)"/>
                <w:i w:val="0"/>
                <w:iCs w:val="0"/>
                <w:caps w:val="0"/>
                <w:color w:val="auto"/>
                <w:spacing w:val="0"/>
                <w:sz w:val="21"/>
                <w:szCs w:val="21"/>
                <w:shd w:val="clear" w:fill="FFFFFF"/>
              </w:rPr>
              <w:t>：在系统主风机作用下，含尘气体从除尘器的进风口进入，经过气流均化装置后转而向下进入灰斗。由于流速减缓，加上惯性及粉尘的自重作用，使气体中大颗粒粉尘受惯性作用被分离出来，直接落入灰斗。含尘气体通过灰斗后进入除尘滤芯过滤区，气体穿过滤芯，粉尘被留在滤袋外表面。净化后的气体经滤袋口进入净气室，再由出风口排出。随着过滤时间的延长，滤芯上的粉尘层不断积厚，阻力不断上升，当阻力上升到设定值时，清灰装置开始进行清灰。清灰时，压缩空气以极短促的时间按顺序通过各脉冲阀，经喷吹管嘴向滤芯喷射，使滤袋迅速膨胀产生振动，并在逆向气流的作用下，附着在除尘滤芯外表面上的粉尘被剥离落入料仓中。</w:t>
            </w:r>
          </w:p>
          <w:p w14:paraId="1A90A7C7">
            <w:pPr>
              <w:pStyle w:val="4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22"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b/>
                <w:bCs/>
                <w:i w:val="0"/>
                <w:iCs w:val="0"/>
                <w:caps w:val="0"/>
                <w:color w:val="auto"/>
                <w:spacing w:val="0"/>
                <w:sz w:val="21"/>
                <w:szCs w:val="21"/>
                <w:shd w:val="clear" w:fill="FFFFFF"/>
              </w:rPr>
              <w:t>技术可行性</w:t>
            </w:r>
            <w:r>
              <w:rPr>
                <w:rFonts w:hint="default" w:ascii="Times New Roman" w:hAnsi="Times New Roman" w:eastAsia="宋体" w:cs="var(--dsw-font-markdown-base)"/>
                <w:i w:val="0"/>
                <w:iCs w:val="0"/>
                <w:caps w:val="0"/>
                <w:color w:val="auto"/>
                <w:spacing w:val="0"/>
                <w:sz w:val="21"/>
                <w:szCs w:val="21"/>
                <w:shd w:val="clear" w:fill="FFFFFF"/>
              </w:rPr>
              <w:t>：滤筒除尘器工艺在国内已有大量的应用实例，处理技术已相当成熟，对颗粒物的处理效率可达90%以上。根据《排污许可证申请与核发技术规范橡胶和塑料制品工业》（HJ1122</w:t>
            </w:r>
            <w:r>
              <w:rPr>
                <w:rFonts w:hint="eastAsia" w:ascii="Times New Roman" w:hAnsi="Times New Roman" w:cs="var(--dsw-font-markdown-base)"/>
                <w:i w:val="0"/>
                <w:iCs w:val="0"/>
                <w:caps w:val="0"/>
                <w:color w:val="auto"/>
                <w:spacing w:val="0"/>
                <w:sz w:val="21"/>
                <w:szCs w:val="21"/>
                <w:shd w:val="clear" w:fill="FFFFFF"/>
                <w:lang w:val="en-US" w:eastAsia="zh-CN"/>
              </w:rPr>
              <w:t>-</w:t>
            </w:r>
            <w:r>
              <w:rPr>
                <w:rFonts w:hint="eastAsia" w:ascii="Times New Roman" w:hAnsi="Times New Roman" w:cs="var(--dsw-font-markdown-base)"/>
                <w:i w:val="0"/>
                <w:iCs w:val="0"/>
                <w:caps w:val="0"/>
                <w:color w:val="auto"/>
                <w:spacing w:val="0"/>
                <w:sz w:val="21"/>
                <w:szCs w:val="21"/>
                <w:shd w:val="clear" w:fill="FFFFFF"/>
                <w:lang w:eastAsia="zh-CN"/>
              </w:rPr>
              <w:t xml:space="preserve"> </w:t>
            </w:r>
            <w:r>
              <w:rPr>
                <w:rFonts w:hint="default" w:ascii="Times New Roman" w:hAnsi="Times New Roman" w:eastAsia="宋体" w:cs="var(--dsw-font-markdown-base)"/>
                <w:i w:val="0"/>
                <w:iCs w:val="0"/>
                <w:caps w:val="0"/>
                <w:color w:val="auto"/>
                <w:spacing w:val="0"/>
                <w:sz w:val="21"/>
                <w:szCs w:val="21"/>
                <w:shd w:val="clear" w:fill="FFFFFF"/>
              </w:rPr>
              <w:t>2020）附录A，袋式除尘（含滤筒除尘）是颗粒物治理的推荐可行技术</w:t>
            </w:r>
            <w:r>
              <w:rPr>
                <w:rFonts w:hint="eastAsia" w:ascii="Times New Roman" w:hAnsi="Times New Roman" w:cs="var(--dsw-font-xxxs-strong-11)"/>
                <w:i w:val="0"/>
                <w:iCs w:val="0"/>
                <w:caps w:val="0"/>
                <w:color w:val="auto"/>
                <w:spacing w:val="0"/>
                <w:sz w:val="21"/>
                <w:szCs w:val="21"/>
                <w:shd w:val="clear" w:fill="FFFFFF"/>
                <w:lang w:eastAsia="zh-CN"/>
              </w:rPr>
              <w:t xml:space="preserve"> </w:t>
            </w:r>
            <w:r>
              <w:rPr>
                <w:rFonts w:hint="default" w:ascii="Times New Roman" w:hAnsi="Times New Roman" w:eastAsia="宋体" w:cs="var(--dsw-font-markdown-base)"/>
                <w:i w:val="0"/>
                <w:iCs w:val="0"/>
                <w:caps w:val="0"/>
                <w:color w:val="auto"/>
                <w:spacing w:val="0"/>
                <w:sz w:val="21"/>
                <w:szCs w:val="21"/>
                <w:shd w:val="clear" w:fill="FFFFFF"/>
              </w:rPr>
              <w:t>。</w:t>
            </w:r>
          </w:p>
          <w:p w14:paraId="70551DF7">
            <w:pPr>
              <w:pStyle w:val="5"/>
              <w:keepNext w:val="0"/>
              <w:keepLines w:val="0"/>
              <w:pageBreakBefore w:val="0"/>
              <w:widowControl/>
              <w:numPr>
                <w:ilvl w:val="0"/>
                <w:numId w:val="26"/>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2" w:firstLineChars="200"/>
              <w:textAlignment w:val="auto"/>
              <w:rPr>
                <w:rFonts w:hint="default" w:ascii="Times New Roman" w:hAnsi="Times New Roman" w:eastAsia="宋体" w:cs="var(--dsw-font-markdown-h4)"/>
                <w:i w:val="0"/>
                <w:iCs w:val="0"/>
                <w:caps w:val="0"/>
                <w:color w:val="auto"/>
                <w:spacing w:val="0"/>
                <w:sz w:val="21"/>
                <w:shd w:val="clear" w:fill="FFFFFF"/>
              </w:rPr>
            </w:pPr>
            <w:r>
              <w:rPr>
                <w:rFonts w:hint="default" w:ascii="Times New Roman" w:hAnsi="Times New Roman" w:eastAsia="宋体" w:cs="var(--dsw-font-markdown-h4)"/>
                <w:i w:val="0"/>
                <w:iCs w:val="0"/>
                <w:caps w:val="0"/>
                <w:color w:val="auto"/>
                <w:spacing w:val="0"/>
                <w:sz w:val="21"/>
                <w:shd w:val="clear" w:fill="FFFFFF"/>
              </w:rPr>
              <w:t>二级活性炭吸附装置可行性分析</w:t>
            </w:r>
          </w:p>
          <w:p w14:paraId="2B9B2AFB">
            <w:pPr>
              <w:pStyle w:val="4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项目</w:t>
            </w:r>
            <w:r>
              <w:rPr>
                <w:rFonts w:hint="default" w:ascii="Times New Roman" w:hAnsi="Times New Roman" w:eastAsia="宋体" w:cs="Segoe UI"/>
                <w:b w:val="0"/>
                <w:bCs w:val="0"/>
                <w:i w:val="0"/>
                <w:iCs w:val="0"/>
                <w:caps w:val="0"/>
                <w:color w:val="auto"/>
                <w:spacing w:val="0"/>
                <w:sz w:val="21"/>
                <w:szCs w:val="24"/>
                <w:shd w:val="clear" w:fill="FFFFFF"/>
              </w:rPr>
              <w:t>刷处理剂、刷胶</w:t>
            </w:r>
            <w:r>
              <w:rPr>
                <w:rFonts w:hint="eastAsia" w:ascii="Times New Roman" w:hAnsi="Times New Roman" w:cs="Segoe UI"/>
                <w:b w:val="0"/>
                <w:bCs w:val="0"/>
                <w:i w:val="0"/>
                <w:iCs w:val="0"/>
                <w:caps w:val="0"/>
                <w:color w:val="auto"/>
                <w:spacing w:val="0"/>
                <w:sz w:val="21"/>
                <w:szCs w:val="24"/>
                <w:shd w:val="clear" w:fill="FFFFFF"/>
                <w:lang w:eastAsia="zh-CN"/>
              </w:rPr>
              <w:t>、</w:t>
            </w:r>
            <w:r>
              <w:rPr>
                <w:rFonts w:hint="default" w:ascii="Times New Roman" w:hAnsi="Times New Roman" w:eastAsia="宋体" w:cs="Segoe UI"/>
                <w:b w:val="0"/>
                <w:bCs w:val="0"/>
                <w:i w:val="0"/>
                <w:iCs w:val="0"/>
                <w:caps w:val="0"/>
                <w:color w:val="auto"/>
                <w:spacing w:val="0"/>
                <w:sz w:val="21"/>
                <w:szCs w:val="24"/>
                <w:shd w:val="clear" w:fill="FFFFFF"/>
              </w:rPr>
              <w:t>泡药水及烘干工序</w:t>
            </w:r>
            <w:r>
              <w:rPr>
                <w:rFonts w:hint="eastAsia" w:ascii="Times New Roman" w:hAnsi="Times New Roman" w:eastAsia="宋体" w:cs="Segoe UI"/>
                <w:b w:val="0"/>
                <w:bCs w:val="0"/>
                <w:i w:val="0"/>
                <w:iCs w:val="0"/>
                <w:caps w:val="0"/>
                <w:color w:val="auto"/>
                <w:spacing w:val="0"/>
                <w:sz w:val="21"/>
                <w:szCs w:val="24"/>
                <w:shd w:val="clear" w:fill="FFFFFF"/>
                <w:lang w:eastAsia="zh-CN"/>
              </w:rPr>
              <w:t>、</w:t>
            </w:r>
            <w:r>
              <w:rPr>
                <w:rFonts w:hint="default" w:ascii="Times New Roman" w:hAnsi="Times New Roman" w:eastAsia="宋体" w:cs="Segoe UI"/>
                <w:b w:val="0"/>
                <w:bCs w:val="0"/>
                <w:i w:val="0"/>
                <w:iCs w:val="0"/>
                <w:caps w:val="0"/>
                <w:color w:val="auto"/>
                <w:spacing w:val="0"/>
                <w:sz w:val="21"/>
                <w:szCs w:val="24"/>
                <w:shd w:val="clear" w:fill="FFFFFF"/>
              </w:rPr>
              <w:t>照射过</w:t>
            </w:r>
            <w:r>
              <w:rPr>
                <w:rFonts w:hint="eastAsia" w:ascii="Times New Roman" w:hAnsi="Times New Roman" w:cs="Segoe UI"/>
                <w:b w:val="0"/>
                <w:bCs w:val="0"/>
                <w:i w:val="0"/>
                <w:iCs w:val="0"/>
                <w:caps w:val="0"/>
                <w:color w:val="auto"/>
                <w:spacing w:val="0"/>
                <w:sz w:val="21"/>
                <w:szCs w:val="24"/>
                <w:shd w:val="clear" w:fill="FFFFFF"/>
                <w:lang w:eastAsia="zh-CN"/>
              </w:rPr>
              <w:t>程</w:t>
            </w:r>
            <w:r>
              <w:rPr>
                <w:rFonts w:hint="eastAsia" w:ascii="Times New Roman" w:hAnsi="Times New Roman" w:cs="Segoe UI"/>
                <w:b w:val="0"/>
                <w:bCs w:val="0"/>
                <w:i w:val="0"/>
                <w:iCs w:val="0"/>
                <w:caps w:val="0"/>
                <w:color w:val="auto"/>
                <w:spacing w:val="0"/>
                <w:sz w:val="21"/>
                <w:szCs w:val="24"/>
                <w:shd w:val="clear" w:fill="FFFFFF"/>
                <w:lang w:val="en-US" w:eastAsia="zh-CN"/>
              </w:rPr>
              <w:t>等</w:t>
            </w:r>
            <w:r>
              <w:rPr>
                <w:rFonts w:hint="eastAsia" w:ascii="Times New Roman" w:hAnsi="Times New Roman" w:cs="Segoe UI"/>
                <w:b w:val="0"/>
                <w:bCs w:val="0"/>
                <w:i w:val="0"/>
                <w:iCs w:val="0"/>
                <w:caps w:val="0"/>
                <w:color w:val="auto"/>
                <w:spacing w:val="0"/>
                <w:sz w:val="21"/>
                <w:szCs w:val="24"/>
                <w:shd w:val="clear" w:fill="FFFFFF"/>
                <w:lang w:eastAsia="zh-CN"/>
              </w:rPr>
              <w:t>中</w:t>
            </w:r>
            <w:r>
              <w:rPr>
                <w:rFonts w:hint="default" w:ascii="Times New Roman" w:hAnsi="Times New Roman" w:eastAsia="宋体" w:cs="var(--dsw-font-markdown-base)"/>
                <w:i w:val="0"/>
                <w:iCs w:val="0"/>
                <w:caps w:val="0"/>
                <w:color w:val="auto"/>
                <w:spacing w:val="0"/>
                <w:sz w:val="21"/>
                <w:szCs w:val="21"/>
                <w:shd w:val="clear" w:fill="FFFFFF"/>
              </w:rPr>
              <w:t>产生的有机废气采用二级活性炭吸附装置处理。</w:t>
            </w:r>
          </w:p>
          <w:p w14:paraId="6F9E9C65">
            <w:pPr>
              <w:pStyle w:val="4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22"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b/>
                <w:bCs/>
                <w:i w:val="0"/>
                <w:iCs w:val="0"/>
                <w:caps w:val="0"/>
                <w:color w:val="auto"/>
                <w:spacing w:val="0"/>
                <w:sz w:val="21"/>
                <w:szCs w:val="21"/>
                <w:shd w:val="clear" w:fill="FFFFFF"/>
              </w:rPr>
              <w:t>工作原理</w:t>
            </w:r>
            <w:r>
              <w:rPr>
                <w:rFonts w:hint="default" w:ascii="Times New Roman" w:hAnsi="Times New Roman" w:eastAsia="宋体" w:cs="var(--dsw-font-markdown-base)"/>
                <w:i w:val="0"/>
                <w:iCs w:val="0"/>
                <w:caps w:val="0"/>
                <w:color w:val="auto"/>
                <w:spacing w:val="0"/>
                <w:sz w:val="21"/>
                <w:szCs w:val="21"/>
                <w:shd w:val="clear" w:fill="FFFFFF"/>
              </w:rPr>
              <w:t>：气体由风机提供动力，正压或负压进入活性炭吸附床，由于活性炭固体表面上存在着未平衡和未饱和的分子引力或化学键力，因此当此固体表面与气体接触时，就能吸引气体分子，使其浓聚并保持在固体表面，污染物质从而被吸附，净化气体高空达标排放。活性炭吸附主要利用多孔性固体物质处理流体混合物时，流体中的某一组分或某些组分可被吸引到固体表面，并浓缩、聚集其上。</w:t>
            </w:r>
          </w:p>
          <w:p w14:paraId="6435BA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2" w:firstLineChars="200"/>
              <w:jc w:val="left"/>
              <w:textAlignment w:val="auto"/>
              <w:rPr>
                <w:rFonts w:hint="default" w:ascii="Times New Roman" w:hAnsi="Times New Roman" w:eastAsia="宋体"/>
                <w:color w:val="auto"/>
                <w:sz w:val="21"/>
              </w:rPr>
            </w:pPr>
            <w:r>
              <w:rPr>
                <w:rFonts w:hint="default" w:ascii="Times New Roman" w:hAnsi="Times New Roman" w:eastAsia="宋体" w:cs="var(--dsw-font-markdown-base)"/>
                <w:b/>
                <w:bCs/>
                <w:i w:val="0"/>
                <w:iCs w:val="0"/>
                <w:caps w:val="0"/>
                <w:color w:val="auto"/>
                <w:spacing w:val="0"/>
                <w:sz w:val="21"/>
                <w:szCs w:val="21"/>
                <w:shd w:val="clear" w:fill="FFFFFF"/>
              </w:rPr>
              <w:t>技术可行性</w:t>
            </w:r>
            <w:r>
              <w:rPr>
                <w:rFonts w:hint="default" w:ascii="Times New Roman" w:hAnsi="Times New Roman" w:eastAsia="宋体" w:cs="var(--dsw-font-markdown-base)"/>
                <w:i w:val="0"/>
                <w:iCs w:val="0"/>
                <w:caps w:val="0"/>
                <w:color w:val="auto"/>
                <w:spacing w:val="0"/>
                <w:sz w:val="21"/>
                <w:szCs w:val="21"/>
                <w:shd w:val="clear" w:fill="FFFFFF"/>
              </w:rPr>
              <w:t>：活性炭吸附法处理有机废气是目前最成熟的废气处理方式之一，适用于常温低浓度的有机废气净化，具有设备投资低、结构简单、占地面积小、净化效率高、整套装置无运动部件、维护简单等特点</w:t>
            </w:r>
            <w:r>
              <w:rPr>
                <w:rFonts w:hint="eastAsia" w:ascii="Times New Roman" w:hAnsi="Times New Roman" w:cs="var(--dsw-font-xxxs-strong-11)"/>
                <w:i w:val="0"/>
                <w:iCs w:val="0"/>
                <w:caps w:val="0"/>
                <w:color w:val="auto"/>
                <w:spacing w:val="0"/>
                <w:sz w:val="21"/>
                <w:szCs w:val="21"/>
                <w:shd w:val="clear" w:fill="FFFFFF"/>
                <w:lang w:eastAsia="zh-CN"/>
              </w:rPr>
              <w:t xml:space="preserve"> </w:t>
            </w:r>
            <w:r>
              <w:rPr>
                <w:rFonts w:hint="default" w:ascii="Times New Roman" w:hAnsi="Times New Roman" w:eastAsia="宋体" w:cs="var(--dsw-font-markdown-base)"/>
                <w:i w:val="0"/>
                <w:iCs w:val="0"/>
                <w:caps w:val="0"/>
                <w:color w:val="auto"/>
                <w:spacing w:val="0"/>
                <w:sz w:val="21"/>
                <w:szCs w:val="21"/>
                <w:shd w:val="clear" w:fill="FFFFFF"/>
              </w:rPr>
              <w:t>。根据《排污许可证申请与核发技术规范橡胶和塑料制品工业》（HJ1122</w:t>
            </w:r>
            <w:r>
              <w:rPr>
                <w:rFonts w:hint="eastAsia" w:ascii="Times New Roman" w:hAnsi="Times New Roman" w:cs="var(--dsw-font-markdown-base)"/>
                <w:i w:val="0"/>
                <w:iCs w:val="0"/>
                <w:caps w:val="0"/>
                <w:color w:val="auto"/>
                <w:spacing w:val="0"/>
                <w:sz w:val="21"/>
                <w:szCs w:val="21"/>
                <w:shd w:val="clear" w:fill="FFFFFF"/>
                <w:lang w:val="en-US" w:eastAsia="zh-CN"/>
              </w:rPr>
              <w:t>-</w:t>
            </w:r>
            <w:r>
              <w:rPr>
                <w:rFonts w:hint="eastAsia" w:ascii="Times New Roman" w:hAnsi="Times New Roman" w:cs="var(--dsw-font-markdown-base)"/>
                <w:i w:val="0"/>
                <w:iCs w:val="0"/>
                <w:caps w:val="0"/>
                <w:color w:val="auto"/>
                <w:spacing w:val="0"/>
                <w:sz w:val="21"/>
                <w:szCs w:val="21"/>
                <w:shd w:val="clear" w:fill="FFFFFF"/>
                <w:lang w:eastAsia="zh-CN"/>
              </w:rPr>
              <w:t xml:space="preserve"> </w:t>
            </w:r>
            <w:r>
              <w:rPr>
                <w:rFonts w:hint="default" w:ascii="Times New Roman" w:hAnsi="Times New Roman" w:eastAsia="宋体" w:cs="var(--dsw-font-markdown-base)"/>
                <w:i w:val="0"/>
                <w:iCs w:val="0"/>
                <w:caps w:val="0"/>
                <w:color w:val="auto"/>
                <w:spacing w:val="0"/>
                <w:sz w:val="21"/>
                <w:szCs w:val="21"/>
                <w:shd w:val="clear" w:fill="FFFFFF"/>
              </w:rPr>
              <w:t>2020）附录A及《排污许可证申请与核发技术规范制鞋工业》（HJ1123</w:t>
            </w:r>
            <w:r>
              <w:rPr>
                <w:rFonts w:hint="eastAsia" w:ascii="Times New Roman" w:hAnsi="Times New Roman" w:cs="var(--dsw-font-markdown-base)"/>
                <w:i w:val="0"/>
                <w:iCs w:val="0"/>
                <w:caps w:val="0"/>
                <w:color w:val="auto"/>
                <w:spacing w:val="0"/>
                <w:sz w:val="21"/>
                <w:szCs w:val="21"/>
                <w:shd w:val="clear" w:fill="FFFFFF"/>
                <w:lang w:val="en-US" w:eastAsia="zh-CN"/>
              </w:rPr>
              <w:t>-</w:t>
            </w:r>
            <w:r>
              <w:rPr>
                <w:rFonts w:hint="eastAsia" w:ascii="Times New Roman" w:hAnsi="Times New Roman" w:cs="var(--dsw-font-markdown-base)"/>
                <w:i w:val="0"/>
                <w:iCs w:val="0"/>
                <w:caps w:val="0"/>
                <w:color w:val="auto"/>
                <w:spacing w:val="0"/>
                <w:sz w:val="21"/>
                <w:szCs w:val="21"/>
                <w:shd w:val="clear" w:fill="FFFFFF"/>
                <w:lang w:eastAsia="zh-CN"/>
              </w:rPr>
              <w:t xml:space="preserve"> </w:t>
            </w:r>
            <w:r>
              <w:rPr>
                <w:rFonts w:hint="default" w:ascii="Times New Roman" w:hAnsi="Times New Roman" w:eastAsia="宋体" w:cs="var(--dsw-font-markdown-base)"/>
                <w:i w:val="0"/>
                <w:iCs w:val="0"/>
                <w:caps w:val="0"/>
                <w:color w:val="auto"/>
                <w:spacing w:val="0"/>
                <w:sz w:val="21"/>
                <w:szCs w:val="21"/>
                <w:shd w:val="clear" w:fill="FFFFFF"/>
              </w:rPr>
              <w:t>2020），活性炭吸附是挥发性有机废气治理的推荐可行技术。</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参照《广东省印刷行业挥发性有机化合物废气治理技术指南》《广东省家具制造行业挥发性有机废气治理技术指南》，吸附法对有机废气处理效率为 50~80%，本项目取单级活性炭处理效率为</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60</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%，则二级活性炭处理效率=1-(1-</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60</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%)×(1-</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60</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w:t>
            </w:r>
            <w:r>
              <w:rPr>
                <w:rFonts w:hint="eastAsia" w:ascii="Times New Roman" w:hAnsi="Times New Roman" w:eastAsia="宋体" w:cs="Segoe UI"/>
                <w:b w:val="0"/>
                <w:i w:val="0"/>
                <w:iCs w:val="0"/>
                <w:caps w:val="0"/>
                <w:strike w:val="0"/>
                <w:color w:val="auto"/>
                <w:spacing w:val="0"/>
                <w:kern w:val="0"/>
                <w:sz w:val="21"/>
                <w:szCs w:val="24"/>
                <w:u w:val="none"/>
                <w:lang w:val="en-US" w:eastAsia="zh-CN" w:bidi="ar-SA"/>
              </w:rPr>
              <w:t>84</w:t>
            </w:r>
            <w:r>
              <w:rPr>
                <w:rFonts w:hint="default" w:ascii="Times New Roman" w:hAnsi="Times New Roman" w:eastAsia="宋体" w:cs="Segoe UI"/>
                <w:b w:val="0"/>
                <w:i w:val="0"/>
                <w:iCs w:val="0"/>
                <w:caps w:val="0"/>
                <w:strike w:val="0"/>
                <w:color w:val="auto"/>
                <w:spacing w:val="0"/>
                <w:kern w:val="0"/>
                <w:sz w:val="21"/>
                <w:szCs w:val="24"/>
                <w:u w:val="none"/>
                <w:lang w:val="en-US" w:eastAsia="zh-CN" w:bidi="ar-SA"/>
              </w:rPr>
              <w:t>%，</w:t>
            </w:r>
            <w:r>
              <w:rPr>
                <w:rFonts w:hint="default" w:ascii="Times New Roman" w:hAnsi="Times New Roman" w:eastAsia="宋体" w:cs="var(--dsw-font-markdown-base)"/>
                <w:i w:val="0"/>
                <w:iCs w:val="0"/>
                <w:caps w:val="0"/>
                <w:color w:val="auto"/>
                <w:spacing w:val="0"/>
                <w:sz w:val="21"/>
                <w:szCs w:val="21"/>
                <w:shd w:val="clear" w:fill="FFFFFF"/>
              </w:rPr>
              <w:t>项目采用二级活性炭吸附，对有机废气的处理效率取</w:t>
            </w:r>
            <w:r>
              <w:rPr>
                <w:rFonts w:hint="eastAsia" w:ascii="Times New Roman" w:hAnsi="Times New Roman" w:cs="var(--dsw-font-markdown-base)"/>
                <w:i w:val="0"/>
                <w:iCs w:val="0"/>
                <w:caps w:val="0"/>
                <w:color w:val="auto"/>
                <w:spacing w:val="0"/>
                <w:sz w:val="21"/>
                <w:szCs w:val="21"/>
                <w:shd w:val="clear" w:fill="FFFFFF"/>
                <w:lang w:val="en-US" w:eastAsia="zh-CN"/>
              </w:rPr>
              <w:t>7</w:t>
            </w:r>
            <w:r>
              <w:rPr>
                <w:rFonts w:hint="default" w:ascii="Times New Roman" w:hAnsi="Times New Roman" w:eastAsia="宋体" w:cs="var(--dsw-font-markdown-base)"/>
                <w:i w:val="0"/>
                <w:iCs w:val="0"/>
                <w:caps w:val="0"/>
                <w:color w:val="auto"/>
                <w:spacing w:val="0"/>
                <w:sz w:val="21"/>
                <w:szCs w:val="21"/>
                <w:shd w:val="clear" w:fill="FFFFFF"/>
              </w:rPr>
              <w:t>0%，满足技术可行要求。</w:t>
            </w:r>
          </w:p>
          <w:p w14:paraId="1B5E12CD">
            <w:pPr>
              <w:pStyle w:val="5"/>
              <w:keepNext w:val="0"/>
              <w:keepLines w:val="0"/>
              <w:pageBreakBefore w:val="0"/>
              <w:widowControl/>
              <w:numPr>
                <w:ilvl w:val="0"/>
                <w:numId w:val="26"/>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2" w:firstLineChars="200"/>
              <w:textAlignment w:val="auto"/>
              <w:rPr>
                <w:rFonts w:hint="default" w:ascii="Times New Roman" w:hAnsi="Times New Roman" w:eastAsia="宋体" w:cs="var(--dsw-font-markdown-h4)"/>
                <w:i w:val="0"/>
                <w:iCs w:val="0"/>
                <w:caps w:val="0"/>
                <w:color w:val="auto"/>
                <w:spacing w:val="0"/>
                <w:sz w:val="21"/>
                <w:shd w:val="clear" w:fill="FFFFFF"/>
              </w:rPr>
            </w:pPr>
            <w:r>
              <w:rPr>
                <w:rFonts w:hint="default" w:ascii="Times New Roman" w:hAnsi="Times New Roman" w:eastAsia="宋体" w:cs="var(--dsw-font-markdown-h4)"/>
                <w:i w:val="0"/>
                <w:iCs w:val="0"/>
                <w:caps w:val="0"/>
                <w:color w:val="auto"/>
                <w:spacing w:val="0"/>
                <w:sz w:val="21"/>
                <w:shd w:val="clear" w:fill="FFFFFF"/>
              </w:rPr>
              <w:t>运水烟罩+静电油烟净化器可行性分析</w:t>
            </w:r>
          </w:p>
          <w:p w14:paraId="15DA15E8">
            <w:pPr>
              <w:pStyle w:val="4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项目食堂油烟采用运水烟罩+静电油烟净化器的治理工艺处理。</w:t>
            </w:r>
          </w:p>
          <w:p w14:paraId="3ED20AC5">
            <w:pPr>
              <w:pStyle w:val="4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22"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b/>
                <w:bCs/>
                <w:i w:val="0"/>
                <w:iCs w:val="0"/>
                <w:caps w:val="0"/>
                <w:color w:val="auto"/>
                <w:spacing w:val="0"/>
                <w:sz w:val="21"/>
                <w:szCs w:val="21"/>
                <w:shd w:val="clear" w:fill="FFFFFF"/>
              </w:rPr>
              <w:t>工作原理</w:t>
            </w:r>
            <w:r>
              <w:rPr>
                <w:rFonts w:hint="default" w:ascii="Times New Roman" w:hAnsi="Times New Roman" w:eastAsia="宋体" w:cs="var(--dsw-font-markdown-base)"/>
                <w:i w:val="0"/>
                <w:iCs w:val="0"/>
                <w:caps w:val="0"/>
                <w:color w:val="auto"/>
                <w:spacing w:val="0"/>
                <w:sz w:val="21"/>
                <w:szCs w:val="21"/>
                <w:shd w:val="clear" w:fill="FFFFFF"/>
              </w:rPr>
              <w:t>：油烟废气首先经运水烟罩洗涤冷却，去除大部分油雾颗粒，再进入静电油烟净化器，利用高压电场使油烟颗粒带电并被集尘极吸附，从而达到净化目的。</w:t>
            </w:r>
          </w:p>
          <w:p w14:paraId="684CB6D2">
            <w:pPr>
              <w:pStyle w:val="4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22"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b/>
                <w:bCs/>
                <w:i w:val="0"/>
                <w:iCs w:val="0"/>
                <w:caps w:val="0"/>
                <w:color w:val="auto"/>
                <w:spacing w:val="0"/>
                <w:sz w:val="21"/>
                <w:szCs w:val="21"/>
                <w:shd w:val="clear" w:fill="FFFFFF"/>
              </w:rPr>
              <w:t>技术可行性</w:t>
            </w:r>
            <w:r>
              <w:rPr>
                <w:rFonts w:hint="default" w:ascii="Times New Roman" w:hAnsi="Times New Roman" w:eastAsia="宋体" w:cs="var(--dsw-font-markdown-base)"/>
                <w:i w:val="0"/>
                <w:iCs w:val="0"/>
                <w:caps w:val="0"/>
                <w:color w:val="auto"/>
                <w:spacing w:val="0"/>
                <w:sz w:val="21"/>
                <w:szCs w:val="21"/>
                <w:shd w:val="clear" w:fill="FFFFFF"/>
              </w:rPr>
              <w:t>：运水烟罩+静电油烟净化器是饮食业油烟治理的成熟工艺，处理效率可达85%以上，可确保油烟排放浓度满足《饮食业油烟排放标准（试行）》（GB18483</w:t>
            </w:r>
            <w:r>
              <w:rPr>
                <w:rFonts w:hint="eastAsia" w:ascii="Times New Roman" w:hAnsi="Times New Roman" w:cs="var(--dsw-font-markdown-base)"/>
                <w:i w:val="0"/>
                <w:iCs w:val="0"/>
                <w:caps w:val="0"/>
                <w:color w:val="auto"/>
                <w:spacing w:val="0"/>
                <w:sz w:val="21"/>
                <w:szCs w:val="21"/>
                <w:shd w:val="clear" w:fill="FFFFFF"/>
                <w:lang w:eastAsia="zh-CN"/>
              </w:rPr>
              <w:t xml:space="preserve"> </w:t>
            </w:r>
            <w:r>
              <w:rPr>
                <w:rFonts w:hint="eastAsia" w:ascii="Times New Roman" w:hAnsi="Times New Roman" w:cs="var(--dsw-font-markdown-base)"/>
                <w:i w:val="0"/>
                <w:iCs w:val="0"/>
                <w:caps w:val="0"/>
                <w:color w:val="auto"/>
                <w:spacing w:val="0"/>
                <w:sz w:val="21"/>
                <w:szCs w:val="21"/>
                <w:shd w:val="clear" w:fill="FFFFFF"/>
                <w:lang w:val="en-US" w:eastAsia="zh-CN"/>
              </w:rPr>
              <w:t>-</w:t>
            </w:r>
            <w:r>
              <w:rPr>
                <w:rFonts w:hint="default" w:ascii="Times New Roman" w:hAnsi="Times New Roman" w:eastAsia="宋体" w:cs="var(--dsw-font-markdown-base)"/>
                <w:i w:val="0"/>
                <w:iCs w:val="0"/>
                <w:caps w:val="0"/>
                <w:color w:val="auto"/>
                <w:spacing w:val="0"/>
                <w:sz w:val="21"/>
                <w:szCs w:val="21"/>
                <w:shd w:val="clear" w:fill="FFFFFF"/>
              </w:rPr>
              <w:t>2001）表2最高允许排放浓度限值（≤2.0mg/m³）要求。</w:t>
            </w:r>
          </w:p>
          <w:p w14:paraId="70D6EECB">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var(--dsw-font-markdown-h2)"/>
                <w:color w:val="auto"/>
                <w:sz w:val="21"/>
              </w:rPr>
            </w:pPr>
            <w:bookmarkStart w:id="48" w:name="_Toc32322"/>
            <w:bookmarkStart w:id="49" w:name="_Toc1187"/>
            <w:r>
              <w:rPr>
                <w:rFonts w:hint="eastAsia" w:ascii="Times New Roman" w:hAnsi="Times New Roman" w:eastAsia="宋体" w:cs="var(--dsw-font-markdown-h2)"/>
                <w:i w:val="0"/>
                <w:iCs w:val="0"/>
                <w:caps w:val="0"/>
                <w:color w:val="auto"/>
                <w:spacing w:val="0"/>
                <w:sz w:val="21"/>
                <w:shd w:val="clear" w:fill="FFFFFF"/>
                <w:lang w:val="en-US" w:eastAsia="zh-CN"/>
              </w:rPr>
              <w:t>4</w:t>
            </w:r>
            <w:r>
              <w:rPr>
                <w:rFonts w:hint="default" w:ascii="Times New Roman" w:hAnsi="Times New Roman" w:eastAsia="宋体" w:cs="var(--dsw-font-markdown-h2)"/>
                <w:i w:val="0"/>
                <w:iCs w:val="0"/>
                <w:caps w:val="0"/>
                <w:color w:val="auto"/>
                <w:spacing w:val="0"/>
                <w:sz w:val="21"/>
                <w:shd w:val="clear" w:fill="FFFFFF"/>
              </w:rPr>
              <w:t>、活性炭吸附装置参数一览表</w:t>
            </w:r>
            <w:bookmarkEnd w:id="48"/>
            <w:bookmarkEnd w:id="49"/>
          </w:p>
          <w:p w14:paraId="79886D10">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sz w:val="21"/>
                <w:szCs w:val="24"/>
                <w:lang w:val="en-US" w:eastAsia="zh-CN"/>
              </w:rPr>
            </w:pPr>
            <w:r>
              <w:rPr>
                <w:rFonts w:hint="default" w:ascii="Times New Roman" w:hAnsi="Times New Roman" w:eastAsia="宋体" w:cs="Times New Roman"/>
                <w:b/>
                <w:color w:val="auto"/>
                <w:sz w:val="21"/>
                <w:szCs w:val="24"/>
                <w:lang w:val="en-US" w:eastAsia="zh-CN"/>
              </w:rPr>
              <w:t>活性炭吸附装置参数一览表</w:t>
            </w:r>
          </w:p>
          <w:tbl>
            <w:tblPr>
              <w:tblStyle w:val="49"/>
              <w:tblW w:w="100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41"/>
              <w:gridCol w:w="1210"/>
              <w:gridCol w:w="2080"/>
              <w:gridCol w:w="1993"/>
              <w:gridCol w:w="1993"/>
            </w:tblGrid>
            <w:tr w14:paraId="6AA6F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741" w:type="dxa"/>
                  <w:vAlign w:val="center"/>
                </w:tcPr>
                <w:p w14:paraId="618509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项目</w:t>
                  </w:r>
                </w:p>
              </w:tc>
              <w:tc>
                <w:tcPr>
                  <w:tcW w:w="1210" w:type="dxa"/>
                  <w:vAlign w:val="center"/>
                </w:tcPr>
                <w:p w14:paraId="5A2DDC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单位</w:t>
                  </w:r>
                </w:p>
              </w:tc>
              <w:tc>
                <w:tcPr>
                  <w:tcW w:w="2080" w:type="dxa"/>
                  <w:vAlign w:val="center"/>
                </w:tcPr>
                <w:p w14:paraId="602317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G1排气筒配套活性炭装置</w:t>
                  </w:r>
                </w:p>
              </w:tc>
              <w:tc>
                <w:tcPr>
                  <w:tcW w:w="1993" w:type="dxa"/>
                  <w:vAlign w:val="center"/>
                </w:tcPr>
                <w:p w14:paraId="100411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eastAsia" w:cs="var(--dsw-font-markdown-table-h"/>
                      <w:b/>
                      <w:bCs/>
                      <w:color w:val="auto"/>
                      <w:kern w:val="0"/>
                      <w:sz w:val="21"/>
                      <w:szCs w:val="24"/>
                      <w:lang w:val="en-US" w:eastAsia="zh-CN" w:bidi="ar"/>
                    </w:rPr>
                    <w:t>G2~G7</w:t>
                  </w:r>
                  <w:r>
                    <w:rPr>
                      <w:rFonts w:hint="default" w:ascii="Times New Roman" w:hAnsi="Times New Roman" w:eastAsia="宋体" w:cs="var(--dsw-font-markdown-table-h"/>
                      <w:b/>
                      <w:bCs/>
                      <w:color w:val="auto"/>
                      <w:kern w:val="0"/>
                      <w:sz w:val="21"/>
                      <w:szCs w:val="24"/>
                      <w:lang w:val="en-US" w:eastAsia="zh-CN" w:bidi="ar"/>
                    </w:rPr>
                    <w:t>排气筒配套活性炭装置（单套）</w:t>
                  </w:r>
                </w:p>
              </w:tc>
              <w:tc>
                <w:tcPr>
                  <w:tcW w:w="1993" w:type="dxa"/>
                  <w:vAlign w:val="center"/>
                </w:tcPr>
                <w:p w14:paraId="04DCFE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var(--dsw-font-markdown-table-h"/>
                      <w:b/>
                      <w:bCs/>
                      <w:color w:val="auto"/>
                      <w:kern w:val="0"/>
                      <w:sz w:val="21"/>
                      <w:szCs w:val="24"/>
                      <w:lang w:val="en-US" w:eastAsia="zh-CN" w:bidi="ar"/>
                    </w:rPr>
                  </w:pPr>
                  <w:r>
                    <w:rPr>
                      <w:rFonts w:hint="eastAsia" w:cs="var(--dsw-font-markdown-table-h"/>
                      <w:b/>
                      <w:bCs/>
                      <w:color w:val="auto"/>
                      <w:kern w:val="0"/>
                      <w:sz w:val="21"/>
                      <w:szCs w:val="24"/>
                      <w:lang w:val="en-US" w:eastAsia="zh-CN" w:bidi="ar"/>
                    </w:rPr>
                    <w:t>G9</w:t>
                  </w:r>
                  <w:r>
                    <w:rPr>
                      <w:rFonts w:hint="default" w:ascii="Times New Roman" w:hAnsi="Times New Roman" w:eastAsia="宋体" w:cs="var(--dsw-font-markdown-table-h"/>
                      <w:b/>
                      <w:bCs/>
                      <w:color w:val="auto"/>
                      <w:kern w:val="0"/>
                      <w:sz w:val="21"/>
                      <w:szCs w:val="24"/>
                      <w:lang w:val="en-US" w:eastAsia="zh-CN" w:bidi="ar"/>
                    </w:rPr>
                    <w:t>排气筒配套活性炭装置（单套）</w:t>
                  </w:r>
                </w:p>
              </w:tc>
            </w:tr>
            <w:tr w14:paraId="2236E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741" w:type="dxa"/>
                  <w:vAlign w:val="center"/>
                </w:tcPr>
                <w:p w14:paraId="5EA0E9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设施名称</w:t>
                  </w:r>
                </w:p>
              </w:tc>
              <w:tc>
                <w:tcPr>
                  <w:tcW w:w="1210" w:type="dxa"/>
                  <w:vAlign w:val="center"/>
                </w:tcPr>
                <w:p w14:paraId="271113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w:t>
                  </w:r>
                </w:p>
              </w:tc>
              <w:tc>
                <w:tcPr>
                  <w:tcW w:w="2080" w:type="dxa"/>
                  <w:vAlign w:val="center"/>
                </w:tcPr>
                <w:p w14:paraId="223470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二级活性炭吸附</w:t>
                  </w:r>
                </w:p>
              </w:tc>
              <w:tc>
                <w:tcPr>
                  <w:tcW w:w="1993" w:type="dxa"/>
                  <w:vAlign w:val="center"/>
                </w:tcPr>
                <w:p w14:paraId="6BC92C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二级活性炭吸附</w:t>
                  </w:r>
                </w:p>
              </w:tc>
              <w:tc>
                <w:tcPr>
                  <w:tcW w:w="1993" w:type="dxa"/>
                  <w:vAlign w:val="center"/>
                </w:tcPr>
                <w:p w14:paraId="25DC3C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二级活性炭吸附</w:t>
                  </w:r>
                </w:p>
              </w:tc>
            </w:tr>
            <w:tr w14:paraId="27D75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741" w:type="dxa"/>
                  <w:vAlign w:val="center"/>
                </w:tcPr>
                <w:p w14:paraId="38B298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设备数量</w:t>
                  </w:r>
                </w:p>
              </w:tc>
              <w:tc>
                <w:tcPr>
                  <w:tcW w:w="1210" w:type="dxa"/>
                  <w:vAlign w:val="center"/>
                </w:tcPr>
                <w:p w14:paraId="13DE57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套</w:t>
                  </w:r>
                </w:p>
              </w:tc>
              <w:tc>
                <w:tcPr>
                  <w:tcW w:w="2080" w:type="dxa"/>
                  <w:vAlign w:val="center"/>
                </w:tcPr>
                <w:p w14:paraId="4ABD44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1</w:t>
                  </w:r>
                </w:p>
              </w:tc>
              <w:tc>
                <w:tcPr>
                  <w:tcW w:w="1993" w:type="dxa"/>
                  <w:vAlign w:val="center"/>
                </w:tcPr>
                <w:p w14:paraId="7FF1CE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1</w:t>
                  </w:r>
                </w:p>
              </w:tc>
              <w:tc>
                <w:tcPr>
                  <w:tcW w:w="1993" w:type="dxa"/>
                  <w:vAlign w:val="center"/>
                </w:tcPr>
                <w:p w14:paraId="50E352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1</w:t>
                  </w:r>
                </w:p>
              </w:tc>
            </w:tr>
            <w:tr w14:paraId="3EF15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741" w:type="dxa"/>
                  <w:vAlign w:val="center"/>
                </w:tcPr>
                <w:p w14:paraId="17F6FC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处理风量</w:t>
                  </w:r>
                </w:p>
              </w:tc>
              <w:tc>
                <w:tcPr>
                  <w:tcW w:w="1210" w:type="dxa"/>
                  <w:vAlign w:val="center"/>
                </w:tcPr>
                <w:p w14:paraId="7A59B0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m³/h</w:t>
                  </w:r>
                </w:p>
              </w:tc>
              <w:tc>
                <w:tcPr>
                  <w:tcW w:w="2080" w:type="dxa"/>
                  <w:vAlign w:val="center"/>
                </w:tcPr>
                <w:p w14:paraId="2DC299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lang w:val="en-US"/>
                    </w:rPr>
                  </w:pPr>
                  <w:r>
                    <w:rPr>
                      <w:rFonts w:hint="eastAsia" w:cs="var(--dsw-font-markdown-table)"/>
                      <w:color w:val="auto"/>
                      <w:kern w:val="0"/>
                      <w:sz w:val="21"/>
                      <w:szCs w:val="24"/>
                      <w:lang w:val="en-US" w:eastAsia="zh-CN" w:bidi="ar"/>
                    </w:rPr>
                    <w:t>3</w:t>
                  </w:r>
                  <w:r>
                    <w:rPr>
                      <w:rFonts w:hint="default" w:ascii="Times New Roman" w:hAnsi="Times New Roman" w:eastAsia="宋体" w:cs="var(--dsw-font-markdown-table)"/>
                      <w:color w:val="auto"/>
                      <w:kern w:val="0"/>
                      <w:sz w:val="21"/>
                      <w:szCs w:val="24"/>
                      <w:lang w:val="en-US" w:eastAsia="zh-CN" w:bidi="ar"/>
                    </w:rPr>
                    <w:t>0000</w:t>
                  </w:r>
                </w:p>
              </w:tc>
              <w:tc>
                <w:tcPr>
                  <w:tcW w:w="1993" w:type="dxa"/>
                  <w:vAlign w:val="center"/>
                </w:tcPr>
                <w:p w14:paraId="566AB8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20000</w:t>
                  </w:r>
                </w:p>
              </w:tc>
              <w:tc>
                <w:tcPr>
                  <w:tcW w:w="1993" w:type="dxa"/>
                  <w:vAlign w:val="center"/>
                </w:tcPr>
                <w:p w14:paraId="02907B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eastAsia" w:ascii="Times New Roman" w:hAnsi="Times New Roman" w:eastAsia="宋体" w:cs="var(--dsw-font-markdown-table)"/>
                      <w:color w:val="auto"/>
                      <w:kern w:val="0"/>
                      <w:sz w:val="21"/>
                      <w:szCs w:val="24"/>
                      <w:lang w:val="en-US" w:eastAsia="zh-CN" w:bidi="ar"/>
                    </w:rPr>
                    <w:t>6000</w:t>
                  </w:r>
                </w:p>
              </w:tc>
            </w:tr>
            <w:tr w14:paraId="69FD1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741" w:type="dxa"/>
                  <w:vAlign w:val="center"/>
                </w:tcPr>
                <w:p w14:paraId="1F620A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碳箱数量</w:t>
                  </w:r>
                </w:p>
              </w:tc>
              <w:tc>
                <w:tcPr>
                  <w:tcW w:w="1210" w:type="dxa"/>
                  <w:vAlign w:val="center"/>
                </w:tcPr>
                <w:p w14:paraId="127348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个</w:t>
                  </w:r>
                </w:p>
              </w:tc>
              <w:tc>
                <w:tcPr>
                  <w:tcW w:w="2080" w:type="dxa"/>
                  <w:vAlign w:val="center"/>
                </w:tcPr>
                <w:p w14:paraId="2DE123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lang w:val="en-US" w:eastAsia="zh-CN"/>
                    </w:rPr>
                  </w:pPr>
                  <w:r>
                    <w:rPr>
                      <w:rFonts w:hint="default" w:ascii="Times New Roman" w:hAnsi="Times New Roman" w:eastAsia="宋体" w:cs="Segoe UI"/>
                      <w:b w:val="0"/>
                      <w:i w:val="0"/>
                      <w:iCs w:val="0"/>
                      <w:caps w:val="0"/>
                      <w:strike w:val="0"/>
                      <w:color w:val="auto"/>
                      <w:spacing w:val="0"/>
                      <w:sz w:val="21"/>
                      <w:szCs w:val="24"/>
                      <w:u w:val="none"/>
                      <w:vertAlign w:val="baseline"/>
                      <w:lang w:val="en-US" w:eastAsia="zh-CN"/>
                    </w:rPr>
                    <w:t>2</w:t>
                  </w:r>
                </w:p>
              </w:tc>
              <w:tc>
                <w:tcPr>
                  <w:tcW w:w="1993" w:type="dxa"/>
                  <w:vAlign w:val="center"/>
                </w:tcPr>
                <w:p w14:paraId="6EC366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2</w:t>
                  </w:r>
                </w:p>
              </w:tc>
              <w:tc>
                <w:tcPr>
                  <w:tcW w:w="1993" w:type="dxa"/>
                  <w:vAlign w:val="center"/>
                </w:tcPr>
                <w:p w14:paraId="41FCA0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2</w:t>
                  </w:r>
                </w:p>
              </w:tc>
            </w:tr>
            <w:tr w14:paraId="1F5C3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741" w:type="dxa"/>
                  <w:vAlign w:val="center"/>
                </w:tcPr>
                <w:p w14:paraId="066F3D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设备规格（长×宽×高）</w:t>
                  </w:r>
                </w:p>
              </w:tc>
              <w:tc>
                <w:tcPr>
                  <w:tcW w:w="1210" w:type="dxa"/>
                  <w:vAlign w:val="center"/>
                </w:tcPr>
                <w:p w14:paraId="600FA1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mm</w:t>
                  </w:r>
                </w:p>
              </w:tc>
              <w:tc>
                <w:tcPr>
                  <w:tcW w:w="2080" w:type="dxa"/>
                  <w:vAlign w:val="center"/>
                </w:tcPr>
                <w:p w14:paraId="1F4ADA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Segoe UI"/>
                      <w:b w:val="0"/>
                      <w:i w:val="0"/>
                      <w:iCs w:val="0"/>
                      <w:caps w:val="0"/>
                      <w:strike w:val="0"/>
                      <w:color w:val="auto"/>
                      <w:spacing w:val="0"/>
                      <w:sz w:val="21"/>
                      <w:szCs w:val="24"/>
                      <w:u w:val="none"/>
                      <w:vertAlign w:val="baseline"/>
                      <w:lang w:val="en-US" w:eastAsia="zh-CN"/>
                    </w:rPr>
                  </w:pPr>
                  <w:r>
                    <w:rPr>
                      <w:rFonts w:hint="eastAsia" w:cs="Segoe UI"/>
                      <w:b w:val="0"/>
                      <w:i w:val="0"/>
                      <w:iCs w:val="0"/>
                      <w:caps w:val="0"/>
                      <w:strike w:val="0"/>
                      <w:color w:val="auto"/>
                      <w:spacing w:val="0"/>
                      <w:sz w:val="21"/>
                      <w:szCs w:val="24"/>
                      <w:u w:val="none"/>
                      <w:vertAlign w:val="baseline"/>
                      <w:lang w:val="en-US" w:eastAsia="zh-CN"/>
                    </w:rPr>
                    <w:t>3700×2420×1550</w:t>
                  </w:r>
                </w:p>
              </w:tc>
              <w:tc>
                <w:tcPr>
                  <w:tcW w:w="1993" w:type="dxa"/>
                  <w:vAlign w:val="center"/>
                </w:tcPr>
                <w:p w14:paraId="48581A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Segoe UI"/>
                      <w:b w:val="0"/>
                      <w:i w:val="0"/>
                      <w:iCs w:val="0"/>
                      <w:caps w:val="0"/>
                      <w:strike w:val="0"/>
                      <w:color w:val="auto"/>
                      <w:spacing w:val="0"/>
                      <w:sz w:val="21"/>
                      <w:szCs w:val="24"/>
                      <w:u w:val="none"/>
                      <w:vertAlign w:val="baseline"/>
                      <w:lang w:val="en-US" w:eastAsia="zh-CN"/>
                    </w:rPr>
                  </w:pPr>
                  <w:r>
                    <w:rPr>
                      <w:rFonts w:hint="eastAsia" w:cs="Segoe UI"/>
                      <w:b w:val="0"/>
                      <w:i w:val="0"/>
                      <w:iCs w:val="0"/>
                      <w:caps w:val="0"/>
                      <w:strike w:val="0"/>
                      <w:color w:val="auto"/>
                      <w:spacing w:val="0"/>
                      <w:sz w:val="21"/>
                      <w:szCs w:val="24"/>
                      <w:u w:val="none"/>
                      <w:vertAlign w:val="baseline"/>
                      <w:lang w:val="en-US" w:eastAsia="zh-CN"/>
                    </w:rPr>
                    <w:t>2700×2400×1550</w:t>
                  </w:r>
                </w:p>
              </w:tc>
              <w:tc>
                <w:tcPr>
                  <w:tcW w:w="1993" w:type="dxa"/>
                  <w:vAlign w:val="center"/>
                </w:tcPr>
                <w:p w14:paraId="6EC2DC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Segoe UI"/>
                      <w:b w:val="0"/>
                      <w:i w:val="0"/>
                      <w:iCs w:val="0"/>
                      <w:caps w:val="0"/>
                      <w:strike w:val="0"/>
                      <w:color w:val="auto"/>
                      <w:spacing w:val="0"/>
                      <w:sz w:val="21"/>
                      <w:szCs w:val="24"/>
                      <w:u w:val="none"/>
                      <w:vertAlign w:val="baseline"/>
                      <w:lang w:val="en-US" w:eastAsia="zh-CN"/>
                    </w:rPr>
                  </w:pPr>
                  <w:r>
                    <w:rPr>
                      <w:rFonts w:hint="eastAsia" w:cs="Segoe UI"/>
                      <w:b w:val="0"/>
                      <w:i w:val="0"/>
                      <w:iCs w:val="0"/>
                      <w:caps w:val="0"/>
                      <w:strike w:val="0"/>
                      <w:color w:val="auto"/>
                      <w:spacing w:val="0"/>
                      <w:sz w:val="21"/>
                      <w:szCs w:val="24"/>
                      <w:u w:val="none"/>
                      <w:vertAlign w:val="baseline"/>
                      <w:lang w:val="en-US" w:eastAsia="zh-CN"/>
                    </w:rPr>
                    <w:t>1750×1230×1670</w:t>
                  </w:r>
                </w:p>
              </w:tc>
            </w:tr>
            <w:tr w14:paraId="03D89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2741" w:type="dxa"/>
                  <w:vAlign w:val="center"/>
                </w:tcPr>
                <w:p w14:paraId="04F82C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活性炭装填规格（长×宽）</w:t>
                  </w:r>
                </w:p>
              </w:tc>
              <w:tc>
                <w:tcPr>
                  <w:tcW w:w="1210" w:type="dxa"/>
                  <w:vAlign w:val="center"/>
                </w:tcPr>
                <w:p w14:paraId="6FBFAC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mm</w:t>
                  </w:r>
                </w:p>
              </w:tc>
              <w:tc>
                <w:tcPr>
                  <w:tcW w:w="2080" w:type="dxa"/>
                  <w:vAlign w:val="center"/>
                </w:tcPr>
                <w:p w14:paraId="3A838B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lang w:val="en-US" w:eastAsia="zh-CN"/>
                    </w:rPr>
                  </w:pPr>
                  <w:r>
                    <w:rPr>
                      <w:rFonts w:hint="eastAsia" w:cs="Segoe UI"/>
                      <w:b w:val="0"/>
                      <w:i w:val="0"/>
                      <w:iCs w:val="0"/>
                      <w:caps w:val="0"/>
                      <w:strike w:val="0"/>
                      <w:color w:val="auto"/>
                      <w:spacing w:val="0"/>
                      <w:sz w:val="21"/>
                      <w:szCs w:val="24"/>
                      <w:u w:val="none"/>
                      <w:vertAlign w:val="baseline"/>
                      <w:lang w:val="en-US" w:eastAsia="zh-CN"/>
                    </w:rPr>
                    <w:t>3500×2000</w:t>
                  </w:r>
                </w:p>
              </w:tc>
              <w:tc>
                <w:tcPr>
                  <w:tcW w:w="1993" w:type="dxa"/>
                  <w:vAlign w:val="center"/>
                </w:tcPr>
                <w:p w14:paraId="642ECC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lang w:val="en-US" w:eastAsia="zh-CN"/>
                    </w:rPr>
                  </w:pPr>
                  <w:r>
                    <w:rPr>
                      <w:rFonts w:hint="eastAsia" w:cs="Segoe UI"/>
                      <w:b w:val="0"/>
                      <w:bCs w:val="0"/>
                      <w:i w:val="0"/>
                      <w:iCs w:val="0"/>
                      <w:caps w:val="0"/>
                      <w:strike w:val="0"/>
                      <w:color w:val="auto"/>
                      <w:spacing w:val="0"/>
                      <w:sz w:val="21"/>
                      <w:szCs w:val="24"/>
                      <w:u w:val="none"/>
                      <w:vertAlign w:val="baseline"/>
                      <w:lang w:val="en-US" w:eastAsia="zh-CN"/>
                    </w:rPr>
                    <w:t>2400</w:t>
                  </w:r>
                  <w:r>
                    <w:rPr>
                      <w:rFonts w:hint="eastAsia" w:cs="Segoe UI"/>
                      <w:b w:val="0"/>
                      <w:i w:val="0"/>
                      <w:iCs w:val="0"/>
                      <w:caps w:val="0"/>
                      <w:strike w:val="0"/>
                      <w:color w:val="auto"/>
                      <w:spacing w:val="0"/>
                      <w:sz w:val="21"/>
                      <w:szCs w:val="24"/>
                      <w:u w:val="none"/>
                      <w:vertAlign w:val="baseline"/>
                      <w:lang w:val="en-US" w:eastAsia="zh-CN"/>
                    </w:rPr>
                    <w:t>×2000</w:t>
                  </w:r>
                </w:p>
              </w:tc>
              <w:tc>
                <w:tcPr>
                  <w:tcW w:w="1993" w:type="dxa"/>
                  <w:vAlign w:val="center"/>
                </w:tcPr>
                <w:p w14:paraId="18D977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1200</w:t>
                  </w:r>
                  <w:r>
                    <w:rPr>
                      <w:rFonts w:hint="eastAsia" w:cs="Segoe UI"/>
                      <w:b w:val="0"/>
                      <w:i w:val="0"/>
                      <w:iCs w:val="0"/>
                      <w:caps w:val="0"/>
                      <w:strike w:val="0"/>
                      <w:color w:val="auto"/>
                      <w:spacing w:val="0"/>
                      <w:sz w:val="21"/>
                      <w:szCs w:val="24"/>
                      <w:u w:val="none"/>
                      <w:vertAlign w:val="baseline"/>
                      <w:lang w:val="en-US" w:eastAsia="zh-CN"/>
                    </w:rPr>
                    <w:t>×1200</w:t>
                  </w:r>
                </w:p>
              </w:tc>
            </w:tr>
            <w:tr w14:paraId="3263C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741" w:type="dxa"/>
                  <w:vAlign w:val="center"/>
                </w:tcPr>
                <w:p w14:paraId="715A22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过滤风速</w:t>
                  </w:r>
                </w:p>
              </w:tc>
              <w:tc>
                <w:tcPr>
                  <w:tcW w:w="1210" w:type="dxa"/>
                  <w:vAlign w:val="center"/>
                </w:tcPr>
                <w:p w14:paraId="2F3985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m/s</w:t>
                  </w:r>
                </w:p>
              </w:tc>
              <w:tc>
                <w:tcPr>
                  <w:tcW w:w="2080" w:type="dxa"/>
                  <w:vAlign w:val="center"/>
                </w:tcPr>
                <w:p w14:paraId="040FD7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lang w:val="en-US" w:eastAsia="zh-CN"/>
                    </w:rPr>
                  </w:pPr>
                  <w:r>
                    <w:rPr>
                      <w:rFonts w:hint="eastAsia" w:cs="Segoe UI"/>
                      <w:b w:val="0"/>
                      <w:bCs w:val="0"/>
                      <w:i w:val="0"/>
                      <w:iCs w:val="0"/>
                      <w:caps w:val="0"/>
                      <w:strike w:val="0"/>
                      <w:color w:val="auto"/>
                      <w:spacing w:val="0"/>
                      <w:sz w:val="21"/>
                      <w:szCs w:val="24"/>
                      <w:u w:val="none"/>
                      <w:vertAlign w:val="baseline"/>
                      <w:lang w:val="en-US" w:eastAsia="zh-CN"/>
                    </w:rPr>
                    <w:t>1.19</w:t>
                  </w:r>
                </w:p>
              </w:tc>
              <w:tc>
                <w:tcPr>
                  <w:tcW w:w="1993" w:type="dxa"/>
                  <w:vAlign w:val="center"/>
                </w:tcPr>
                <w:p w14:paraId="4BE50D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lang w:val="en-US" w:eastAsia="zh-CN"/>
                    </w:rPr>
                  </w:pPr>
                  <w:r>
                    <w:rPr>
                      <w:rFonts w:hint="eastAsia" w:cs="Segoe UI"/>
                      <w:b w:val="0"/>
                      <w:bCs w:val="0"/>
                      <w:i w:val="0"/>
                      <w:iCs w:val="0"/>
                      <w:caps w:val="0"/>
                      <w:strike w:val="0"/>
                      <w:color w:val="auto"/>
                      <w:spacing w:val="0"/>
                      <w:sz w:val="21"/>
                      <w:szCs w:val="24"/>
                      <w:u w:val="none"/>
                      <w:vertAlign w:val="baseline"/>
                      <w:lang w:val="en-US" w:eastAsia="zh-CN"/>
                    </w:rPr>
                    <w:t>1.16</w:t>
                  </w:r>
                </w:p>
              </w:tc>
              <w:tc>
                <w:tcPr>
                  <w:tcW w:w="1993" w:type="dxa"/>
                  <w:vAlign w:val="center"/>
                </w:tcPr>
                <w:p w14:paraId="47ED3D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Segoe UI"/>
                      <w:b w:val="0"/>
                      <w:i w:val="0"/>
                      <w:iCs w:val="0"/>
                      <w:caps w:val="0"/>
                      <w:strike w:val="0"/>
                      <w:color w:val="auto"/>
                      <w:spacing w:val="0"/>
                      <w:sz w:val="21"/>
                      <w:szCs w:val="24"/>
                      <w:u w:val="none"/>
                      <w:vertAlign w:val="baseline"/>
                      <w:lang w:val="en-US" w:eastAsia="zh-CN"/>
                    </w:rPr>
                  </w:pPr>
                  <w:r>
                    <w:rPr>
                      <w:rFonts w:hint="eastAsia" w:cs="Segoe UI"/>
                      <w:b w:val="0"/>
                      <w:i w:val="0"/>
                      <w:iCs w:val="0"/>
                      <w:caps w:val="0"/>
                      <w:strike w:val="0"/>
                      <w:color w:val="auto"/>
                      <w:spacing w:val="0"/>
                      <w:sz w:val="21"/>
                      <w:szCs w:val="24"/>
                      <w:u w:val="none"/>
                      <w:vertAlign w:val="baseline"/>
                      <w:lang w:val="en-US" w:eastAsia="zh-CN"/>
                    </w:rPr>
                    <w:t>1.16</w:t>
                  </w:r>
                </w:p>
              </w:tc>
            </w:tr>
            <w:tr w14:paraId="008C1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741" w:type="dxa"/>
                  <w:vAlign w:val="center"/>
                </w:tcPr>
                <w:p w14:paraId="4808F4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过滤截面积</w:t>
                  </w:r>
                </w:p>
              </w:tc>
              <w:tc>
                <w:tcPr>
                  <w:tcW w:w="1210" w:type="dxa"/>
                  <w:vAlign w:val="center"/>
                </w:tcPr>
                <w:p w14:paraId="62112F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m²</w:t>
                  </w:r>
                </w:p>
              </w:tc>
              <w:tc>
                <w:tcPr>
                  <w:tcW w:w="2080" w:type="dxa"/>
                  <w:vAlign w:val="center"/>
                </w:tcPr>
                <w:p w14:paraId="11CA1D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lang w:val="en-US" w:eastAsia="zh-CN"/>
                    </w:rPr>
                  </w:pPr>
                  <w:r>
                    <w:rPr>
                      <w:rFonts w:hint="eastAsia" w:cs="Segoe UI"/>
                      <w:b w:val="0"/>
                      <w:bCs w:val="0"/>
                      <w:i w:val="0"/>
                      <w:iCs w:val="0"/>
                      <w:caps w:val="0"/>
                      <w:strike w:val="0"/>
                      <w:color w:val="auto"/>
                      <w:spacing w:val="0"/>
                      <w:sz w:val="21"/>
                      <w:szCs w:val="24"/>
                      <w:u w:val="none"/>
                      <w:vertAlign w:val="baseline"/>
                      <w:lang w:val="en-US" w:eastAsia="zh-CN"/>
                    </w:rPr>
                    <w:t>7.0</w:t>
                  </w:r>
                </w:p>
              </w:tc>
              <w:tc>
                <w:tcPr>
                  <w:tcW w:w="1993" w:type="dxa"/>
                  <w:vAlign w:val="center"/>
                </w:tcPr>
                <w:p w14:paraId="39342C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lang w:val="en-US" w:eastAsia="zh-CN"/>
                    </w:rPr>
                  </w:pPr>
                  <w:r>
                    <w:rPr>
                      <w:rFonts w:hint="eastAsia" w:cs="Segoe UI"/>
                      <w:b w:val="0"/>
                      <w:bCs w:val="0"/>
                      <w:i w:val="0"/>
                      <w:iCs w:val="0"/>
                      <w:caps w:val="0"/>
                      <w:strike w:val="0"/>
                      <w:color w:val="auto"/>
                      <w:spacing w:val="0"/>
                      <w:sz w:val="21"/>
                      <w:szCs w:val="24"/>
                      <w:u w:val="none"/>
                      <w:vertAlign w:val="baseline"/>
                      <w:lang w:val="en-US" w:eastAsia="zh-CN"/>
                    </w:rPr>
                    <w:t>4.8</w:t>
                  </w:r>
                </w:p>
              </w:tc>
              <w:tc>
                <w:tcPr>
                  <w:tcW w:w="1993" w:type="dxa"/>
                  <w:vAlign w:val="center"/>
                </w:tcPr>
                <w:p w14:paraId="08F994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1.44</w:t>
                  </w:r>
                </w:p>
              </w:tc>
            </w:tr>
            <w:tr w14:paraId="3D5C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741" w:type="dxa"/>
                  <w:vAlign w:val="center"/>
                </w:tcPr>
                <w:p w14:paraId="3845A6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停留时间</w:t>
                  </w:r>
                </w:p>
              </w:tc>
              <w:tc>
                <w:tcPr>
                  <w:tcW w:w="1210" w:type="dxa"/>
                  <w:vAlign w:val="center"/>
                </w:tcPr>
                <w:p w14:paraId="34CE5F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s</w:t>
                  </w:r>
                </w:p>
              </w:tc>
              <w:tc>
                <w:tcPr>
                  <w:tcW w:w="2080" w:type="dxa"/>
                  <w:vAlign w:val="center"/>
                </w:tcPr>
                <w:p w14:paraId="2EA3F8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lang w:val="en-US" w:eastAsia="zh-CN"/>
                    </w:rPr>
                  </w:pPr>
                  <w:r>
                    <w:rPr>
                      <w:rFonts w:hint="eastAsia" w:cs="Segoe UI"/>
                      <w:b w:val="0"/>
                      <w:bCs w:val="0"/>
                      <w:i w:val="0"/>
                      <w:iCs w:val="0"/>
                      <w:caps w:val="0"/>
                      <w:strike w:val="0"/>
                      <w:color w:val="auto"/>
                      <w:spacing w:val="0"/>
                      <w:sz w:val="21"/>
                      <w:szCs w:val="24"/>
                      <w:u w:val="none"/>
                      <w:vertAlign w:val="baseline"/>
                      <w:lang w:val="en-US" w:eastAsia="zh-CN"/>
                    </w:rPr>
                    <w:t>0.61</w:t>
                  </w:r>
                </w:p>
              </w:tc>
              <w:tc>
                <w:tcPr>
                  <w:tcW w:w="1993" w:type="dxa"/>
                  <w:vAlign w:val="center"/>
                </w:tcPr>
                <w:p w14:paraId="6E0048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lang w:val="en-US" w:eastAsia="zh-CN"/>
                    </w:rPr>
                  </w:pPr>
                  <w:r>
                    <w:rPr>
                      <w:rFonts w:hint="eastAsia" w:cs="Segoe UI"/>
                      <w:b w:val="0"/>
                      <w:bCs w:val="0"/>
                      <w:i w:val="0"/>
                      <w:iCs w:val="0"/>
                      <w:caps w:val="0"/>
                      <w:strike w:val="0"/>
                      <w:color w:val="auto"/>
                      <w:spacing w:val="0"/>
                      <w:sz w:val="21"/>
                      <w:szCs w:val="24"/>
                      <w:u w:val="none"/>
                      <w:vertAlign w:val="baseline"/>
                      <w:lang w:val="en-US" w:eastAsia="zh-CN"/>
                    </w:rPr>
                    <w:t>0.65</w:t>
                  </w:r>
                </w:p>
              </w:tc>
              <w:tc>
                <w:tcPr>
                  <w:tcW w:w="1993" w:type="dxa"/>
                  <w:vAlign w:val="center"/>
                </w:tcPr>
                <w:p w14:paraId="4DDF28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0.52</w:t>
                  </w:r>
                </w:p>
              </w:tc>
            </w:tr>
            <w:tr w14:paraId="79700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741" w:type="dxa"/>
                  <w:vAlign w:val="center"/>
                </w:tcPr>
                <w:p w14:paraId="69E971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单一炭箱炭层数</w:t>
                  </w:r>
                </w:p>
              </w:tc>
              <w:tc>
                <w:tcPr>
                  <w:tcW w:w="1210" w:type="dxa"/>
                  <w:vAlign w:val="center"/>
                </w:tcPr>
                <w:p w14:paraId="1C2A99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层</w:t>
                  </w:r>
                </w:p>
              </w:tc>
              <w:tc>
                <w:tcPr>
                  <w:tcW w:w="2080" w:type="dxa"/>
                  <w:vAlign w:val="center"/>
                </w:tcPr>
                <w:p w14:paraId="409B69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lang w:val="en-US" w:eastAsia="zh-CN"/>
                    </w:rPr>
                  </w:pPr>
                  <w:r>
                    <w:rPr>
                      <w:rFonts w:hint="eastAsia" w:cs="Segoe UI"/>
                      <w:b w:val="0"/>
                      <w:bCs w:val="0"/>
                      <w:i w:val="0"/>
                      <w:iCs w:val="0"/>
                      <w:caps w:val="0"/>
                      <w:strike w:val="0"/>
                      <w:color w:val="auto"/>
                      <w:spacing w:val="0"/>
                      <w:sz w:val="21"/>
                      <w:szCs w:val="24"/>
                      <w:u w:val="none"/>
                      <w:vertAlign w:val="baseline"/>
                      <w:lang w:val="en-US" w:eastAsia="zh-CN"/>
                    </w:rPr>
                    <w:t>2</w:t>
                  </w:r>
                </w:p>
              </w:tc>
              <w:tc>
                <w:tcPr>
                  <w:tcW w:w="1993" w:type="dxa"/>
                  <w:vAlign w:val="center"/>
                </w:tcPr>
                <w:p w14:paraId="44151E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lang w:val="en-US" w:eastAsia="zh-CN"/>
                    </w:rPr>
                  </w:pPr>
                  <w:r>
                    <w:rPr>
                      <w:rFonts w:hint="eastAsia" w:cs="Segoe UI"/>
                      <w:b w:val="0"/>
                      <w:bCs w:val="0"/>
                      <w:i w:val="0"/>
                      <w:iCs w:val="0"/>
                      <w:caps w:val="0"/>
                      <w:strike w:val="0"/>
                      <w:color w:val="auto"/>
                      <w:spacing w:val="0"/>
                      <w:sz w:val="21"/>
                      <w:szCs w:val="24"/>
                      <w:u w:val="none"/>
                      <w:vertAlign w:val="baseline"/>
                      <w:lang w:val="en-US" w:eastAsia="zh-CN"/>
                    </w:rPr>
                    <w:t>2</w:t>
                  </w:r>
                </w:p>
              </w:tc>
              <w:tc>
                <w:tcPr>
                  <w:tcW w:w="1993" w:type="dxa"/>
                  <w:vAlign w:val="center"/>
                </w:tcPr>
                <w:p w14:paraId="234161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Segoe UI"/>
                      <w:b w:val="0"/>
                      <w:i w:val="0"/>
                      <w:iCs w:val="0"/>
                      <w:caps w:val="0"/>
                      <w:strike w:val="0"/>
                      <w:color w:val="auto"/>
                      <w:spacing w:val="0"/>
                      <w:sz w:val="21"/>
                      <w:szCs w:val="24"/>
                      <w:u w:val="none"/>
                      <w:vertAlign w:val="baseline"/>
                      <w:lang w:val="en-US" w:eastAsia="zh-CN"/>
                    </w:rPr>
                  </w:pPr>
                  <w:r>
                    <w:rPr>
                      <w:rFonts w:hint="eastAsia" w:cs="Segoe UI"/>
                      <w:b w:val="0"/>
                      <w:i w:val="0"/>
                      <w:iCs w:val="0"/>
                      <w:caps w:val="0"/>
                      <w:strike w:val="0"/>
                      <w:color w:val="auto"/>
                      <w:spacing w:val="0"/>
                      <w:sz w:val="21"/>
                      <w:szCs w:val="24"/>
                      <w:u w:val="none"/>
                      <w:vertAlign w:val="baseline"/>
                      <w:lang w:val="en-US" w:eastAsia="zh-CN"/>
                    </w:rPr>
                    <w:t>2</w:t>
                  </w:r>
                </w:p>
              </w:tc>
            </w:tr>
            <w:tr w14:paraId="12618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741" w:type="dxa"/>
                  <w:vAlign w:val="center"/>
                </w:tcPr>
                <w:p w14:paraId="5CA739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单层炭层高度</w:t>
                  </w:r>
                </w:p>
              </w:tc>
              <w:tc>
                <w:tcPr>
                  <w:tcW w:w="1210" w:type="dxa"/>
                  <w:vAlign w:val="center"/>
                </w:tcPr>
                <w:p w14:paraId="240773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m</w:t>
                  </w:r>
                </w:p>
              </w:tc>
              <w:tc>
                <w:tcPr>
                  <w:tcW w:w="2080" w:type="dxa"/>
                  <w:vAlign w:val="center"/>
                </w:tcPr>
                <w:p w14:paraId="15B00E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lang w:val="en-US" w:eastAsia="zh-CN"/>
                    </w:rPr>
                  </w:pPr>
                  <w:r>
                    <w:rPr>
                      <w:rFonts w:hint="eastAsia" w:cs="Segoe UI"/>
                      <w:b w:val="0"/>
                      <w:bCs w:val="0"/>
                      <w:i w:val="0"/>
                      <w:iCs w:val="0"/>
                      <w:caps w:val="0"/>
                      <w:strike w:val="0"/>
                      <w:color w:val="auto"/>
                      <w:spacing w:val="0"/>
                      <w:sz w:val="21"/>
                      <w:szCs w:val="24"/>
                      <w:u w:val="none"/>
                      <w:vertAlign w:val="baseline"/>
                      <w:lang w:val="en-US" w:eastAsia="zh-CN"/>
                    </w:rPr>
                    <w:t>0.3</w:t>
                  </w:r>
                </w:p>
              </w:tc>
              <w:tc>
                <w:tcPr>
                  <w:tcW w:w="1993" w:type="dxa"/>
                  <w:vAlign w:val="center"/>
                </w:tcPr>
                <w:p w14:paraId="791336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lang w:val="en-US" w:eastAsia="zh-CN"/>
                    </w:rPr>
                  </w:pPr>
                  <w:r>
                    <w:rPr>
                      <w:rFonts w:hint="eastAsia" w:cs="Segoe UI"/>
                      <w:b w:val="0"/>
                      <w:bCs w:val="0"/>
                      <w:i w:val="0"/>
                      <w:iCs w:val="0"/>
                      <w:caps w:val="0"/>
                      <w:strike w:val="0"/>
                      <w:color w:val="auto"/>
                      <w:spacing w:val="0"/>
                      <w:sz w:val="21"/>
                      <w:szCs w:val="24"/>
                      <w:u w:val="none"/>
                      <w:vertAlign w:val="baseline"/>
                      <w:lang w:val="en-US" w:eastAsia="zh-CN"/>
                    </w:rPr>
                    <w:t>0.3</w:t>
                  </w:r>
                </w:p>
              </w:tc>
              <w:tc>
                <w:tcPr>
                  <w:tcW w:w="1993" w:type="dxa"/>
                  <w:vAlign w:val="center"/>
                </w:tcPr>
                <w:p w14:paraId="7701B9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0.3</w:t>
                  </w:r>
                </w:p>
              </w:tc>
            </w:tr>
            <w:tr w14:paraId="63AD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741" w:type="dxa"/>
                  <w:vAlign w:val="center"/>
                </w:tcPr>
                <w:p w14:paraId="56DFF2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活性炭类型</w:t>
                  </w:r>
                </w:p>
              </w:tc>
              <w:tc>
                <w:tcPr>
                  <w:tcW w:w="1210" w:type="dxa"/>
                  <w:vAlign w:val="center"/>
                </w:tcPr>
                <w:p w14:paraId="0B8B75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w:t>
                  </w:r>
                </w:p>
              </w:tc>
              <w:tc>
                <w:tcPr>
                  <w:tcW w:w="6066" w:type="dxa"/>
                  <w:gridSpan w:val="3"/>
                  <w:vAlign w:val="center"/>
                </w:tcPr>
                <w:p w14:paraId="170D2239">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颗粒状活性炭</w:t>
                  </w:r>
                </w:p>
              </w:tc>
            </w:tr>
            <w:tr w14:paraId="6809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741" w:type="dxa"/>
                  <w:vAlign w:val="center"/>
                </w:tcPr>
                <w:p w14:paraId="23CF77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活性炭堆填密度</w:t>
                  </w:r>
                </w:p>
              </w:tc>
              <w:tc>
                <w:tcPr>
                  <w:tcW w:w="1210" w:type="dxa"/>
                  <w:vAlign w:val="center"/>
                </w:tcPr>
                <w:p w14:paraId="1138EC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t/m³</w:t>
                  </w:r>
                </w:p>
              </w:tc>
              <w:tc>
                <w:tcPr>
                  <w:tcW w:w="2080" w:type="dxa"/>
                  <w:vAlign w:val="center"/>
                </w:tcPr>
                <w:p w14:paraId="726F6B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lang w:val="en-US"/>
                    </w:rPr>
                  </w:pPr>
                  <w:r>
                    <w:rPr>
                      <w:rFonts w:hint="eastAsia" w:cs="var(--dsw-font-markdown-table)"/>
                      <w:color w:val="auto"/>
                      <w:kern w:val="0"/>
                      <w:sz w:val="21"/>
                      <w:szCs w:val="24"/>
                      <w:lang w:val="en-US" w:eastAsia="zh-CN" w:bidi="ar"/>
                    </w:rPr>
                    <w:t>0.5</w:t>
                  </w:r>
                </w:p>
              </w:tc>
              <w:tc>
                <w:tcPr>
                  <w:tcW w:w="1993" w:type="dxa"/>
                  <w:vAlign w:val="center"/>
                </w:tcPr>
                <w:p w14:paraId="782865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lang w:val="en-US"/>
                    </w:rPr>
                  </w:pPr>
                  <w:r>
                    <w:rPr>
                      <w:rFonts w:hint="eastAsia" w:cs="var(--dsw-font-markdown-table)"/>
                      <w:color w:val="auto"/>
                      <w:kern w:val="0"/>
                      <w:sz w:val="21"/>
                      <w:szCs w:val="24"/>
                      <w:lang w:val="en-US" w:eastAsia="zh-CN" w:bidi="ar"/>
                    </w:rPr>
                    <w:t>0.5</w:t>
                  </w:r>
                </w:p>
              </w:tc>
              <w:tc>
                <w:tcPr>
                  <w:tcW w:w="1993" w:type="dxa"/>
                  <w:vAlign w:val="center"/>
                </w:tcPr>
                <w:p w14:paraId="02D178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0.5</w:t>
                  </w:r>
                </w:p>
              </w:tc>
            </w:tr>
            <w:tr w14:paraId="767C0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2741" w:type="dxa"/>
                  <w:vAlign w:val="center"/>
                </w:tcPr>
                <w:p w14:paraId="3AF127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活性炭填装量（</w:t>
                  </w:r>
                  <w:r>
                    <w:rPr>
                      <w:rFonts w:hint="eastAsia" w:ascii="Times New Roman" w:hAnsi="Times New Roman" w:eastAsia="宋体" w:cs="var(--dsw-font-markdown-table)"/>
                      <w:color w:val="auto"/>
                      <w:kern w:val="0"/>
                      <w:sz w:val="21"/>
                      <w:szCs w:val="24"/>
                      <w:lang w:val="en-US" w:eastAsia="zh-CN" w:bidi="ar"/>
                    </w:rPr>
                    <w:t>2个炭箱</w:t>
                  </w:r>
                  <w:r>
                    <w:rPr>
                      <w:rFonts w:hint="default" w:ascii="Times New Roman" w:hAnsi="Times New Roman" w:eastAsia="宋体" w:cs="var(--dsw-font-markdown-table)"/>
                      <w:color w:val="auto"/>
                      <w:kern w:val="0"/>
                      <w:sz w:val="21"/>
                      <w:szCs w:val="24"/>
                      <w:lang w:val="en-US" w:eastAsia="zh-CN" w:bidi="ar"/>
                    </w:rPr>
                    <w:t>）</w:t>
                  </w:r>
                </w:p>
              </w:tc>
              <w:tc>
                <w:tcPr>
                  <w:tcW w:w="1210" w:type="dxa"/>
                  <w:vAlign w:val="center"/>
                </w:tcPr>
                <w:p w14:paraId="76181A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t</w:t>
                  </w:r>
                </w:p>
              </w:tc>
              <w:tc>
                <w:tcPr>
                  <w:tcW w:w="2080" w:type="dxa"/>
                  <w:vAlign w:val="center"/>
                </w:tcPr>
                <w:p w14:paraId="3D9B1C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lang w:val="en-US" w:eastAsia="zh-CN"/>
                    </w:rPr>
                  </w:pPr>
                  <w:r>
                    <w:rPr>
                      <w:rFonts w:hint="eastAsia" w:cs="Segoe UI"/>
                      <w:b w:val="0"/>
                      <w:bCs w:val="0"/>
                      <w:i w:val="0"/>
                      <w:iCs w:val="0"/>
                      <w:caps w:val="0"/>
                      <w:strike w:val="0"/>
                      <w:color w:val="auto"/>
                      <w:spacing w:val="0"/>
                      <w:sz w:val="21"/>
                      <w:szCs w:val="24"/>
                      <w:u w:val="none"/>
                      <w:vertAlign w:val="baseline"/>
                      <w:lang w:val="en-US" w:eastAsia="zh-CN"/>
                    </w:rPr>
                    <w:t>4.2</w:t>
                  </w:r>
                </w:p>
              </w:tc>
              <w:tc>
                <w:tcPr>
                  <w:tcW w:w="1993" w:type="dxa"/>
                  <w:vAlign w:val="center"/>
                </w:tcPr>
                <w:p w14:paraId="35528C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lang w:val="en-US" w:eastAsia="zh-CN"/>
                    </w:rPr>
                  </w:pPr>
                  <w:r>
                    <w:rPr>
                      <w:rFonts w:hint="eastAsia" w:cs="Segoe UI"/>
                      <w:b w:val="0"/>
                      <w:bCs w:val="0"/>
                      <w:i w:val="0"/>
                      <w:iCs w:val="0"/>
                      <w:caps w:val="0"/>
                      <w:strike w:val="0"/>
                      <w:color w:val="auto"/>
                      <w:spacing w:val="0"/>
                      <w:sz w:val="21"/>
                      <w:szCs w:val="24"/>
                      <w:u w:val="none"/>
                      <w:vertAlign w:val="baseline"/>
                      <w:lang w:val="en-US" w:eastAsia="zh-CN"/>
                    </w:rPr>
                    <w:t>2.88</w:t>
                  </w:r>
                </w:p>
              </w:tc>
              <w:tc>
                <w:tcPr>
                  <w:tcW w:w="1993" w:type="dxa"/>
                  <w:vAlign w:val="center"/>
                </w:tcPr>
                <w:p w14:paraId="3D17C0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Segoe UI"/>
                      <w:b w:val="0"/>
                      <w:i w:val="0"/>
                      <w:iCs w:val="0"/>
                      <w:caps w:val="0"/>
                      <w:strike w:val="0"/>
                      <w:color w:val="auto"/>
                      <w:spacing w:val="0"/>
                      <w:sz w:val="21"/>
                      <w:szCs w:val="24"/>
                      <w:u w:val="none"/>
                      <w:vertAlign w:val="baseline"/>
                      <w:lang w:val="en-US" w:eastAsia="zh-CN"/>
                    </w:rPr>
                  </w:pPr>
                  <w:r>
                    <w:rPr>
                      <w:rFonts w:hint="eastAsia" w:cs="Segoe UI"/>
                      <w:b w:val="0"/>
                      <w:i w:val="0"/>
                      <w:iCs w:val="0"/>
                      <w:caps w:val="0"/>
                      <w:strike w:val="0"/>
                      <w:color w:val="auto"/>
                      <w:spacing w:val="0"/>
                      <w:sz w:val="21"/>
                      <w:szCs w:val="24"/>
                      <w:u w:val="none"/>
                      <w:vertAlign w:val="baseline"/>
                      <w:lang w:val="en-US" w:eastAsia="zh-CN"/>
                    </w:rPr>
                    <w:t>0.864</w:t>
                  </w:r>
                </w:p>
              </w:tc>
            </w:tr>
            <w:tr w14:paraId="3B7F8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2741" w:type="dxa"/>
                  <w:vAlign w:val="center"/>
                </w:tcPr>
                <w:p w14:paraId="4CB711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更换频率</w:t>
                  </w:r>
                </w:p>
              </w:tc>
              <w:tc>
                <w:tcPr>
                  <w:tcW w:w="1210" w:type="dxa"/>
                  <w:vAlign w:val="center"/>
                </w:tcPr>
                <w:p w14:paraId="2DC99C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次/年</w:t>
                  </w:r>
                </w:p>
              </w:tc>
              <w:tc>
                <w:tcPr>
                  <w:tcW w:w="2080" w:type="dxa"/>
                  <w:vAlign w:val="center"/>
                </w:tcPr>
                <w:p w14:paraId="44271C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eastAsia" w:cs="var(--dsw-font-markdown-table)"/>
                      <w:color w:val="auto"/>
                      <w:kern w:val="0"/>
                      <w:sz w:val="21"/>
                      <w:szCs w:val="24"/>
                      <w:lang w:val="en-US" w:eastAsia="zh-CN" w:bidi="ar"/>
                    </w:rPr>
                    <w:t>4</w:t>
                  </w:r>
                </w:p>
              </w:tc>
              <w:tc>
                <w:tcPr>
                  <w:tcW w:w="1993" w:type="dxa"/>
                  <w:vAlign w:val="center"/>
                </w:tcPr>
                <w:p w14:paraId="143F2E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bCs w:val="0"/>
                      <w:i w:val="0"/>
                      <w:iCs w:val="0"/>
                      <w:caps w:val="0"/>
                      <w:strike w:val="0"/>
                      <w:color w:val="auto"/>
                      <w:spacing w:val="0"/>
                      <w:sz w:val="21"/>
                      <w:szCs w:val="24"/>
                      <w:u w:val="none"/>
                      <w:vertAlign w:val="baseline"/>
                    </w:rPr>
                  </w:pPr>
                  <w:r>
                    <w:rPr>
                      <w:rFonts w:hint="eastAsia" w:cs="var(--dsw-font-markdown-table)"/>
                      <w:color w:val="auto"/>
                      <w:kern w:val="0"/>
                      <w:sz w:val="21"/>
                      <w:szCs w:val="24"/>
                      <w:lang w:val="en-US" w:eastAsia="zh-CN" w:bidi="ar"/>
                    </w:rPr>
                    <w:t>4</w:t>
                  </w:r>
                </w:p>
              </w:tc>
              <w:tc>
                <w:tcPr>
                  <w:tcW w:w="1993" w:type="dxa"/>
                  <w:vAlign w:val="center"/>
                </w:tcPr>
                <w:p w14:paraId="29A64F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4</w:t>
                  </w:r>
                </w:p>
              </w:tc>
            </w:tr>
          </w:tbl>
          <w:p w14:paraId="155BA9FA">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var(--dsw-font-markdown-h2)"/>
                <w:i w:val="0"/>
                <w:iCs w:val="0"/>
                <w:caps w:val="0"/>
                <w:color w:val="auto"/>
                <w:spacing w:val="0"/>
                <w:sz w:val="21"/>
                <w:shd w:val="clear" w:fill="FFFFFF"/>
                <w:lang w:val="en-US" w:eastAsia="zh-CN"/>
              </w:rPr>
            </w:pPr>
            <w:bookmarkStart w:id="50" w:name="_Toc2556"/>
            <w:bookmarkStart w:id="51" w:name="_Toc3321"/>
            <w:r>
              <w:rPr>
                <w:rFonts w:hint="eastAsia" w:ascii="Times New Roman" w:hAnsi="Times New Roman" w:eastAsia="宋体" w:cs="var(--dsw-font-markdown-h2)"/>
                <w:i w:val="0"/>
                <w:iCs w:val="0"/>
                <w:caps w:val="0"/>
                <w:color w:val="auto"/>
                <w:spacing w:val="0"/>
                <w:sz w:val="21"/>
                <w:shd w:val="clear" w:fill="FFFFFF"/>
                <w:lang w:val="en-US" w:eastAsia="zh-CN"/>
              </w:rPr>
              <w:t>5、</w:t>
            </w:r>
            <w:r>
              <w:rPr>
                <w:rFonts w:hint="default" w:ascii="Times New Roman" w:hAnsi="Times New Roman" w:eastAsia="宋体" w:cs="var(--dsw-font-markdown-h2)"/>
                <w:i w:val="0"/>
                <w:iCs w:val="0"/>
                <w:caps w:val="0"/>
                <w:color w:val="auto"/>
                <w:spacing w:val="0"/>
                <w:sz w:val="21"/>
                <w:shd w:val="clear" w:fill="FFFFFF"/>
                <w:lang w:val="en-US" w:eastAsia="zh-CN"/>
              </w:rPr>
              <w:t>监测计划</w:t>
            </w:r>
            <w:bookmarkEnd w:id="50"/>
            <w:bookmarkEnd w:id="51"/>
          </w:p>
          <w:p w14:paraId="6743A939">
            <w:pPr>
              <w:pStyle w:val="3"/>
              <w:keepNext w:val="0"/>
              <w:keepLines w:val="0"/>
              <w:pageBreakBefore w:val="0"/>
              <w:widowControl/>
              <w:numPr>
                <w:ilvl w:val="0"/>
                <w:numId w:val="27"/>
              </w:numPr>
              <w:suppressLineNumbers w:val="0"/>
              <w:kinsoku/>
              <w:wordWrap/>
              <w:overflowPunct/>
              <w:topLinePunct w:val="0"/>
              <w:autoSpaceDE/>
              <w:autoSpaceDN/>
              <w:bidi w:val="0"/>
              <w:adjustRightInd/>
              <w:snapToGrid/>
              <w:spacing w:before="0" w:beforeAutospacing="0" w:after="0" w:afterAutospacing="0" w:line="360" w:lineRule="auto"/>
              <w:ind w:left="630" w:leftChars="0" w:right="0" w:firstLine="0" w:firstLineChars="0"/>
              <w:textAlignment w:val="auto"/>
              <w:rPr>
                <w:rFonts w:hint="default" w:ascii="Times New Roman" w:hAnsi="Times New Roman" w:eastAsia="宋体" w:cs="var(--dsw-font-markdown-h2)"/>
                <w:i w:val="0"/>
                <w:iCs w:val="0"/>
                <w:caps w:val="0"/>
                <w:color w:val="auto"/>
                <w:spacing w:val="0"/>
                <w:sz w:val="21"/>
                <w:shd w:val="clear" w:fill="FFFFFF"/>
                <w:lang w:val="en-US" w:eastAsia="zh-CN"/>
              </w:rPr>
            </w:pPr>
            <w:bookmarkStart w:id="52" w:name="_Toc5940"/>
            <w:bookmarkStart w:id="53" w:name="_Toc32757"/>
            <w:r>
              <w:rPr>
                <w:rFonts w:hint="default" w:ascii="Times New Roman" w:hAnsi="Times New Roman" w:eastAsia="宋体" w:cs="var(--dsw-font-markdown-h2)"/>
                <w:i w:val="0"/>
                <w:iCs w:val="0"/>
                <w:caps w:val="0"/>
                <w:color w:val="auto"/>
                <w:spacing w:val="0"/>
                <w:sz w:val="21"/>
                <w:shd w:val="clear" w:fill="FFFFFF"/>
                <w:lang w:val="en-US" w:eastAsia="zh-CN"/>
              </w:rPr>
              <w:t>有组织废气监测计划</w:t>
            </w:r>
            <w:bookmarkEnd w:id="52"/>
            <w:bookmarkEnd w:id="53"/>
          </w:p>
          <w:p w14:paraId="16B326D5">
            <w:pPr>
              <w:pStyle w:val="4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eastAsia="宋体"/>
                <w:color w:val="auto"/>
                <w:lang w:val="en-US" w:eastAsia="zh-CN"/>
              </w:rPr>
            </w:pPr>
            <w:r>
              <w:rPr>
                <w:rFonts w:hint="default" w:ascii="Times New Roman" w:hAnsi="Times New Roman" w:eastAsia="宋体" w:cs="var(--dsw-font-markdown-base)"/>
                <w:i w:val="0"/>
                <w:iCs w:val="0"/>
                <w:caps w:val="0"/>
                <w:color w:val="auto"/>
                <w:spacing w:val="0"/>
                <w:sz w:val="21"/>
                <w:szCs w:val="21"/>
                <w:shd w:val="clear" w:fill="FFFFFF"/>
                <w:lang w:val="en-US" w:eastAsia="zh-CN"/>
              </w:rPr>
              <w:t>根据《排污单位自行监测技术指南总则》（HJ819</w:t>
            </w:r>
            <w:r>
              <w:rPr>
                <w:rFonts w:hint="eastAsia" w:ascii="Times New Roman" w:hAnsi="Times New Roman" w:cs="var(--dsw-font-markdown-base)"/>
                <w:i w:val="0"/>
                <w:iCs w:val="0"/>
                <w:caps w:val="0"/>
                <w:color w:val="auto"/>
                <w:spacing w:val="0"/>
                <w:sz w:val="21"/>
                <w:szCs w:val="21"/>
                <w:shd w:val="clear" w:fill="FFFFFF"/>
                <w:lang w:val="en-US" w:eastAsia="zh-CN"/>
              </w:rPr>
              <w:t xml:space="preserve">- </w:t>
            </w:r>
            <w:r>
              <w:rPr>
                <w:rFonts w:hint="default" w:ascii="Times New Roman" w:hAnsi="Times New Roman" w:eastAsia="宋体" w:cs="var(--dsw-font-markdown-base)"/>
                <w:i w:val="0"/>
                <w:iCs w:val="0"/>
                <w:caps w:val="0"/>
                <w:color w:val="auto"/>
                <w:spacing w:val="0"/>
                <w:sz w:val="21"/>
                <w:szCs w:val="21"/>
                <w:shd w:val="clear" w:fill="FFFFFF"/>
                <w:lang w:val="en-US" w:eastAsia="zh-CN"/>
              </w:rPr>
              <w:t>2017）、《排污许可证申请与核发技术规范橡胶和塑料制品工业》（HJ1122</w:t>
            </w:r>
            <w:r>
              <w:rPr>
                <w:rFonts w:hint="eastAsia" w:ascii="Times New Roman" w:hAnsi="Times New Roman" w:cs="var(--dsw-font-markdown-base)"/>
                <w:i w:val="0"/>
                <w:iCs w:val="0"/>
                <w:caps w:val="0"/>
                <w:color w:val="auto"/>
                <w:spacing w:val="0"/>
                <w:sz w:val="21"/>
                <w:szCs w:val="21"/>
                <w:shd w:val="clear" w:fill="FFFFFF"/>
                <w:lang w:val="en-US" w:eastAsia="zh-CN"/>
              </w:rPr>
              <w:t xml:space="preserve"> -</w:t>
            </w:r>
            <w:r>
              <w:rPr>
                <w:rFonts w:hint="default" w:ascii="Times New Roman" w:hAnsi="Times New Roman" w:eastAsia="宋体" w:cs="var(--dsw-font-markdown-base)"/>
                <w:i w:val="0"/>
                <w:iCs w:val="0"/>
                <w:caps w:val="0"/>
                <w:color w:val="auto"/>
                <w:spacing w:val="0"/>
                <w:sz w:val="21"/>
                <w:szCs w:val="21"/>
                <w:shd w:val="clear" w:fill="FFFFFF"/>
                <w:lang w:val="en-US" w:eastAsia="zh-CN"/>
              </w:rPr>
              <w:t>2020）、《排污许可证申请与核发技术规范制鞋工业》（HJ1123</w:t>
            </w:r>
            <w:r>
              <w:rPr>
                <w:rFonts w:hint="eastAsia" w:ascii="Times New Roman" w:hAnsi="Times New Roman" w:cs="var(--dsw-font-markdown-base)"/>
                <w:i w:val="0"/>
                <w:iCs w:val="0"/>
                <w:caps w:val="0"/>
                <w:color w:val="auto"/>
                <w:spacing w:val="0"/>
                <w:sz w:val="21"/>
                <w:szCs w:val="21"/>
                <w:shd w:val="clear" w:fill="FFFFFF"/>
                <w:lang w:val="en-US" w:eastAsia="zh-CN"/>
              </w:rPr>
              <w:t xml:space="preserve"> -</w:t>
            </w:r>
            <w:r>
              <w:rPr>
                <w:rFonts w:hint="default" w:ascii="Times New Roman" w:hAnsi="Times New Roman" w:eastAsia="宋体" w:cs="var(--dsw-font-markdown-base)"/>
                <w:i w:val="0"/>
                <w:iCs w:val="0"/>
                <w:caps w:val="0"/>
                <w:color w:val="auto"/>
                <w:spacing w:val="0"/>
                <w:sz w:val="21"/>
                <w:szCs w:val="21"/>
                <w:shd w:val="clear" w:fill="FFFFFF"/>
                <w:lang w:val="en-US" w:eastAsia="zh-CN"/>
              </w:rPr>
              <w:t>2020）</w:t>
            </w:r>
            <w:r>
              <w:rPr>
                <w:rFonts w:hint="eastAsia" w:ascii="Times New Roman" w:hAnsi="Times New Roman" w:eastAsia="宋体" w:cs="var(--dsw-font-markdown-base)"/>
                <w:i w:val="0"/>
                <w:iCs w:val="0"/>
                <w:caps w:val="0"/>
                <w:color w:val="auto"/>
                <w:spacing w:val="0"/>
                <w:sz w:val="21"/>
                <w:szCs w:val="21"/>
                <w:shd w:val="clear" w:fill="FFFFFF"/>
                <w:lang w:val="en-US" w:eastAsia="zh-CN"/>
              </w:rPr>
              <w:t>、《排污许可证申请与核发技术规范</w:t>
            </w:r>
            <w:r>
              <w:rPr>
                <w:rFonts w:hint="eastAsia" w:ascii="Times New Roman" w:hAnsi="Times New Roman" w:cs="var(--dsw-font-markdown-base)"/>
                <w:i w:val="0"/>
                <w:iCs w:val="0"/>
                <w:caps w:val="0"/>
                <w:color w:val="auto"/>
                <w:spacing w:val="0"/>
                <w:sz w:val="21"/>
                <w:szCs w:val="21"/>
                <w:shd w:val="clear" w:fill="FFFFFF"/>
                <w:lang w:val="en-US" w:eastAsia="zh-CN"/>
              </w:rPr>
              <w:t xml:space="preserve"> </w:t>
            </w:r>
            <w:r>
              <w:rPr>
                <w:rFonts w:hint="eastAsia" w:ascii="Times New Roman" w:hAnsi="Times New Roman" w:eastAsia="宋体" w:cs="var(--dsw-font-markdown-base)"/>
                <w:i w:val="0"/>
                <w:iCs w:val="0"/>
                <w:caps w:val="0"/>
                <w:color w:val="auto"/>
                <w:spacing w:val="0"/>
                <w:sz w:val="21"/>
                <w:szCs w:val="21"/>
                <w:shd w:val="clear" w:fill="FFFFFF"/>
                <w:lang w:val="en-US" w:eastAsia="zh-CN"/>
              </w:rPr>
              <w:t>印刷工业》（</w:t>
            </w:r>
            <w:r>
              <w:rPr>
                <w:rFonts w:hint="default" w:ascii="Times New Roman" w:hAnsi="Times New Roman" w:eastAsia="宋体" w:cs="var(--dsw-font-markdown-base)"/>
                <w:i w:val="0"/>
                <w:iCs w:val="0"/>
                <w:caps w:val="0"/>
                <w:color w:val="auto"/>
                <w:spacing w:val="0"/>
                <w:sz w:val="21"/>
                <w:szCs w:val="21"/>
                <w:shd w:val="clear" w:fill="FFFFFF"/>
                <w:lang w:val="en-US" w:eastAsia="zh-CN"/>
              </w:rPr>
              <w:t>HJ1066</w:t>
            </w:r>
            <w:r>
              <w:rPr>
                <w:rFonts w:hint="eastAsia" w:ascii="Times New Roman" w:hAnsi="Times New Roman" w:cs="var(--dsw-font-markdown-base)"/>
                <w:i w:val="0"/>
                <w:iCs w:val="0"/>
                <w:caps w:val="0"/>
                <w:color w:val="auto"/>
                <w:spacing w:val="0"/>
                <w:sz w:val="21"/>
                <w:szCs w:val="21"/>
                <w:shd w:val="clear" w:fill="FFFFFF"/>
                <w:lang w:val="en-US" w:eastAsia="zh-CN"/>
              </w:rPr>
              <w:t xml:space="preserve"> -</w:t>
            </w:r>
            <w:r>
              <w:rPr>
                <w:rFonts w:hint="default" w:ascii="Times New Roman" w:hAnsi="Times New Roman" w:eastAsia="宋体" w:cs="var(--dsw-font-markdown-base)"/>
                <w:i w:val="0"/>
                <w:iCs w:val="0"/>
                <w:caps w:val="0"/>
                <w:color w:val="auto"/>
                <w:spacing w:val="0"/>
                <w:sz w:val="21"/>
                <w:szCs w:val="21"/>
                <w:shd w:val="clear" w:fill="FFFFFF"/>
                <w:lang w:val="en-US" w:eastAsia="zh-CN"/>
              </w:rPr>
              <w:t>2019</w:t>
            </w:r>
            <w:r>
              <w:rPr>
                <w:rFonts w:hint="eastAsia" w:ascii="Times New Roman" w:hAnsi="Times New Roman" w:eastAsia="宋体" w:cs="var(--dsw-font-markdown-base)"/>
                <w:i w:val="0"/>
                <w:iCs w:val="0"/>
                <w:caps w:val="0"/>
                <w:color w:val="auto"/>
                <w:spacing w:val="0"/>
                <w:sz w:val="21"/>
                <w:szCs w:val="21"/>
                <w:shd w:val="clear" w:fill="FFFFFF"/>
                <w:lang w:val="en-US" w:eastAsia="zh-CN"/>
              </w:rPr>
              <w:t>）</w:t>
            </w:r>
            <w:r>
              <w:rPr>
                <w:rFonts w:hint="default" w:ascii="Times New Roman" w:hAnsi="Times New Roman" w:eastAsia="宋体" w:cs="var(--dsw-font-markdown-base)"/>
                <w:i w:val="0"/>
                <w:iCs w:val="0"/>
                <w:caps w:val="0"/>
                <w:color w:val="auto"/>
                <w:spacing w:val="0"/>
                <w:sz w:val="21"/>
                <w:szCs w:val="21"/>
                <w:shd w:val="clear" w:fill="FFFFFF"/>
              </w:rPr>
              <w:t>制定</w:t>
            </w:r>
            <w:r>
              <w:rPr>
                <w:rFonts w:hint="eastAsia" w:ascii="Times New Roman" w:hAnsi="Times New Roman" w:eastAsia="宋体" w:cs="var(--dsw-font-markdown-base)"/>
                <w:i w:val="0"/>
                <w:iCs w:val="0"/>
                <w:caps w:val="0"/>
                <w:color w:val="auto"/>
                <w:spacing w:val="0"/>
                <w:sz w:val="21"/>
                <w:szCs w:val="21"/>
                <w:shd w:val="clear" w:fill="FFFFFF"/>
                <w:lang w:eastAsia="zh-CN"/>
              </w:rPr>
              <w:t>。</w:t>
            </w:r>
          </w:p>
          <w:p w14:paraId="56CE0D2A">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sz w:val="21"/>
                <w:szCs w:val="24"/>
                <w:lang w:val="en-US" w:eastAsia="zh-CN"/>
              </w:rPr>
            </w:pPr>
            <w:r>
              <w:rPr>
                <w:rFonts w:hint="default" w:ascii="Times New Roman" w:hAnsi="Times New Roman" w:eastAsia="宋体" w:cs="Times New Roman"/>
                <w:b/>
                <w:color w:val="auto"/>
                <w:sz w:val="21"/>
                <w:szCs w:val="24"/>
                <w:lang w:val="en-US" w:eastAsia="zh-CN"/>
              </w:rPr>
              <w:t>有组织废气监测方案</w:t>
            </w:r>
          </w:p>
          <w:tbl>
            <w:tblPr>
              <w:tblStyle w:val="49"/>
              <w:tblW w:w="99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2"/>
              <w:gridCol w:w="1333"/>
              <w:gridCol w:w="1167"/>
              <w:gridCol w:w="6334"/>
            </w:tblGrid>
            <w:tr w14:paraId="4F2EC038">
              <w:tblPrEx>
                <w:tblCellMar>
                  <w:top w:w="0" w:type="dxa"/>
                  <w:left w:w="108" w:type="dxa"/>
                  <w:bottom w:w="0" w:type="dxa"/>
                  <w:right w:w="108" w:type="dxa"/>
                </w:tblCellMar>
              </w:tblPrEx>
              <w:tc>
                <w:tcPr>
                  <w:tcW w:w="1132" w:type="dxa"/>
                  <w:vAlign w:val="center"/>
                </w:tcPr>
                <w:p w14:paraId="3F0423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监测点位</w:t>
                  </w:r>
                </w:p>
              </w:tc>
              <w:tc>
                <w:tcPr>
                  <w:tcW w:w="1333" w:type="dxa"/>
                  <w:vAlign w:val="center"/>
                </w:tcPr>
                <w:p w14:paraId="225E70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监测指标</w:t>
                  </w:r>
                </w:p>
              </w:tc>
              <w:tc>
                <w:tcPr>
                  <w:tcW w:w="1167" w:type="dxa"/>
                  <w:vAlign w:val="center"/>
                </w:tcPr>
                <w:p w14:paraId="3F9688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监测频次</w:t>
                  </w:r>
                </w:p>
              </w:tc>
              <w:tc>
                <w:tcPr>
                  <w:tcW w:w="6334" w:type="dxa"/>
                  <w:vAlign w:val="center"/>
                </w:tcPr>
                <w:p w14:paraId="78E692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h"/>
                      <w:b/>
                      <w:bCs/>
                      <w:color w:val="auto"/>
                      <w:kern w:val="0"/>
                      <w:sz w:val="21"/>
                      <w:szCs w:val="24"/>
                      <w:lang w:val="en-US" w:eastAsia="zh-CN" w:bidi="ar"/>
                    </w:rPr>
                    <w:t>执行排放标准</w:t>
                  </w:r>
                </w:p>
              </w:tc>
            </w:tr>
            <w:tr w14:paraId="3DE7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1132" w:type="dxa"/>
                  <w:vMerge w:val="restart"/>
                  <w:vAlign w:val="center"/>
                </w:tcPr>
                <w:p w14:paraId="62D2CE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G1排气筒</w:t>
                  </w:r>
                </w:p>
              </w:tc>
              <w:tc>
                <w:tcPr>
                  <w:tcW w:w="1333" w:type="dxa"/>
                  <w:vAlign w:val="center"/>
                </w:tcPr>
                <w:p w14:paraId="05A102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非甲烷总烃</w:t>
                  </w:r>
                </w:p>
              </w:tc>
              <w:tc>
                <w:tcPr>
                  <w:tcW w:w="1167" w:type="dxa"/>
                  <w:vAlign w:val="center"/>
                </w:tcPr>
                <w:p w14:paraId="356C08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1次/半年</w:t>
                  </w:r>
                </w:p>
              </w:tc>
              <w:tc>
                <w:tcPr>
                  <w:tcW w:w="6334" w:type="dxa"/>
                  <w:vAlign w:val="center"/>
                </w:tcPr>
                <w:p w14:paraId="1ECB24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kern w:val="0"/>
                      <w:sz w:val="21"/>
                      <w:szCs w:val="24"/>
                      <w:lang w:val="en-US" w:eastAsia="zh-CN" w:bidi="ar"/>
                    </w:rPr>
                    <w:t>广东省《固定污染源挥发性有机物综合排放标准》（DB44/2367</w:t>
                  </w:r>
                  <w:r>
                    <w:rPr>
                      <w:rFonts w:hint="eastAsia" w:ascii="Times New Roman" w:hAnsi="Times New Roman" w:eastAsia="宋体" w:cs="var(--dsw-font-markdown-table)"/>
                      <w:kern w:val="0"/>
                      <w:sz w:val="21"/>
                      <w:szCs w:val="24"/>
                      <w:lang w:val="en-US" w:eastAsia="zh-CN" w:bidi="ar"/>
                    </w:rPr>
                    <w:t xml:space="preserve"> -</w:t>
                  </w:r>
                  <w:r>
                    <w:rPr>
                      <w:rFonts w:hint="default" w:ascii="Times New Roman" w:hAnsi="Times New Roman" w:eastAsia="宋体" w:cs="var(--dsw-font-markdown-table)"/>
                      <w:kern w:val="0"/>
                      <w:sz w:val="21"/>
                      <w:szCs w:val="24"/>
                      <w:lang w:val="en-US" w:eastAsia="zh-CN" w:bidi="ar"/>
                    </w:rPr>
                    <w:t>2022）表1限值</w:t>
                  </w:r>
                  <w:r>
                    <w:rPr>
                      <w:rFonts w:hint="default" w:ascii="Times New Roman" w:hAnsi="Times New Roman" w:eastAsia="宋体" w:cs="var(--dsw-font-markdown-table)"/>
                      <w:b/>
                      <w:bCs/>
                      <w:kern w:val="0"/>
                      <w:sz w:val="21"/>
                      <w:szCs w:val="24"/>
                      <w:lang w:val="en-US" w:eastAsia="zh-CN" w:bidi="ar"/>
                    </w:rPr>
                    <w:t>与</w:t>
                  </w:r>
                  <w:r>
                    <w:rPr>
                      <w:rFonts w:hint="default" w:ascii="Times New Roman" w:hAnsi="Times New Roman" w:eastAsia="宋体" w:cs="var(--dsw-font-markdown-table)"/>
                      <w:kern w:val="0"/>
                      <w:sz w:val="21"/>
                      <w:szCs w:val="24"/>
                      <w:lang w:val="en-US" w:eastAsia="zh-CN" w:bidi="ar"/>
                    </w:rPr>
                    <w:t>《合成树脂工业污染物排放标准》（GB31572</w:t>
                  </w:r>
                  <w:r>
                    <w:rPr>
                      <w:rFonts w:hint="eastAsia" w:ascii="Times New Roman" w:hAnsi="Times New Roman" w:eastAsia="宋体" w:cs="var(--dsw-font-markdown-table)"/>
                      <w:kern w:val="0"/>
                      <w:sz w:val="21"/>
                      <w:szCs w:val="24"/>
                      <w:lang w:val="en-US" w:eastAsia="zh-CN" w:bidi="ar"/>
                    </w:rPr>
                    <w:t xml:space="preserve"> -</w:t>
                  </w:r>
                  <w:r>
                    <w:rPr>
                      <w:rFonts w:hint="default" w:ascii="Times New Roman" w:hAnsi="Times New Roman" w:eastAsia="宋体" w:cs="var(--dsw-font-markdown-table)"/>
                      <w:kern w:val="0"/>
                      <w:sz w:val="21"/>
                      <w:szCs w:val="24"/>
                      <w:lang w:val="en-US" w:eastAsia="zh-CN" w:bidi="ar"/>
                    </w:rPr>
                    <w:t>2015）及其修改单表4限值</w:t>
                  </w:r>
                  <w:r>
                    <w:rPr>
                      <w:rFonts w:hint="default" w:ascii="Times New Roman" w:hAnsi="Times New Roman" w:eastAsia="宋体" w:cs="var(--dsw-font-markdown-table)"/>
                      <w:b/>
                      <w:bCs/>
                      <w:kern w:val="0"/>
                      <w:sz w:val="21"/>
                      <w:szCs w:val="24"/>
                      <w:lang w:val="en-US" w:eastAsia="zh-CN" w:bidi="ar"/>
                    </w:rPr>
                    <w:t>较严值</w:t>
                  </w:r>
                </w:p>
              </w:tc>
            </w:tr>
            <w:tr w14:paraId="28935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2" w:type="dxa"/>
                  <w:vMerge w:val="continue"/>
                  <w:vAlign w:val="center"/>
                </w:tcPr>
                <w:p w14:paraId="393964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1333" w:type="dxa"/>
                  <w:vAlign w:val="center"/>
                </w:tcPr>
                <w:p w14:paraId="5B6265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总VOCs</w:t>
                  </w:r>
                </w:p>
              </w:tc>
              <w:tc>
                <w:tcPr>
                  <w:tcW w:w="1167" w:type="dxa"/>
                  <w:vAlign w:val="center"/>
                </w:tcPr>
                <w:p w14:paraId="4FF4CB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1次/年</w:t>
                  </w:r>
                </w:p>
              </w:tc>
              <w:tc>
                <w:tcPr>
                  <w:tcW w:w="6334" w:type="dxa"/>
                  <w:vAlign w:val="center"/>
                </w:tcPr>
                <w:p w14:paraId="23D15A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广东省《制鞋行业挥发性有机化合物排放标准》（DB44/817</w:t>
                  </w:r>
                  <w:r>
                    <w:rPr>
                      <w:rFonts w:hint="eastAsia" w:ascii="Times New Roman" w:hAnsi="Times New Roman" w:eastAsia="宋体" w:cs="var(--dsw-font-markdown-table)"/>
                      <w:kern w:val="0"/>
                      <w:sz w:val="21"/>
                      <w:szCs w:val="24"/>
                      <w:lang w:val="en-US" w:eastAsia="zh-CN" w:bidi="ar"/>
                    </w:rPr>
                    <w:t xml:space="preserve"> -</w:t>
                  </w:r>
                  <w:r>
                    <w:rPr>
                      <w:rFonts w:hint="default" w:ascii="Times New Roman" w:hAnsi="Times New Roman" w:eastAsia="宋体" w:cs="var(--dsw-font-markdown-table)"/>
                      <w:kern w:val="0"/>
                      <w:sz w:val="21"/>
                      <w:szCs w:val="24"/>
                      <w:lang w:val="en-US" w:eastAsia="zh-CN" w:bidi="ar"/>
                    </w:rPr>
                    <w:t>2010）表1第Ⅱ时段限值</w:t>
                  </w:r>
                </w:p>
              </w:tc>
            </w:tr>
            <w:tr w14:paraId="2DD69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2" w:type="dxa"/>
                  <w:vMerge w:val="continue"/>
                  <w:vAlign w:val="center"/>
                </w:tcPr>
                <w:p w14:paraId="23F5A7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1333" w:type="dxa"/>
                  <w:vAlign w:val="center"/>
                </w:tcPr>
                <w:p w14:paraId="632E68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颗粒物</w:t>
                  </w:r>
                </w:p>
              </w:tc>
              <w:tc>
                <w:tcPr>
                  <w:tcW w:w="1167" w:type="dxa"/>
                  <w:vAlign w:val="center"/>
                </w:tcPr>
                <w:p w14:paraId="45E750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1次/年</w:t>
                  </w:r>
                </w:p>
              </w:tc>
              <w:tc>
                <w:tcPr>
                  <w:tcW w:w="6334" w:type="dxa"/>
                  <w:vAlign w:val="center"/>
                </w:tcPr>
                <w:p w14:paraId="59250E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kern w:val="0"/>
                      <w:sz w:val="21"/>
                      <w:szCs w:val="24"/>
                      <w:lang w:val="en-US" w:eastAsia="zh-CN" w:bidi="ar"/>
                    </w:rPr>
                    <w:t>《合成树脂工业污染物排放标准》（GB31572</w:t>
                  </w:r>
                  <w:r>
                    <w:rPr>
                      <w:rFonts w:hint="eastAsia" w:ascii="Times New Roman" w:hAnsi="Times New Roman" w:eastAsia="宋体" w:cs="var(--dsw-font-markdown-table)"/>
                      <w:kern w:val="0"/>
                      <w:sz w:val="21"/>
                      <w:szCs w:val="24"/>
                      <w:lang w:val="en-US" w:eastAsia="zh-CN" w:bidi="ar"/>
                    </w:rPr>
                    <w:t xml:space="preserve">- </w:t>
                  </w:r>
                  <w:r>
                    <w:rPr>
                      <w:rFonts w:hint="default" w:ascii="Times New Roman" w:hAnsi="Times New Roman" w:eastAsia="宋体" w:cs="var(--dsw-font-markdown-table)"/>
                      <w:kern w:val="0"/>
                      <w:sz w:val="21"/>
                      <w:szCs w:val="24"/>
                      <w:lang w:val="en-US" w:eastAsia="zh-CN" w:bidi="ar"/>
                    </w:rPr>
                    <w:t>2015）及其修改单表4限值</w:t>
                  </w:r>
                </w:p>
              </w:tc>
            </w:tr>
            <w:tr w14:paraId="26C62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2" w:type="dxa"/>
                  <w:vMerge w:val="continue"/>
                  <w:vAlign w:val="center"/>
                </w:tcPr>
                <w:p w14:paraId="407611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1333" w:type="dxa"/>
                  <w:vAlign w:val="center"/>
                </w:tcPr>
                <w:p w14:paraId="584FF7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臭气浓度</w:t>
                  </w:r>
                </w:p>
              </w:tc>
              <w:tc>
                <w:tcPr>
                  <w:tcW w:w="1167" w:type="dxa"/>
                  <w:vAlign w:val="center"/>
                </w:tcPr>
                <w:p w14:paraId="04B76D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1次/年</w:t>
                  </w:r>
                </w:p>
              </w:tc>
              <w:tc>
                <w:tcPr>
                  <w:tcW w:w="6334" w:type="dxa"/>
                  <w:vAlign w:val="center"/>
                </w:tcPr>
                <w:p w14:paraId="56A97E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《恶臭污染物排放标准》（GB14554</w:t>
                  </w:r>
                  <w:r>
                    <w:rPr>
                      <w:rFonts w:hint="eastAsia" w:cs="var(--dsw-font-markdown-table)"/>
                      <w:color w:val="auto"/>
                      <w:kern w:val="0"/>
                      <w:sz w:val="21"/>
                      <w:szCs w:val="24"/>
                      <w:lang w:val="en-US" w:eastAsia="zh-CN" w:bidi="ar"/>
                    </w:rPr>
                    <w:t xml:space="preserve">- </w:t>
                  </w:r>
                  <w:r>
                    <w:rPr>
                      <w:rFonts w:hint="default" w:ascii="Times New Roman" w:hAnsi="Times New Roman" w:eastAsia="宋体" w:cs="var(--dsw-font-markdown-table)"/>
                      <w:color w:val="auto"/>
                      <w:kern w:val="0"/>
                      <w:sz w:val="21"/>
                      <w:szCs w:val="24"/>
                      <w:lang w:val="en-US" w:eastAsia="zh-CN" w:bidi="ar"/>
                    </w:rPr>
                    <w:t>93）表2恶臭污染物排放标准值</w:t>
                  </w:r>
                </w:p>
              </w:tc>
            </w:tr>
            <w:tr w14:paraId="0446D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2" w:type="dxa"/>
                  <w:vMerge w:val="restart"/>
                  <w:vAlign w:val="center"/>
                </w:tcPr>
                <w:p w14:paraId="6992C8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eastAsia" w:cs="var(--dsw-font-markdown-table)"/>
                      <w:color w:val="auto"/>
                      <w:kern w:val="0"/>
                      <w:sz w:val="21"/>
                      <w:szCs w:val="24"/>
                      <w:lang w:val="en-US" w:eastAsia="zh-CN" w:bidi="ar"/>
                    </w:rPr>
                    <w:t>G2~G7</w:t>
                  </w:r>
                  <w:r>
                    <w:rPr>
                      <w:rFonts w:hint="default" w:ascii="Times New Roman" w:hAnsi="Times New Roman" w:eastAsia="宋体" w:cs="var(--dsw-font-markdown-table)"/>
                      <w:color w:val="auto"/>
                      <w:kern w:val="0"/>
                      <w:sz w:val="21"/>
                      <w:szCs w:val="24"/>
                      <w:lang w:val="en-US" w:eastAsia="zh-CN" w:bidi="ar"/>
                    </w:rPr>
                    <w:t>排气筒</w:t>
                  </w:r>
                </w:p>
              </w:tc>
              <w:tc>
                <w:tcPr>
                  <w:tcW w:w="1333" w:type="dxa"/>
                  <w:vAlign w:val="center"/>
                </w:tcPr>
                <w:p w14:paraId="0ECCD6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非甲烷总烃</w:t>
                  </w:r>
                </w:p>
              </w:tc>
              <w:tc>
                <w:tcPr>
                  <w:tcW w:w="1167" w:type="dxa"/>
                  <w:vAlign w:val="center"/>
                </w:tcPr>
                <w:p w14:paraId="452F74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1次/年</w:t>
                  </w:r>
                </w:p>
              </w:tc>
              <w:tc>
                <w:tcPr>
                  <w:tcW w:w="6334" w:type="dxa"/>
                  <w:vAlign w:val="center"/>
                </w:tcPr>
                <w:p w14:paraId="45C265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eastAsia" w:ascii="Times New Roman" w:hAnsi="Times New Roman" w:eastAsia="宋体" w:cs="var(--dsw-font-markdown-table)"/>
                      <w:kern w:val="0"/>
                      <w:sz w:val="21"/>
                      <w:szCs w:val="24"/>
                      <w:lang w:val="en-US" w:eastAsia="zh-CN" w:bidi="ar"/>
                    </w:rPr>
                    <w:t>广东省《固定污染源挥发性有机物综合排放标准》（DB44/2367-2022）表1限值</w:t>
                  </w:r>
                </w:p>
              </w:tc>
            </w:tr>
            <w:tr w14:paraId="67CF6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2" w:type="dxa"/>
                  <w:vMerge w:val="continue"/>
                  <w:vAlign w:val="center"/>
                </w:tcPr>
                <w:p w14:paraId="3C2296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1333" w:type="dxa"/>
                  <w:vAlign w:val="center"/>
                </w:tcPr>
                <w:p w14:paraId="12CD6B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总VOCs</w:t>
                  </w:r>
                </w:p>
              </w:tc>
              <w:tc>
                <w:tcPr>
                  <w:tcW w:w="1167" w:type="dxa"/>
                  <w:vAlign w:val="center"/>
                </w:tcPr>
                <w:p w14:paraId="5F4041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1次/年</w:t>
                  </w:r>
                </w:p>
              </w:tc>
              <w:tc>
                <w:tcPr>
                  <w:tcW w:w="6334" w:type="dxa"/>
                  <w:vAlign w:val="center"/>
                </w:tcPr>
                <w:p w14:paraId="0A8EFA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eastAsia" w:ascii="Times New Roman" w:hAnsi="Times New Roman" w:eastAsia="宋体" w:cs="var(--dsw-font-markdown-table)"/>
                      <w:kern w:val="0"/>
                      <w:sz w:val="21"/>
                      <w:szCs w:val="24"/>
                      <w:lang w:val="en-US" w:eastAsia="zh-CN" w:bidi="ar"/>
                    </w:rPr>
                    <w:t>广东省《制鞋行业挥发性有机化合物排放标准》（DB44/817-2010）表1第Ⅱ时段限值</w:t>
                  </w:r>
                </w:p>
              </w:tc>
            </w:tr>
            <w:tr w14:paraId="20B4F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2" w:type="dxa"/>
                  <w:vMerge w:val="continue"/>
                  <w:vAlign w:val="center"/>
                </w:tcPr>
                <w:p w14:paraId="37DD04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1333" w:type="dxa"/>
                  <w:vAlign w:val="center"/>
                </w:tcPr>
                <w:p w14:paraId="2646A7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臭气浓度</w:t>
                  </w:r>
                </w:p>
              </w:tc>
              <w:tc>
                <w:tcPr>
                  <w:tcW w:w="1167" w:type="dxa"/>
                  <w:vAlign w:val="center"/>
                </w:tcPr>
                <w:p w14:paraId="491194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1次/年</w:t>
                  </w:r>
                </w:p>
              </w:tc>
              <w:tc>
                <w:tcPr>
                  <w:tcW w:w="6334" w:type="dxa"/>
                  <w:vAlign w:val="center"/>
                </w:tcPr>
                <w:p w14:paraId="0BB39D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eastAsia" w:ascii="Times New Roman" w:hAnsi="Times New Roman" w:eastAsia="宋体" w:cs="var(--dsw-font-markdown-table)"/>
                      <w:kern w:val="0"/>
                      <w:sz w:val="21"/>
                      <w:szCs w:val="24"/>
                      <w:lang w:val="en-US" w:eastAsia="zh-CN" w:bidi="ar"/>
                    </w:rPr>
                    <w:t>《恶臭污染物排放标准》（GB14554-93）</w:t>
                  </w:r>
                  <w:r>
                    <w:rPr>
                      <w:rFonts w:hint="default" w:ascii="Times New Roman" w:hAnsi="Times New Roman" w:eastAsia="宋体" w:cs="var(--dsw-font-markdown-table)"/>
                      <w:kern w:val="0"/>
                      <w:sz w:val="21"/>
                      <w:szCs w:val="24"/>
                      <w:lang w:val="en-US" w:eastAsia="zh-CN" w:bidi="ar"/>
                    </w:rPr>
                    <w:t>表2恶臭污染物排放标准值</w:t>
                  </w:r>
                </w:p>
              </w:tc>
            </w:tr>
            <w:tr w14:paraId="0E0B8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2" w:type="dxa"/>
                  <w:vAlign w:val="center"/>
                </w:tcPr>
                <w:p w14:paraId="3FBB20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eastAsia" w:cs="var(--dsw-font-markdown-table)"/>
                      <w:color w:val="auto"/>
                      <w:kern w:val="0"/>
                      <w:sz w:val="21"/>
                      <w:szCs w:val="24"/>
                      <w:lang w:val="en-US" w:eastAsia="zh-CN" w:bidi="ar"/>
                    </w:rPr>
                    <w:t>G8</w:t>
                  </w:r>
                  <w:r>
                    <w:rPr>
                      <w:rFonts w:hint="default" w:ascii="Times New Roman" w:hAnsi="Times New Roman" w:eastAsia="宋体" w:cs="var(--dsw-font-markdown-table)"/>
                      <w:color w:val="auto"/>
                      <w:kern w:val="0"/>
                      <w:sz w:val="21"/>
                      <w:szCs w:val="24"/>
                      <w:lang w:val="en-US" w:eastAsia="zh-CN" w:bidi="ar"/>
                    </w:rPr>
                    <w:t>排气筒</w:t>
                  </w:r>
                </w:p>
              </w:tc>
              <w:tc>
                <w:tcPr>
                  <w:tcW w:w="1333" w:type="dxa"/>
                  <w:vAlign w:val="center"/>
                </w:tcPr>
                <w:p w14:paraId="242B5D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油烟</w:t>
                  </w:r>
                </w:p>
              </w:tc>
              <w:tc>
                <w:tcPr>
                  <w:tcW w:w="1167" w:type="dxa"/>
                  <w:vAlign w:val="center"/>
                </w:tcPr>
                <w:p w14:paraId="4A457A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1次/年</w:t>
                  </w:r>
                </w:p>
              </w:tc>
              <w:tc>
                <w:tcPr>
                  <w:tcW w:w="6334" w:type="dxa"/>
                  <w:vAlign w:val="center"/>
                </w:tcPr>
                <w:p w14:paraId="43EA65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eastAsia" w:ascii="Times New Roman" w:hAnsi="Times New Roman" w:eastAsia="宋体" w:cs="var(--dsw-font-markdown-table)"/>
                      <w:kern w:val="0"/>
                      <w:sz w:val="21"/>
                      <w:szCs w:val="24"/>
                      <w:lang w:val="en-US" w:eastAsia="zh-CN" w:bidi="ar"/>
                    </w:rPr>
                    <w:t>《饮食业油烟排放标准（试行）》（GB18483-2001）</w:t>
                  </w:r>
                  <w:r>
                    <w:rPr>
                      <w:rFonts w:hint="default" w:ascii="Times New Roman" w:hAnsi="Times New Roman" w:eastAsia="宋体" w:cs="var(--dsw-font-markdown-table)"/>
                      <w:kern w:val="0"/>
                      <w:sz w:val="21"/>
                      <w:szCs w:val="24"/>
                      <w:lang w:val="en-US" w:eastAsia="zh-CN" w:bidi="ar"/>
                    </w:rPr>
                    <w:t>表2最高允许排放浓度限值（中型）</w:t>
                  </w:r>
                </w:p>
              </w:tc>
            </w:tr>
            <w:tr w14:paraId="68C83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2" w:type="dxa"/>
                  <w:vMerge w:val="restart"/>
                  <w:shd w:val="clear" w:color="auto" w:fill="auto"/>
                  <w:vAlign w:val="center"/>
                </w:tcPr>
                <w:p w14:paraId="1E508C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Segoe UI"/>
                      <w:b w:val="0"/>
                      <w:i w:val="0"/>
                      <w:iCs w:val="0"/>
                      <w:caps w:val="0"/>
                      <w:strike w:val="0"/>
                      <w:color w:val="auto"/>
                      <w:spacing w:val="0"/>
                      <w:kern w:val="2"/>
                      <w:sz w:val="21"/>
                      <w:szCs w:val="24"/>
                      <w:u w:val="none"/>
                      <w:vertAlign w:val="baseline"/>
                      <w:lang w:val="en-US" w:eastAsia="zh-CN" w:bidi="ar-SA"/>
                    </w:rPr>
                  </w:pPr>
                  <w:r>
                    <w:rPr>
                      <w:rFonts w:hint="eastAsia" w:cs="var(--dsw-font-markdown-table)"/>
                      <w:color w:val="auto"/>
                      <w:kern w:val="0"/>
                      <w:sz w:val="21"/>
                      <w:szCs w:val="24"/>
                      <w:lang w:val="en-US" w:eastAsia="zh-CN" w:bidi="ar"/>
                    </w:rPr>
                    <w:t>G9</w:t>
                  </w:r>
                  <w:r>
                    <w:rPr>
                      <w:rFonts w:hint="default" w:ascii="Times New Roman" w:hAnsi="Times New Roman" w:eastAsia="宋体" w:cs="var(--dsw-font-markdown-table)"/>
                      <w:color w:val="auto"/>
                      <w:kern w:val="0"/>
                      <w:sz w:val="21"/>
                      <w:szCs w:val="24"/>
                      <w:lang w:val="en-US" w:eastAsia="zh-CN" w:bidi="ar"/>
                    </w:rPr>
                    <w:t>排气筒</w:t>
                  </w:r>
                </w:p>
              </w:tc>
              <w:tc>
                <w:tcPr>
                  <w:tcW w:w="1333" w:type="dxa"/>
                  <w:vAlign w:val="center"/>
                </w:tcPr>
                <w:p w14:paraId="1838E1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非甲烷总烃</w:t>
                  </w:r>
                </w:p>
              </w:tc>
              <w:tc>
                <w:tcPr>
                  <w:tcW w:w="1167" w:type="dxa"/>
                  <w:vAlign w:val="center"/>
                </w:tcPr>
                <w:p w14:paraId="2534E5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1次/年</w:t>
                  </w:r>
                </w:p>
              </w:tc>
              <w:tc>
                <w:tcPr>
                  <w:tcW w:w="6334" w:type="dxa"/>
                  <w:vAlign w:val="center"/>
                </w:tcPr>
                <w:p w14:paraId="3070B38F">
                  <w:pPr>
                    <w:keepNext w:val="0"/>
                    <w:keepLines w:val="0"/>
                    <w:widowControl/>
                    <w:suppressLineNumbers w:val="0"/>
                    <w:spacing w:before="0" w:beforeAutospacing="0" w:after="0" w:afterAutospacing="0"/>
                    <w:ind w:left="0" w:right="0"/>
                    <w:jc w:val="left"/>
                    <w:rPr>
                      <w:rFonts w:hint="eastAsia" w:ascii="Times New Roman" w:hAnsi="Times New Roman" w:eastAsia="宋体" w:cs="var(--dsw-font-markdown-table)"/>
                      <w:kern w:val="0"/>
                      <w:sz w:val="21"/>
                      <w:szCs w:val="24"/>
                      <w:lang w:val="en-US" w:eastAsia="zh-CN" w:bidi="ar"/>
                    </w:rPr>
                  </w:pPr>
                  <w:r>
                    <w:rPr>
                      <w:rFonts w:hint="eastAsia" w:ascii="宋体" w:hAnsi="宋体" w:eastAsia="宋体" w:cs="宋体"/>
                      <w:color w:val="000000"/>
                      <w:kern w:val="0"/>
                      <w:sz w:val="21"/>
                      <w:szCs w:val="21"/>
                      <w:lang w:val="en-US" w:eastAsia="zh-CN" w:bidi="ar"/>
                    </w:rPr>
                    <w:t>《印刷工业大气污染物排放标准》（</w:t>
                  </w:r>
                  <w:r>
                    <w:rPr>
                      <w:rFonts w:hint="default" w:ascii="Times New Roman" w:hAnsi="Times New Roman" w:eastAsia="宋体" w:cs="Times New Roman"/>
                      <w:color w:val="000000"/>
                      <w:kern w:val="0"/>
                      <w:sz w:val="21"/>
                      <w:szCs w:val="21"/>
                      <w:lang w:val="en-US" w:eastAsia="zh-CN" w:bidi="ar"/>
                    </w:rPr>
                    <w:t>GB41616-2022</w:t>
                  </w:r>
                  <w:r>
                    <w:rPr>
                      <w:rFonts w:hint="eastAsia" w:ascii="宋体" w:hAnsi="宋体" w:eastAsia="宋体" w:cs="宋体"/>
                      <w:color w:val="000000"/>
                      <w:kern w:val="0"/>
                      <w:sz w:val="21"/>
                      <w:szCs w:val="21"/>
                      <w:lang w:val="en-US" w:eastAsia="zh-CN" w:bidi="ar"/>
                    </w:rPr>
                    <w:t>）表</w:t>
                  </w:r>
                  <w:r>
                    <w:rPr>
                      <w:rFonts w:hint="default" w:ascii="Times New Roman" w:hAnsi="Times New Roman" w:eastAsia="宋体" w:cs="Times New Roman"/>
                      <w:color w:val="000000"/>
                      <w:kern w:val="0"/>
                      <w:sz w:val="21"/>
                      <w:szCs w:val="21"/>
                      <w:lang w:val="en-US" w:eastAsia="zh-CN" w:bidi="ar"/>
                    </w:rPr>
                    <w:t>1</w:t>
                  </w:r>
                  <w:r>
                    <w:rPr>
                      <w:rFonts w:hint="eastAsia" w:ascii="宋体" w:hAnsi="宋体" w:eastAsia="宋体" w:cs="宋体"/>
                      <w:color w:val="000000"/>
                      <w:kern w:val="0"/>
                      <w:sz w:val="21"/>
                      <w:szCs w:val="21"/>
                      <w:lang w:val="en-US" w:eastAsia="zh-CN" w:bidi="ar"/>
                    </w:rPr>
                    <w:t>大气污染物排放限值</w:t>
                  </w:r>
                </w:p>
              </w:tc>
            </w:tr>
            <w:tr w14:paraId="0595E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2" w:type="dxa"/>
                  <w:vMerge w:val="continue"/>
                  <w:vAlign w:val="center"/>
                </w:tcPr>
                <w:p w14:paraId="311FF2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var(--dsw-font-markdown-table)"/>
                      <w:color w:val="auto"/>
                      <w:kern w:val="0"/>
                      <w:sz w:val="21"/>
                      <w:szCs w:val="24"/>
                      <w:lang w:val="en-US" w:eastAsia="zh-CN" w:bidi="ar"/>
                    </w:rPr>
                  </w:pPr>
                </w:p>
              </w:tc>
              <w:tc>
                <w:tcPr>
                  <w:tcW w:w="1333" w:type="dxa"/>
                  <w:vAlign w:val="center"/>
                </w:tcPr>
                <w:p w14:paraId="27F463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总VOCs</w:t>
                  </w:r>
                </w:p>
              </w:tc>
              <w:tc>
                <w:tcPr>
                  <w:tcW w:w="1167" w:type="dxa"/>
                  <w:vAlign w:val="center"/>
                </w:tcPr>
                <w:p w14:paraId="14581D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1次/年</w:t>
                  </w:r>
                </w:p>
              </w:tc>
              <w:tc>
                <w:tcPr>
                  <w:tcW w:w="6334" w:type="dxa"/>
                  <w:vAlign w:val="center"/>
                </w:tcPr>
                <w:p w14:paraId="040C1A3E">
                  <w:pPr>
                    <w:keepNext w:val="0"/>
                    <w:keepLines w:val="0"/>
                    <w:widowControl/>
                    <w:suppressLineNumbers w:val="0"/>
                    <w:spacing w:before="0" w:beforeAutospacing="0" w:after="0" w:afterAutospacing="0"/>
                    <w:ind w:left="0" w:right="0"/>
                    <w:jc w:val="left"/>
                    <w:rPr>
                      <w:rFonts w:hint="default"/>
                    </w:rPr>
                  </w:pPr>
                  <w:r>
                    <w:rPr>
                      <w:rFonts w:hint="eastAsia" w:ascii="宋体" w:hAnsi="宋体" w:eastAsia="宋体" w:cs="宋体"/>
                      <w:color w:val="000000"/>
                      <w:kern w:val="0"/>
                      <w:sz w:val="21"/>
                      <w:szCs w:val="21"/>
                      <w:lang w:val="en-US" w:eastAsia="zh-CN" w:bidi="ar"/>
                    </w:rPr>
                    <w:t>《制鞋行业挥发性有机化合物排放标准》（</w:t>
                  </w:r>
                  <w:r>
                    <w:rPr>
                      <w:rFonts w:hint="default" w:ascii="Times New Roman" w:hAnsi="Times New Roman" w:eastAsia="宋体" w:cs="Times New Roman"/>
                      <w:color w:val="000000"/>
                      <w:kern w:val="0"/>
                      <w:sz w:val="21"/>
                      <w:szCs w:val="21"/>
                      <w:lang w:val="en-US" w:eastAsia="zh-CN" w:bidi="ar"/>
                    </w:rPr>
                    <w:t>DB44 817-2010</w:t>
                  </w:r>
                  <w:r>
                    <w:rPr>
                      <w:rFonts w:hint="eastAsia" w:ascii="宋体" w:hAnsi="宋体" w:eastAsia="宋体" w:cs="宋体"/>
                      <w:color w:val="000000"/>
                      <w:kern w:val="0"/>
                      <w:sz w:val="21"/>
                      <w:szCs w:val="21"/>
                      <w:lang w:val="en-US" w:eastAsia="zh-CN" w:bidi="ar"/>
                    </w:rPr>
                    <w:t>）表</w:t>
                  </w:r>
                  <w:r>
                    <w:rPr>
                      <w:rFonts w:hint="default" w:ascii="Times New Roman" w:hAnsi="Times New Roman" w:eastAsia="宋体" w:cs="Times New Roman"/>
                      <w:color w:val="000000"/>
                      <w:kern w:val="0"/>
                      <w:sz w:val="21"/>
                      <w:szCs w:val="21"/>
                      <w:lang w:val="en-US" w:eastAsia="zh-CN" w:bidi="ar"/>
                    </w:rPr>
                    <w:t>1</w:t>
                  </w:r>
                  <w:r>
                    <w:rPr>
                      <w:rFonts w:hint="eastAsia" w:ascii="宋体" w:hAnsi="宋体" w:eastAsia="宋体" w:cs="宋体"/>
                      <w:color w:val="000000"/>
                      <w:kern w:val="0"/>
                      <w:sz w:val="21"/>
                      <w:szCs w:val="21"/>
                      <w:lang w:val="en-US" w:eastAsia="zh-CN" w:bidi="ar"/>
                    </w:rPr>
                    <w:t>第</w:t>
                  </w:r>
                  <w:r>
                    <w:rPr>
                      <w:rFonts w:hint="default" w:ascii="Times New Roman" w:hAnsi="Times New Roman" w:eastAsia="宋体" w:cs="Times New Roman"/>
                      <w:color w:val="000000"/>
                      <w:kern w:val="0"/>
                      <w:sz w:val="21"/>
                      <w:szCs w:val="21"/>
                      <w:lang w:val="en-US" w:eastAsia="zh-CN" w:bidi="ar"/>
                    </w:rPr>
                    <w:t>II</w:t>
                  </w:r>
                  <w:r>
                    <w:rPr>
                      <w:rFonts w:hint="eastAsia" w:ascii="宋体" w:hAnsi="宋体" w:eastAsia="宋体" w:cs="宋体"/>
                      <w:color w:val="000000"/>
                      <w:kern w:val="0"/>
                      <w:sz w:val="21"/>
                      <w:szCs w:val="21"/>
                      <w:lang w:val="en-US" w:eastAsia="zh-CN" w:bidi="ar"/>
                    </w:rPr>
                    <w:t>时段排放限值要求与广东省地方标准《印刷行业挥发性有机</w:t>
                  </w:r>
                </w:p>
                <w:p w14:paraId="635CE464">
                  <w:pPr>
                    <w:keepNext w:val="0"/>
                    <w:keepLines w:val="0"/>
                    <w:widowControl/>
                    <w:suppressLineNumbers w:val="0"/>
                    <w:spacing w:before="0" w:beforeAutospacing="0" w:after="0" w:afterAutospacing="0"/>
                    <w:ind w:left="0" w:right="0"/>
                    <w:jc w:val="left"/>
                    <w:rPr>
                      <w:rFonts w:hint="eastAsia" w:ascii="Times New Roman" w:hAnsi="Times New Roman" w:eastAsia="宋体" w:cs="var(--dsw-font-markdown-table)"/>
                      <w:kern w:val="0"/>
                      <w:sz w:val="21"/>
                      <w:szCs w:val="24"/>
                      <w:lang w:val="en-US" w:eastAsia="zh-CN" w:bidi="ar"/>
                    </w:rPr>
                  </w:pPr>
                  <w:r>
                    <w:rPr>
                      <w:rFonts w:hint="eastAsia" w:ascii="宋体" w:hAnsi="宋体" w:eastAsia="宋体" w:cs="宋体"/>
                      <w:color w:val="000000"/>
                      <w:kern w:val="0"/>
                      <w:sz w:val="21"/>
                      <w:szCs w:val="21"/>
                      <w:lang w:val="en-US" w:eastAsia="zh-CN" w:bidi="ar"/>
                    </w:rPr>
                    <w:t>化合物排放标准》（</w:t>
                  </w:r>
                  <w:r>
                    <w:rPr>
                      <w:rFonts w:hint="default" w:ascii="Times New Roman" w:hAnsi="Times New Roman" w:eastAsia="宋体" w:cs="Times New Roman"/>
                      <w:color w:val="000000"/>
                      <w:kern w:val="0"/>
                      <w:sz w:val="21"/>
                      <w:szCs w:val="21"/>
                      <w:lang w:val="en-US" w:eastAsia="zh-CN" w:bidi="ar"/>
                    </w:rPr>
                    <w:t>DB44/815-2010</w:t>
                  </w:r>
                  <w:r>
                    <w:rPr>
                      <w:rFonts w:hint="eastAsia" w:ascii="宋体" w:hAnsi="宋体" w:eastAsia="宋体" w:cs="宋体"/>
                      <w:color w:val="000000"/>
                      <w:kern w:val="0"/>
                      <w:sz w:val="21"/>
                      <w:szCs w:val="21"/>
                      <w:lang w:val="en-US" w:eastAsia="zh-CN" w:bidi="ar"/>
                    </w:rPr>
                    <w:t>）表</w:t>
                  </w:r>
                  <w:r>
                    <w:rPr>
                      <w:rFonts w:hint="default" w:ascii="Times New Roman" w:hAnsi="Times New Roman" w:eastAsia="宋体" w:cs="Times New Roman"/>
                      <w:color w:val="000000"/>
                      <w:kern w:val="0"/>
                      <w:sz w:val="21"/>
                      <w:szCs w:val="21"/>
                      <w:lang w:val="en-US" w:eastAsia="zh-CN" w:bidi="ar"/>
                    </w:rPr>
                    <w:t>2</w:t>
                  </w:r>
                  <w:r>
                    <w:rPr>
                      <w:rFonts w:hint="eastAsia" w:ascii="宋体" w:hAnsi="宋体" w:eastAsia="宋体" w:cs="宋体"/>
                      <w:color w:val="000000"/>
                      <w:kern w:val="0"/>
                      <w:sz w:val="21"/>
                      <w:szCs w:val="21"/>
                      <w:lang w:val="en-US" w:eastAsia="zh-CN" w:bidi="ar"/>
                    </w:rPr>
                    <w:t>排气筒</w:t>
                  </w:r>
                  <w:r>
                    <w:rPr>
                      <w:rFonts w:hint="default" w:ascii="Times New Roman" w:hAnsi="Times New Roman" w:eastAsia="宋体" w:cs="Times New Roman"/>
                      <w:color w:val="000000"/>
                      <w:kern w:val="0"/>
                      <w:sz w:val="21"/>
                      <w:szCs w:val="21"/>
                      <w:lang w:val="en-US" w:eastAsia="zh-CN" w:bidi="ar"/>
                    </w:rPr>
                    <w:t>VOCs</w:t>
                  </w:r>
                  <w:r>
                    <w:rPr>
                      <w:rFonts w:hint="eastAsia" w:ascii="宋体" w:hAnsi="宋体" w:eastAsia="宋体" w:cs="宋体"/>
                      <w:color w:val="000000"/>
                      <w:kern w:val="0"/>
                      <w:sz w:val="21"/>
                      <w:szCs w:val="21"/>
                      <w:lang w:val="en-US" w:eastAsia="zh-CN" w:bidi="ar"/>
                    </w:rPr>
                    <w:t>排放限值（第</w:t>
                  </w:r>
                  <w:r>
                    <w:rPr>
                      <w:rFonts w:hint="default" w:ascii="新宋体" w:hAnsi="新宋体" w:eastAsia="新宋体" w:cs="新宋体"/>
                      <w:color w:val="000000"/>
                      <w:kern w:val="0"/>
                      <w:sz w:val="21"/>
                      <w:szCs w:val="21"/>
                      <w:lang w:val="en-US" w:eastAsia="zh-CN" w:bidi="ar"/>
                    </w:rPr>
                    <w:t>Ⅱ</w:t>
                  </w:r>
                  <w:r>
                    <w:rPr>
                      <w:rFonts w:hint="eastAsia" w:ascii="宋体" w:hAnsi="宋体" w:eastAsia="宋体" w:cs="宋体"/>
                      <w:color w:val="000000"/>
                      <w:kern w:val="0"/>
                      <w:sz w:val="21"/>
                      <w:szCs w:val="21"/>
                      <w:lang w:val="en-US" w:eastAsia="zh-CN" w:bidi="ar"/>
                    </w:rPr>
                    <w:t>时段）较严值</w:t>
                  </w:r>
                </w:p>
              </w:tc>
            </w:tr>
            <w:tr w14:paraId="75CFC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2" w:type="dxa"/>
                  <w:vMerge w:val="continue"/>
                  <w:vAlign w:val="center"/>
                </w:tcPr>
                <w:p w14:paraId="33745B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var(--dsw-font-markdown-table)"/>
                      <w:color w:val="auto"/>
                      <w:kern w:val="0"/>
                      <w:sz w:val="21"/>
                      <w:szCs w:val="24"/>
                      <w:lang w:val="en-US" w:eastAsia="zh-CN" w:bidi="ar"/>
                    </w:rPr>
                  </w:pPr>
                </w:p>
              </w:tc>
              <w:tc>
                <w:tcPr>
                  <w:tcW w:w="1333" w:type="dxa"/>
                  <w:vAlign w:val="center"/>
                </w:tcPr>
                <w:p w14:paraId="47FF43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臭气浓度</w:t>
                  </w:r>
                </w:p>
              </w:tc>
              <w:tc>
                <w:tcPr>
                  <w:tcW w:w="1167" w:type="dxa"/>
                  <w:vAlign w:val="center"/>
                </w:tcPr>
                <w:p w14:paraId="11632A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1次/年</w:t>
                  </w:r>
                </w:p>
              </w:tc>
              <w:tc>
                <w:tcPr>
                  <w:tcW w:w="6334" w:type="dxa"/>
                  <w:vAlign w:val="center"/>
                </w:tcPr>
                <w:p w14:paraId="2616AF6E">
                  <w:pPr>
                    <w:keepNext w:val="0"/>
                    <w:keepLines w:val="0"/>
                    <w:widowControl/>
                    <w:suppressLineNumbers w:val="0"/>
                    <w:spacing w:before="0" w:beforeAutospacing="0" w:after="0" w:afterAutospacing="0"/>
                    <w:ind w:left="0" w:right="0"/>
                    <w:jc w:val="left"/>
                    <w:rPr>
                      <w:rFonts w:hint="eastAsia" w:ascii="Times New Roman" w:hAnsi="Times New Roman" w:eastAsia="宋体" w:cs="var(--dsw-font-markdown-table)"/>
                      <w:kern w:val="0"/>
                      <w:sz w:val="21"/>
                      <w:szCs w:val="24"/>
                      <w:lang w:val="en-US" w:eastAsia="zh-CN" w:bidi="ar"/>
                    </w:rPr>
                  </w:pPr>
                  <w:r>
                    <w:rPr>
                      <w:rFonts w:hint="eastAsia" w:ascii="宋体" w:hAnsi="宋体" w:eastAsia="宋体" w:cs="宋体"/>
                      <w:color w:val="000000"/>
                      <w:kern w:val="0"/>
                      <w:sz w:val="21"/>
                      <w:szCs w:val="21"/>
                      <w:lang w:val="en-US" w:eastAsia="zh-CN" w:bidi="ar"/>
                    </w:rPr>
                    <w:t>《恶臭污染物排放标准》（</w:t>
                  </w:r>
                  <w:r>
                    <w:rPr>
                      <w:rFonts w:hint="default" w:ascii="Times New Roman" w:hAnsi="Times New Roman" w:eastAsia="宋体" w:cs="Times New Roman"/>
                      <w:color w:val="000000"/>
                      <w:kern w:val="0"/>
                      <w:sz w:val="21"/>
                      <w:szCs w:val="21"/>
                      <w:lang w:val="en-US" w:eastAsia="zh-CN" w:bidi="ar"/>
                    </w:rPr>
                    <w:t>GB14554-93</w:t>
                  </w:r>
                  <w:r>
                    <w:rPr>
                      <w:rFonts w:hint="eastAsia" w:ascii="宋体" w:hAnsi="宋体" w:eastAsia="宋体" w:cs="宋体"/>
                      <w:color w:val="000000"/>
                      <w:kern w:val="0"/>
                      <w:sz w:val="21"/>
                      <w:szCs w:val="21"/>
                      <w:lang w:val="en-US" w:eastAsia="zh-CN" w:bidi="ar"/>
                    </w:rPr>
                    <w:t>）表</w:t>
                  </w:r>
                  <w:r>
                    <w:rPr>
                      <w:rFonts w:hint="default" w:ascii="Times New Roman" w:hAnsi="Times New Roman" w:eastAsia="宋体" w:cs="Times New Roman"/>
                      <w:color w:val="000000"/>
                      <w:kern w:val="0"/>
                      <w:sz w:val="21"/>
                      <w:szCs w:val="21"/>
                      <w:lang w:val="en-US" w:eastAsia="zh-CN" w:bidi="ar"/>
                    </w:rPr>
                    <w:t>2</w:t>
                  </w:r>
                  <w:r>
                    <w:rPr>
                      <w:rFonts w:hint="eastAsia" w:ascii="宋体" w:hAnsi="宋体" w:eastAsia="宋体" w:cs="宋体"/>
                      <w:color w:val="000000"/>
                      <w:kern w:val="0"/>
                      <w:sz w:val="21"/>
                      <w:szCs w:val="21"/>
                      <w:lang w:val="en-US" w:eastAsia="zh-CN" w:bidi="ar"/>
                    </w:rPr>
                    <w:t>恶臭污染物排放标准值</w:t>
                  </w:r>
                </w:p>
              </w:tc>
            </w:tr>
            <w:tr w14:paraId="24A5E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2" w:type="dxa"/>
                  <w:vMerge w:val="restart"/>
                  <w:vAlign w:val="center"/>
                </w:tcPr>
                <w:p w14:paraId="162640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厂界</w:t>
                  </w:r>
                </w:p>
              </w:tc>
              <w:tc>
                <w:tcPr>
                  <w:tcW w:w="1333" w:type="dxa"/>
                  <w:vAlign w:val="center"/>
                </w:tcPr>
                <w:p w14:paraId="59CD2D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非甲烷总烃</w:t>
                  </w:r>
                </w:p>
              </w:tc>
              <w:tc>
                <w:tcPr>
                  <w:tcW w:w="1167" w:type="dxa"/>
                  <w:vAlign w:val="center"/>
                </w:tcPr>
                <w:p w14:paraId="67C211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1次/半年</w:t>
                  </w:r>
                </w:p>
              </w:tc>
              <w:tc>
                <w:tcPr>
                  <w:tcW w:w="6334" w:type="dxa"/>
                  <w:vAlign w:val="center"/>
                </w:tcPr>
                <w:p w14:paraId="6BECAE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eastAsia" w:ascii="Times New Roman" w:hAnsi="Times New Roman" w:eastAsia="宋体" w:cs="var(--dsw-font-markdown-table)"/>
                      <w:kern w:val="0"/>
                      <w:sz w:val="21"/>
                      <w:szCs w:val="24"/>
                      <w:lang w:val="en-US" w:eastAsia="zh-CN" w:bidi="ar"/>
                    </w:rPr>
                    <w:t>《合成树脂工业污染物排放标准》（GB31572-2015）</w:t>
                  </w:r>
                  <w:r>
                    <w:rPr>
                      <w:rFonts w:hint="default" w:ascii="Times New Roman" w:hAnsi="Times New Roman" w:eastAsia="宋体" w:cs="var(--dsw-font-markdown-table)"/>
                      <w:kern w:val="0"/>
                      <w:sz w:val="21"/>
                      <w:szCs w:val="24"/>
                      <w:lang w:val="en-US" w:eastAsia="zh-CN" w:bidi="ar"/>
                    </w:rPr>
                    <w:t>及其修改单中表9企业边界大气污染物浓度限值</w:t>
                  </w:r>
                  <w:r>
                    <w:rPr>
                      <w:rFonts w:hint="default" w:ascii="Times New Roman" w:hAnsi="Times New Roman" w:eastAsia="宋体" w:cs="var(--dsw-font-markdown-table)"/>
                      <w:b/>
                      <w:bCs/>
                      <w:kern w:val="0"/>
                      <w:sz w:val="21"/>
                      <w:szCs w:val="24"/>
                      <w:lang w:val="en-US" w:eastAsia="zh-CN" w:bidi="ar"/>
                    </w:rPr>
                    <w:t>与</w:t>
                  </w:r>
                  <w:r>
                    <w:rPr>
                      <w:rFonts w:hint="default" w:ascii="Times New Roman" w:hAnsi="Times New Roman" w:eastAsia="宋体" w:cs="var(--dsw-font-markdown-table)"/>
                      <w:kern w:val="0"/>
                      <w:sz w:val="21"/>
                      <w:szCs w:val="24"/>
                      <w:lang w:val="en-US" w:eastAsia="zh-CN" w:bidi="ar"/>
                    </w:rPr>
                    <w:t>广东省地方标准</w:t>
                  </w:r>
                  <w:r>
                    <w:rPr>
                      <w:rFonts w:hint="eastAsia" w:ascii="Times New Roman" w:hAnsi="Times New Roman" w:eastAsia="宋体" w:cs="var(--dsw-font-markdown-table)"/>
                      <w:kern w:val="0"/>
                      <w:sz w:val="21"/>
                      <w:szCs w:val="24"/>
                      <w:lang w:val="en-US" w:eastAsia="zh-CN" w:bidi="ar"/>
                    </w:rPr>
                    <w:t>《大气污染物排放限值》（DB44/27-2001）</w:t>
                  </w:r>
                  <w:r>
                    <w:rPr>
                      <w:rFonts w:hint="default" w:ascii="Times New Roman" w:hAnsi="Times New Roman" w:eastAsia="宋体" w:cs="var(--dsw-font-markdown-table)"/>
                      <w:kern w:val="0"/>
                      <w:sz w:val="21"/>
                      <w:szCs w:val="24"/>
                      <w:lang w:val="en-US" w:eastAsia="zh-CN" w:bidi="ar"/>
                    </w:rPr>
                    <w:t>第二时段无组织排放监控浓度限值</w:t>
                  </w:r>
                  <w:r>
                    <w:rPr>
                      <w:rFonts w:hint="default" w:ascii="Times New Roman" w:hAnsi="Times New Roman" w:eastAsia="宋体" w:cs="var(--dsw-font-markdown-table)"/>
                      <w:b/>
                      <w:bCs/>
                      <w:kern w:val="0"/>
                      <w:sz w:val="21"/>
                      <w:szCs w:val="24"/>
                      <w:lang w:val="en-US" w:eastAsia="zh-CN" w:bidi="ar"/>
                    </w:rPr>
                    <w:t>较严者</w:t>
                  </w:r>
                </w:p>
              </w:tc>
            </w:tr>
            <w:tr w14:paraId="1E3A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2" w:type="dxa"/>
                  <w:vMerge w:val="continue"/>
                  <w:vAlign w:val="center"/>
                </w:tcPr>
                <w:p w14:paraId="393811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p>
              </w:tc>
              <w:tc>
                <w:tcPr>
                  <w:tcW w:w="1333" w:type="dxa"/>
                  <w:vAlign w:val="center"/>
                </w:tcPr>
                <w:p w14:paraId="41BA86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颗粒物</w:t>
                  </w:r>
                </w:p>
              </w:tc>
              <w:tc>
                <w:tcPr>
                  <w:tcW w:w="1167" w:type="dxa"/>
                  <w:vAlign w:val="center"/>
                </w:tcPr>
                <w:p w14:paraId="1B7B54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1次/年</w:t>
                  </w:r>
                </w:p>
              </w:tc>
              <w:tc>
                <w:tcPr>
                  <w:tcW w:w="6334" w:type="dxa"/>
                  <w:vAlign w:val="center"/>
                </w:tcPr>
                <w:p w14:paraId="472BAF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kern w:val="0"/>
                      <w:sz w:val="21"/>
                      <w:szCs w:val="24"/>
                      <w:lang w:val="en-US" w:eastAsia="zh-CN" w:bidi="ar"/>
                    </w:rPr>
                    <w:t>广东省地方标准</w:t>
                  </w:r>
                  <w:r>
                    <w:rPr>
                      <w:rFonts w:hint="eastAsia" w:ascii="Times New Roman" w:hAnsi="Times New Roman" w:eastAsia="宋体" w:cs="var(--dsw-font-markdown-table)"/>
                      <w:kern w:val="0"/>
                      <w:sz w:val="21"/>
                      <w:szCs w:val="24"/>
                      <w:lang w:val="en-US" w:eastAsia="zh-CN" w:bidi="ar"/>
                    </w:rPr>
                    <w:t>《大气污染物排放限值》（DB44/27-2001）</w:t>
                  </w:r>
                  <w:r>
                    <w:rPr>
                      <w:rFonts w:hint="default" w:ascii="Times New Roman" w:hAnsi="Times New Roman" w:eastAsia="宋体" w:cs="var(--dsw-font-markdown-table)"/>
                      <w:kern w:val="0"/>
                      <w:sz w:val="21"/>
                      <w:szCs w:val="24"/>
                      <w:lang w:val="en-US" w:eastAsia="zh-CN" w:bidi="ar"/>
                    </w:rPr>
                    <w:t>第二时段无组织排放监控浓度限值</w:t>
                  </w:r>
                  <w:r>
                    <w:rPr>
                      <w:rFonts w:hint="default" w:ascii="Times New Roman" w:hAnsi="Times New Roman" w:eastAsia="宋体" w:cs="var(--dsw-font-markdown-table)"/>
                      <w:b/>
                      <w:bCs/>
                      <w:kern w:val="0"/>
                      <w:sz w:val="21"/>
                      <w:szCs w:val="24"/>
                      <w:lang w:val="en-US" w:eastAsia="zh-CN" w:bidi="ar"/>
                    </w:rPr>
                    <w:t>与</w:t>
                  </w:r>
                  <w:r>
                    <w:rPr>
                      <w:rFonts w:hint="eastAsia" w:ascii="Times New Roman" w:hAnsi="Times New Roman" w:eastAsia="宋体" w:cs="var(--dsw-font-markdown-table)"/>
                      <w:kern w:val="0"/>
                      <w:sz w:val="21"/>
                      <w:szCs w:val="24"/>
                      <w:lang w:val="en-US" w:eastAsia="zh-CN" w:bidi="ar"/>
                    </w:rPr>
                    <w:t>《合成树脂工业污染物排放标准》（GB31572-2015）</w:t>
                  </w:r>
                  <w:r>
                    <w:rPr>
                      <w:rFonts w:hint="default" w:ascii="Times New Roman" w:hAnsi="Times New Roman" w:eastAsia="宋体" w:cs="var(--dsw-font-markdown-table)"/>
                      <w:kern w:val="0"/>
                      <w:sz w:val="21"/>
                      <w:szCs w:val="24"/>
                      <w:lang w:val="en-US" w:eastAsia="zh-CN" w:bidi="ar"/>
                    </w:rPr>
                    <w:t>及其修改单表9限值</w:t>
                  </w:r>
                  <w:r>
                    <w:rPr>
                      <w:rFonts w:hint="default" w:ascii="Times New Roman" w:hAnsi="Times New Roman" w:eastAsia="宋体" w:cs="var(--dsw-font-markdown-table)"/>
                      <w:b/>
                      <w:bCs/>
                      <w:kern w:val="0"/>
                      <w:sz w:val="21"/>
                      <w:szCs w:val="24"/>
                      <w:lang w:val="en-US" w:eastAsia="zh-CN" w:bidi="ar"/>
                    </w:rPr>
                    <w:t>较严者</w:t>
                  </w:r>
                </w:p>
              </w:tc>
            </w:tr>
            <w:tr w14:paraId="33321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2" w:type="dxa"/>
                  <w:vMerge w:val="continue"/>
                  <w:vAlign w:val="center"/>
                </w:tcPr>
                <w:p w14:paraId="7A3CB9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1333" w:type="dxa"/>
                  <w:vAlign w:val="center"/>
                </w:tcPr>
                <w:p w14:paraId="268E07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总VOCs</w:t>
                  </w:r>
                </w:p>
              </w:tc>
              <w:tc>
                <w:tcPr>
                  <w:tcW w:w="1167" w:type="dxa"/>
                  <w:vAlign w:val="center"/>
                </w:tcPr>
                <w:p w14:paraId="693D54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1次/年</w:t>
                  </w:r>
                </w:p>
              </w:tc>
              <w:tc>
                <w:tcPr>
                  <w:tcW w:w="6334" w:type="dxa"/>
                  <w:vAlign w:val="center"/>
                </w:tcPr>
                <w:p w14:paraId="267E37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广东省</w:t>
                  </w:r>
                  <w:r>
                    <w:rPr>
                      <w:rFonts w:hint="eastAsia" w:ascii="Times New Roman" w:hAnsi="Times New Roman" w:eastAsia="宋体" w:cs="var(--dsw-font-markdown-table)"/>
                      <w:kern w:val="0"/>
                      <w:sz w:val="21"/>
                      <w:szCs w:val="24"/>
                      <w:lang w:val="en-US" w:eastAsia="zh-CN" w:bidi="ar"/>
                    </w:rPr>
                    <w:t>《制鞋行业挥发性有机化合物排放标准》（DB44/817-2010）</w:t>
                  </w:r>
                  <w:r>
                    <w:rPr>
                      <w:rFonts w:hint="default" w:ascii="Times New Roman" w:hAnsi="Times New Roman" w:eastAsia="宋体" w:cs="var(--dsw-font-markdown-table)"/>
                      <w:kern w:val="0"/>
                      <w:sz w:val="21"/>
                      <w:szCs w:val="24"/>
                      <w:lang w:val="en-US" w:eastAsia="zh-CN" w:bidi="ar"/>
                    </w:rPr>
                    <w:t>表2无组织排放监控点浓度限值</w:t>
                  </w:r>
                  <w:r>
                    <w:rPr>
                      <w:rFonts w:hint="eastAsia" w:ascii="宋体" w:hAnsi="宋体" w:eastAsia="宋体" w:cs="宋体"/>
                      <w:b w:val="0"/>
                      <w:bCs w:val="0"/>
                      <w:color w:val="auto"/>
                      <w:kern w:val="0"/>
                      <w:sz w:val="21"/>
                      <w:szCs w:val="21"/>
                      <w:lang w:val="en-US" w:eastAsia="zh-CN" w:bidi="ar"/>
                    </w:rPr>
                    <w:t>与广东省地方标准《印刷行业挥发性有机化合物排放标准》（DB44/815-2010）表</w:t>
                  </w:r>
                  <w:r>
                    <w:rPr>
                      <w:rFonts w:hint="default" w:ascii="Times New Roman" w:hAnsi="Times New Roman" w:eastAsia="宋体" w:cs="Times New Roman"/>
                      <w:b w:val="0"/>
                      <w:bCs w:val="0"/>
                      <w:color w:val="auto"/>
                      <w:kern w:val="0"/>
                      <w:sz w:val="21"/>
                      <w:szCs w:val="21"/>
                      <w:lang w:val="en-US" w:eastAsia="zh-CN" w:bidi="ar"/>
                    </w:rPr>
                    <w:t>3</w:t>
                  </w:r>
                  <w:r>
                    <w:rPr>
                      <w:rFonts w:hint="eastAsia" w:ascii="宋体" w:hAnsi="宋体" w:eastAsia="宋体" w:cs="宋体"/>
                      <w:b w:val="0"/>
                      <w:bCs w:val="0"/>
                      <w:color w:val="auto"/>
                      <w:kern w:val="0"/>
                      <w:sz w:val="21"/>
                      <w:szCs w:val="21"/>
                      <w:lang w:val="en-US" w:eastAsia="zh-CN" w:bidi="ar"/>
                    </w:rPr>
                    <w:t>无组织排放监控点浓度</w:t>
                  </w:r>
                  <w:r>
                    <w:rPr>
                      <w:rFonts w:hint="eastAsia" w:ascii="Times New Roman" w:hAnsi="Times New Roman" w:eastAsia="宋体" w:cs="Segoe UI"/>
                      <w:b w:val="0"/>
                      <w:bCs w:val="0"/>
                      <w:i w:val="0"/>
                      <w:iCs w:val="0"/>
                      <w:caps w:val="0"/>
                      <w:color w:val="auto"/>
                      <w:spacing w:val="0"/>
                      <w:sz w:val="21"/>
                      <w:szCs w:val="24"/>
                      <w:shd w:val="clear" w:fill="FFFFFF"/>
                      <w:lang w:val="en-US" w:eastAsia="zh-CN"/>
                    </w:rPr>
                    <w:t>较严值</w:t>
                  </w:r>
                </w:p>
              </w:tc>
            </w:tr>
            <w:tr w14:paraId="68249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2" w:type="dxa"/>
                  <w:vMerge w:val="continue"/>
                  <w:vAlign w:val="center"/>
                </w:tcPr>
                <w:p w14:paraId="79C7E9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p>
              </w:tc>
              <w:tc>
                <w:tcPr>
                  <w:tcW w:w="1333" w:type="dxa"/>
                  <w:vAlign w:val="center"/>
                </w:tcPr>
                <w:p w14:paraId="00021D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臭气浓度</w:t>
                  </w:r>
                </w:p>
              </w:tc>
              <w:tc>
                <w:tcPr>
                  <w:tcW w:w="1167" w:type="dxa"/>
                  <w:vAlign w:val="center"/>
                </w:tcPr>
                <w:p w14:paraId="6F9DE1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1次/年</w:t>
                  </w:r>
                </w:p>
              </w:tc>
              <w:tc>
                <w:tcPr>
                  <w:tcW w:w="6334" w:type="dxa"/>
                  <w:vAlign w:val="center"/>
                </w:tcPr>
                <w:p w14:paraId="1AC0B6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var(--dsw-font-markdown-table)"/>
                      <w:color w:val="auto"/>
                      <w:kern w:val="0"/>
                      <w:sz w:val="21"/>
                      <w:szCs w:val="24"/>
                      <w:lang w:val="en-US" w:eastAsia="zh-CN" w:bidi="ar"/>
                    </w:rPr>
                  </w:pPr>
                  <w:r>
                    <w:rPr>
                      <w:rFonts w:hint="eastAsia" w:ascii="Times New Roman" w:hAnsi="Times New Roman" w:eastAsia="宋体" w:cs="var(--dsw-font-markdown-table)"/>
                      <w:kern w:val="0"/>
                      <w:sz w:val="21"/>
                      <w:szCs w:val="24"/>
                      <w:lang w:val="en-US" w:eastAsia="zh-CN" w:bidi="ar"/>
                    </w:rPr>
                    <w:t>《恶臭污染物排放标准》（GB14554-93）</w:t>
                  </w:r>
                  <w:r>
                    <w:rPr>
                      <w:rFonts w:hint="default" w:ascii="Times New Roman" w:hAnsi="Times New Roman" w:eastAsia="宋体" w:cs="var(--dsw-font-markdown-table)"/>
                      <w:kern w:val="0"/>
                      <w:sz w:val="21"/>
                      <w:szCs w:val="24"/>
                      <w:lang w:val="en-US" w:eastAsia="zh-CN" w:bidi="ar"/>
                    </w:rPr>
                    <w:t>表1恶臭污染物厂界标准值（二级新扩改建）</w:t>
                  </w:r>
                </w:p>
              </w:tc>
            </w:tr>
            <w:tr w14:paraId="514D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2" w:type="dxa"/>
                  <w:vAlign w:val="center"/>
                </w:tcPr>
                <w:p w14:paraId="5E7E57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厂区内</w:t>
                  </w:r>
                </w:p>
              </w:tc>
              <w:tc>
                <w:tcPr>
                  <w:tcW w:w="1333" w:type="dxa"/>
                  <w:vAlign w:val="center"/>
                </w:tcPr>
                <w:p w14:paraId="2C2B63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非甲烷总烃</w:t>
                  </w:r>
                </w:p>
              </w:tc>
              <w:tc>
                <w:tcPr>
                  <w:tcW w:w="1167" w:type="dxa"/>
                  <w:vAlign w:val="center"/>
                </w:tcPr>
                <w:p w14:paraId="365933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color w:val="auto"/>
                      <w:kern w:val="0"/>
                      <w:sz w:val="21"/>
                      <w:szCs w:val="24"/>
                      <w:lang w:val="en-US" w:eastAsia="zh-CN" w:bidi="ar"/>
                    </w:rPr>
                    <w:t>1次/年</w:t>
                  </w:r>
                </w:p>
              </w:tc>
              <w:tc>
                <w:tcPr>
                  <w:tcW w:w="6334" w:type="dxa"/>
                  <w:vAlign w:val="center"/>
                </w:tcPr>
                <w:p w14:paraId="32D762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Segoe UI"/>
                      <w:b w:val="0"/>
                      <w:i w:val="0"/>
                      <w:iCs w:val="0"/>
                      <w:caps w:val="0"/>
                      <w:strike w:val="0"/>
                      <w:color w:val="auto"/>
                      <w:spacing w:val="0"/>
                      <w:sz w:val="21"/>
                      <w:szCs w:val="24"/>
                      <w:u w:val="none"/>
                      <w:vertAlign w:val="baseline"/>
                    </w:rPr>
                  </w:pPr>
                  <w:r>
                    <w:rPr>
                      <w:rFonts w:hint="default" w:ascii="Times New Roman" w:hAnsi="Times New Roman" w:eastAsia="宋体" w:cs="var(--dsw-font-markdown-table)"/>
                      <w:kern w:val="0"/>
                      <w:sz w:val="21"/>
                      <w:szCs w:val="24"/>
                      <w:lang w:val="en-US" w:eastAsia="zh-CN" w:bidi="ar"/>
                    </w:rPr>
                    <w:t>广东省地方标准</w:t>
                  </w:r>
                  <w:r>
                    <w:rPr>
                      <w:rFonts w:hint="eastAsia" w:ascii="Times New Roman" w:hAnsi="Times New Roman" w:eastAsia="宋体" w:cs="var(--dsw-font-markdown-table)"/>
                      <w:kern w:val="0"/>
                      <w:sz w:val="21"/>
                      <w:szCs w:val="24"/>
                      <w:lang w:val="en-US" w:eastAsia="zh-CN" w:bidi="ar"/>
                    </w:rPr>
                    <w:t>《固定污染源挥发性有机物综合排放标准》（DB44/2367-2022）</w:t>
                  </w:r>
                  <w:r>
                    <w:rPr>
                      <w:rFonts w:hint="default" w:ascii="Times New Roman" w:hAnsi="Times New Roman" w:eastAsia="宋体" w:cs="var(--dsw-font-markdown-table)"/>
                      <w:kern w:val="0"/>
                      <w:sz w:val="21"/>
                      <w:szCs w:val="24"/>
                      <w:lang w:val="en-US" w:eastAsia="zh-CN" w:bidi="ar"/>
                    </w:rPr>
                    <w:t>表3厂区内VOCs无组织排放限值</w:t>
                  </w:r>
                </w:p>
              </w:tc>
            </w:tr>
          </w:tbl>
          <w:p w14:paraId="1874C08B">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var(--dsw-font-markdown-h2)"/>
                <w:color w:val="auto"/>
                <w:sz w:val="21"/>
              </w:rPr>
            </w:pPr>
            <w:bookmarkStart w:id="54" w:name="_Toc7153"/>
            <w:bookmarkStart w:id="55" w:name="_Toc9811"/>
            <w:r>
              <w:rPr>
                <w:rFonts w:hint="eastAsia" w:ascii="Times New Roman" w:hAnsi="Times New Roman" w:eastAsia="宋体" w:cs="var(--dsw-font-markdown-h2)"/>
                <w:i w:val="0"/>
                <w:iCs w:val="0"/>
                <w:caps w:val="0"/>
                <w:color w:val="auto"/>
                <w:spacing w:val="0"/>
                <w:sz w:val="21"/>
                <w:shd w:val="clear" w:fill="FFFFFF"/>
                <w:lang w:val="en-US" w:eastAsia="zh-CN"/>
              </w:rPr>
              <w:t>6、</w:t>
            </w:r>
            <w:r>
              <w:rPr>
                <w:rFonts w:hint="default" w:ascii="Times New Roman" w:hAnsi="Times New Roman" w:eastAsia="宋体" w:cs="var(--dsw-font-markdown-h2)"/>
                <w:i w:val="0"/>
                <w:iCs w:val="0"/>
                <w:caps w:val="0"/>
                <w:color w:val="auto"/>
                <w:spacing w:val="0"/>
                <w:sz w:val="21"/>
                <w:shd w:val="clear" w:fill="FFFFFF"/>
              </w:rPr>
              <w:t>大气环境影响评价结论</w:t>
            </w:r>
            <w:bookmarkEnd w:id="54"/>
            <w:bookmarkEnd w:id="55"/>
          </w:p>
          <w:p w14:paraId="7CC8BE24">
            <w:pPr>
              <w:pStyle w:val="4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imes New Roman" w:hAnsi="Times New Roman" w:eastAsia="宋体" w:cs="var(--dsw-font-markdown-base)"/>
                <w:i w:val="0"/>
                <w:iCs w:val="0"/>
                <w:caps w:val="0"/>
                <w:color w:val="auto"/>
                <w:spacing w:val="0"/>
                <w:sz w:val="21"/>
                <w:szCs w:val="21"/>
                <w:shd w:val="clear" w:fill="FFFFFF"/>
                <w:lang w:val="en-US" w:eastAsia="zh-CN"/>
              </w:rPr>
            </w:pPr>
            <w:r>
              <w:rPr>
                <w:rFonts w:hint="default" w:ascii="Times New Roman" w:hAnsi="Times New Roman" w:eastAsia="宋体" w:cs="var(--dsw-font-markdown-base)"/>
                <w:i w:val="0"/>
                <w:iCs w:val="0"/>
                <w:caps w:val="0"/>
                <w:color w:val="auto"/>
                <w:spacing w:val="0"/>
                <w:sz w:val="21"/>
                <w:szCs w:val="21"/>
                <w:shd w:val="clear" w:fill="FFFFFF"/>
                <w:lang w:val="en-US" w:eastAsia="zh-CN"/>
              </w:rPr>
              <w:t>项目位于中山市，根据《中山市202</w:t>
            </w:r>
            <w:r>
              <w:rPr>
                <w:rFonts w:hint="eastAsia" w:ascii="Times New Roman" w:hAnsi="Times New Roman" w:cs="var(--dsw-font-markdown-base)"/>
                <w:i w:val="0"/>
                <w:iCs w:val="0"/>
                <w:caps w:val="0"/>
                <w:color w:val="auto"/>
                <w:spacing w:val="0"/>
                <w:sz w:val="21"/>
                <w:szCs w:val="21"/>
                <w:shd w:val="clear" w:fill="FFFFFF"/>
                <w:lang w:val="en-US" w:eastAsia="zh-CN"/>
              </w:rPr>
              <w:t>5</w:t>
            </w:r>
            <w:r>
              <w:rPr>
                <w:rFonts w:hint="default" w:ascii="Times New Roman" w:hAnsi="Times New Roman" w:eastAsia="宋体" w:cs="var(--dsw-font-markdown-base)"/>
                <w:i w:val="0"/>
                <w:iCs w:val="0"/>
                <w:caps w:val="0"/>
                <w:color w:val="auto"/>
                <w:spacing w:val="0"/>
                <w:sz w:val="21"/>
                <w:szCs w:val="21"/>
                <w:shd w:val="clear" w:fill="FFFFFF"/>
                <w:lang w:val="en-US" w:eastAsia="zh-CN"/>
              </w:rPr>
              <w:t>年大气环境质量状况公报》，所在区域为空气质量达标区。项目主要外排废气包括鞋底制造工序废气、鞋面制造工序废气、成品组装工序废气和食堂油烟。</w:t>
            </w:r>
          </w:p>
          <w:p w14:paraId="4A9030F1">
            <w:pPr>
              <w:pStyle w:val="4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rPr>
            </w:pPr>
            <w:r>
              <w:rPr>
                <w:rFonts w:hint="default" w:ascii="Times New Roman" w:hAnsi="Times New Roman" w:eastAsia="宋体" w:cs="var(--dsw-font-markdown-base)"/>
                <w:i w:val="0"/>
                <w:iCs w:val="0"/>
                <w:caps w:val="0"/>
                <w:color w:val="auto"/>
                <w:spacing w:val="0"/>
                <w:sz w:val="21"/>
                <w:szCs w:val="21"/>
                <w:shd w:val="clear" w:fill="FFFFFF"/>
                <w:lang w:val="en-US" w:eastAsia="zh-CN"/>
              </w:rPr>
              <w:t>项目鞋底制造工序（拌料、发泡、打粗、刷处理剂</w:t>
            </w:r>
            <w:r>
              <w:rPr>
                <w:rFonts w:hint="eastAsia" w:ascii="Times New Roman" w:hAnsi="Times New Roman" w:cs="var(--dsw-font-markdown-base)"/>
                <w:i w:val="0"/>
                <w:iCs w:val="0"/>
                <w:caps w:val="0"/>
                <w:color w:val="auto"/>
                <w:spacing w:val="0"/>
                <w:sz w:val="21"/>
                <w:szCs w:val="21"/>
                <w:shd w:val="clear" w:fill="FFFFFF"/>
                <w:lang w:val="en-US" w:eastAsia="zh-CN"/>
              </w:rPr>
              <w:t>、清洁</w:t>
            </w:r>
            <w:r>
              <w:rPr>
                <w:rFonts w:hint="default" w:ascii="Times New Roman" w:hAnsi="Times New Roman" w:eastAsia="宋体" w:cs="var(--dsw-font-markdown-base)"/>
                <w:i w:val="0"/>
                <w:iCs w:val="0"/>
                <w:caps w:val="0"/>
                <w:color w:val="auto"/>
                <w:spacing w:val="0"/>
                <w:sz w:val="21"/>
                <w:szCs w:val="21"/>
                <w:shd w:val="clear" w:fill="FFFFFF"/>
                <w:lang w:val="en-US" w:eastAsia="zh-CN"/>
              </w:rPr>
              <w:t>、刷胶</w:t>
            </w:r>
            <w:r>
              <w:rPr>
                <w:rFonts w:hint="eastAsia" w:ascii="Times New Roman" w:hAnsi="Times New Roman" w:cs="var(--dsw-font-markdown-base)"/>
                <w:i w:val="0"/>
                <w:iCs w:val="0"/>
                <w:caps w:val="0"/>
                <w:color w:val="auto"/>
                <w:spacing w:val="0"/>
                <w:sz w:val="21"/>
                <w:szCs w:val="21"/>
                <w:shd w:val="clear" w:fill="FFFFFF"/>
                <w:lang w:val="en-US" w:eastAsia="zh-CN"/>
              </w:rPr>
              <w:t>及烘干</w:t>
            </w:r>
            <w:r>
              <w:rPr>
                <w:rFonts w:hint="default" w:ascii="Times New Roman" w:hAnsi="Times New Roman" w:eastAsia="宋体" w:cs="var(--dsw-font-markdown-base)"/>
                <w:i w:val="0"/>
                <w:iCs w:val="0"/>
                <w:caps w:val="0"/>
                <w:color w:val="auto"/>
                <w:spacing w:val="0"/>
                <w:sz w:val="21"/>
                <w:szCs w:val="21"/>
                <w:shd w:val="clear" w:fill="FFFFFF"/>
                <w:lang w:val="en-US" w:eastAsia="zh-CN"/>
              </w:rPr>
              <w:t>等）产生的废气经集气罩收集后，引入一套“滤筒除尘器+二级活性炭吸附装置”处理，通过50米高排气筒（G1）排放，</w:t>
            </w:r>
            <w:r>
              <w:rPr>
                <w:rFonts w:hint="eastAsia" w:ascii="Times New Roman" w:hAnsi="Times New Roman" w:cs="var(--dsw-font-markdown-base)"/>
                <w:i w:val="0"/>
                <w:iCs w:val="0"/>
                <w:caps w:val="0"/>
                <w:color w:val="auto"/>
                <w:spacing w:val="0"/>
                <w:sz w:val="21"/>
                <w:szCs w:val="21"/>
                <w:shd w:val="clear" w:fill="FFFFFF"/>
                <w:lang w:val="en-US" w:eastAsia="zh-CN"/>
              </w:rPr>
              <w:t>排放</w:t>
            </w:r>
            <w:r>
              <w:rPr>
                <w:rFonts w:hint="default" w:ascii="Times New Roman" w:hAnsi="Times New Roman" w:eastAsia="宋体" w:cs="var(--dsw-font-markdown-base)"/>
                <w:i w:val="0"/>
                <w:iCs w:val="0"/>
                <w:caps w:val="0"/>
                <w:color w:val="auto"/>
                <w:spacing w:val="0"/>
                <w:sz w:val="21"/>
                <w:szCs w:val="21"/>
                <w:shd w:val="clear" w:fill="FFFFFF"/>
                <w:lang w:val="en-US" w:eastAsia="zh-CN"/>
              </w:rPr>
              <w:t>的非甲烷总烃有组织排放可达到</w:t>
            </w:r>
            <w:r>
              <w:rPr>
                <w:rFonts w:hint="eastAsia" w:ascii="Times New Roman" w:hAnsi="Times New Roman" w:cs="Segoe UI"/>
                <w:b w:val="0"/>
                <w:bCs w:val="0"/>
                <w:i w:val="0"/>
                <w:iCs w:val="0"/>
                <w:caps w:val="0"/>
                <w:color w:val="auto"/>
                <w:spacing w:val="0"/>
                <w:sz w:val="21"/>
                <w:szCs w:val="24"/>
                <w:shd w:val="clear" w:fill="FFFFFF"/>
                <w:lang w:val="en-US" w:eastAsia="zh-CN"/>
              </w:rPr>
              <w:t>广东省《固定污染源挥发性有机物综合排放标准》（DB44/2367-2022）表1限值</w:t>
            </w:r>
            <w:r>
              <w:rPr>
                <w:rFonts w:hint="eastAsia" w:ascii="Times New Roman" w:hAnsi="Times New Roman" w:eastAsia="宋体" w:cs="Segoe UI"/>
                <w:b w:val="0"/>
                <w:bCs w:val="0"/>
                <w:i w:val="0"/>
                <w:iCs w:val="0"/>
                <w:caps w:val="0"/>
                <w:color w:val="auto"/>
                <w:spacing w:val="0"/>
                <w:sz w:val="21"/>
                <w:szCs w:val="24"/>
                <w:shd w:val="clear" w:fill="FFFFFF"/>
                <w:lang w:val="en-US" w:eastAsia="zh-CN"/>
              </w:rPr>
              <w:t>和</w:t>
            </w:r>
            <w:r>
              <w:rPr>
                <w:rFonts w:hint="eastAsia" w:ascii="Times New Roman" w:hAnsi="Times New Roman" w:cs="Segoe UI"/>
                <w:b w:val="0"/>
                <w:bCs w:val="0"/>
                <w:i w:val="0"/>
                <w:iCs w:val="0"/>
                <w:caps w:val="0"/>
                <w:color w:val="auto"/>
                <w:spacing w:val="0"/>
                <w:sz w:val="21"/>
                <w:szCs w:val="24"/>
                <w:shd w:val="clear" w:fill="FFFFFF"/>
                <w:lang w:val="en-US" w:eastAsia="zh-CN"/>
              </w:rPr>
              <w:t>《合成树脂工业污染物排放标准》（GB31572-2015）</w:t>
            </w:r>
            <w:r>
              <w:rPr>
                <w:rFonts w:hint="default" w:ascii="Times New Roman" w:hAnsi="Times New Roman" w:eastAsia="宋体" w:cs="Segoe UI"/>
                <w:b w:val="0"/>
                <w:bCs w:val="0"/>
                <w:i w:val="0"/>
                <w:iCs w:val="0"/>
                <w:caps w:val="0"/>
                <w:color w:val="auto"/>
                <w:spacing w:val="0"/>
                <w:sz w:val="21"/>
                <w:szCs w:val="24"/>
                <w:shd w:val="clear" w:fill="FFFFFF"/>
                <w:lang w:val="en-US" w:eastAsia="zh-CN"/>
              </w:rPr>
              <w:t>表4</w:t>
            </w:r>
            <w:r>
              <w:rPr>
                <w:rFonts w:hint="eastAsia" w:ascii="Times New Roman" w:hAnsi="Times New Roman" w:eastAsia="宋体" w:cs="Segoe UI"/>
                <w:b w:val="0"/>
                <w:bCs w:val="0"/>
                <w:i w:val="0"/>
                <w:iCs w:val="0"/>
                <w:caps w:val="0"/>
                <w:color w:val="auto"/>
                <w:spacing w:val="0"/>
                <w:sz w:val="21"/>
                <w:szCs w:val="24"/>
                <w:shd w:val="clear" w:fill="FFFFFF"/>
                <w:lang w:val="en-US" w:eastAsia="zh-CN"/>
              </w:rPr>
              <w:t>较严值</w:t>
            </w:r>
            <w:r>
              <w:rPr>
                <w:rFonts w:hint="default" w:ascii="Times New Roman" w:hAnsi="Times New Roman" w:eastAsia="宋体" w:cs="var(--dsw-font-markdown-base)"/>
                <w:i w:val="0"/>
                <w:iCs w:val="0"/>
                <w:caps w:val="0"/>
                <w:color w:val="auto"/>
                <w:spacing w:val="0"/>
                <w:sz w:val="21"/>
                <w:szCs w:val="21"/>
                <w:shd w:val="clear" w:fill="FFFFFF"/>
                <w:lang w:val="en-US" w:eastAsia="zh-CN"/>
              </w:rPr>
              <w:t>；总VOCs有组织排放可达到</w:t>
            </w:r>
            <w:r>
              <w:rPr>
                <w:rFonts w:hint="eastAsia" w:ascii="Times New Roman" w:hAnsi="Times New Roman" w:cs="var(--dsw-font-markdown-base)"/>
                <w:i w:val="0"/>
                <w:iCs w:val="0"/>
                <w:caps w:val="0"/>
                <w:color w:val="auto"/>
                <w:spacing w:val="0"/>
                <w:sz w:val="21"/>
                <w:szCs w:val="21"/>
                <w:shd w:val="clear" w:fill="FFFFFF"/>
                <w:lang w:val="en-US" w:eastAsia="zh-CN"/>
              </w:rPr>
              <w:t>《制鞋行业挥发性有机化合物排放标准》（DB44/817-2010）</w:t>
            </w:r>
            <w:r>
              <w:rPr>
                <w:rFonts w:hint="default" w:ascii="Times New Roman" w:hAnsi="Times New Roman" w:eastAsia="宋体" w:cs="var(--dsw-font-markdown-base)"/>
                <w:i w:val="0"/>
                <w:iCs w:val="0"/>
                <w:caps w:val="0"/>
                <w:color w:val="auto"/>
                <w:spacing w:val="0"/>
                <w:sz w:val="21"/>
                <w:szCs w:val="21"/>
                <w:shd w:val="clear" w:fill="FFFFFF"/>
                <w:lang w:val="en-US" w:eastAsia="zh-CN"/>
              </w:rPr>
              <w:t>表1第Ⅱ时段排放限值；颗粒物有组织排放可达到</w:t>
            </w:r>
            <w:r>
              <w:rPr>
                <w:rFonts w:hint="eastAsia" w:ascii="Times New Roman" w:hAnsi="Times New Roman" w:cs="var(--dsw-font-markdown-base)"/>
                <w:i w:val="0"/>
                <w:iCs w:val="0"/>
                <w:caps w:val="0"/>
                <w:color w:val="auto"/>
                <w:spacing w:val="0"/>
                <w:sz w:val="21"/>
                <w:szCs w:val="21"/>
                <w:shd w:val="clear" w:fill="FFFFFF"/>
                <w:lang w:val="en-US" w:eastAsia="zh-CN"/>
              </w:rPr>
              <w:t>《合成树脂工业污染物排放标准》（GB31572-2015）</w:t>
            </w:r>
            <w:r>
              <w:rPr>
                <w:rFonts w:hint="default" w:ascii="Times New Roman" w:hAnsi="Times New Roman" w:eastAsia="宋体" w:cs="var(--dsw-font-markdown-base)"/>
                <w:i w:val="0"/>
                <w:iCs w:val="0"/>
                <w:caps w:val="0"/>
                <w:color w:val="auto"/>
                <w:spacing w:val="0"/>
                <w:sz w:val="21"/>
                <w:szCs w:val="21"/>
                <w:shd w:val="clear" w:fill="FFFFFF"/>
                <w:lang w:val="en-US" w:eastAsia="zh-CN"/>
              </w:rPr>
              <w:t>及其修改单表4大气污染物排放限值；臭气浓度有组织排放可达到</w:t>
            </w:r>
            <w:r>
              <w:rPr>
                <w:rFonts w:hint="eastAsia" w:ascii="Times New Roman" w:hAnsi="Times New Roman" w:cs="var(--dsw-font-markdown-base)"/>
                <w:i w:val="0"/>
                <w:iCs w:val="0"/>
                <w:caps w:val="0"/>
                <w:color w:val="auto"/>
                <w:spacing w:val="0"/>
                <w:sz w:val="21"/>
                <w:szCs w:val="21"/>
                <w:shd w:val="clear" w:fill="FFFFFF"/>
                <w:lang w:val="en-US" w:eastAsia="zh-CN"/>
              </w:rPr>
              <w:t>《恶臭污染物排放标准》（GB14554-93）</w:t>
            </w:r>
            <w:r>
              <w:rPr>
                <w:rFonts w:hint="default" w:ascii="Times New Roman" w:hAnsi="Times New Roman" w:eastAsia="宋体" w:cs="var(--dsw-font-markdown-base)"/>
                <w:i w:val="0"/>
                <w:iCs w:val="0"/>
                <w:caps w:val="0"/>
                <w:color w:val="auto"/>
                <w:spacing w:val="0"/>
                <w:sz w:val="21"/>
                <w:szCs w:val="21"/>
                <w:shd w:val="clear" w:fill="FFFFFF"/>
                <w:lang w:val="en-US" w:eastAsia="zh-CN"/>
              </w:rPr>
              <w:t>表2恶臭污染物排放标准值。</w:t>
            </w:r>
          </w:p>
          <w:p w14:paraId="12ADEED9">
            <w:pPr>
              <w:pStyle w:val="4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rPr>
            </w:pPr>
            <w:r>
              <w:rPr>
                <w:rFonts w:hint="default" w:ascii="Times New Roman" w:hAnsi="Times New Roman" w:eastAsia="宋体" w:cs="var(--dsw-font-markdown-base)"/>
                <w:i w:val="0"/>
                <w:iCs w:val="0"/>
                <w:caps w:val="0"/>
                <w:color w:val="auto"/>
                <w:spacing w:val="0"/>
                <w:sz w:val="21"/>
                <w:szCs w:val="21"/>
                <w:shd w:val="clear" w:fill="FFFFFF"/>
                <w:lang w:val="en-US" w:eastAsia="zh-CN"/>
              </w:rPr>
              <w:t>项目鞋面制造工序（UV打印、打转印纸）产生的废气经</w:t>
            </w:r>
            <w:r>
              <w:rPr>
                <w:rFonts w:hint="eastAsia" w:ascii="Times New Roman" w:hAnsi="Times New Roman" w:cs="var(--dsw-font-markdown-base)"/>
                <w:i w:val="0"/>
                <w:iCs w:val="0"/>
                <w:caps w:val="0"/>
                <w:color w:val="auto"/>
                <w:spacing w:val="0"/>
                <w:sz w:val="21"/>
                <w:szCs w:val="21"/>
                <w:shd w:val="clear" w:fill="FFFFFF"/>
                <w:lang w:val="en-US" w:eastAsia="zh-CN"/>
              </w:rPr>
              <w:t>密闭负压车间</w:t>
            </w:r>
            <w:r>
              <w:rPr>
                <w:rFonts w:hint="default" w:ascii="Times New Roman" w:hAnsi="Times New Roman" w:eastAsia="宋体" w:cs="var(--dsw-font-markdown-base)"/>
                <w:i w:val="0"/>
                <w:iCs w:val="0"/>
                <w:caps w:val="0"/>
                <w:color w:val="auto"/>
                <w:spacing w:val="0"/>
                <w:sz w:val="21"/>
                <w:szCs w:val="21"/>
                <w:shd w:val="clear" w:fill="FFFFFF"/>
                <w:lang w:val="en-US" w:eastAsia="zh-CN"/>
              </w:rPr>
              <w:t>收集后，引入一套“二级活性炭吸附装置”处理，通过50米高排气筒（G</w:t>
            </w:r>
            <w:r>
              <w:rPr>
                <w:rFonts w:hint="eastAsia" w:ascii="Times New Roman" w:hAnsi="Times New Roman" w:eastAsia="宋体" w:cs="var(--dsw-font-markdown-base)"/>
                <w:i w:val="0"/>
                <w:iCs w:val="0"/>
                <w:caps w:val="0"/>
                <w:color w:val="auto"/>
                <w:spacing w:val="0"/>
                <w:sz w:val="21"/>
                <w:szCs w:val="21"/>
                <w:shd w:val="clear" w:fill="FFFFFF"/>
                <w:lang w:val="en-US" w:eastAsia="zh-CN"/>
              </w:rPr>
              <w:t>9</w:t>
            </w:r>
            <w:r>
              <w:rPr>
                <w:rFonts w:hint="default" w:ascii="Times New Roman" w:hAnsi="Times New Roman" w:eastAsia="宋体" w:cs="var(--dsw-font-markdown-base)"/>
                <w:i w:val="0"/>
                <w:iCs w:val="0"/>
                <w:caps w:val="0"/>
                <w:color w:val="auto"/>
                <w:spacing w:val="0"/>
                <w:sz w:val="21"/>
                <w:szCs w:val="21"/>
                <w:shd w:val="clear" w:fill="FFFFFF"/>
                <w:lang w:val="en-US" w:eastAsia="zh-CN"/>
              </w:rPr>
              <w:t>）排放，</w:t>
            </w:r>
            <w:r>
              <w:rPr>
                <w:rFonts w:hint="eastAsia" w:ascii="Times New Roman" w:hAnsi="Times New Roman" w:cs="var(--dsw-font-markdown-base)"/>
                <w:i w:val="0"/>
                <w:iCs w:val="0"/>
                <w:caps w:val="0"/>
                <w:color w:val="auto"/>
                <w:spacing w:val="0"/>
                <w:sz w:val="21"/>
                <w:szCs w:val="21"/>
                <w:shd w:val="clear" w:fill="FFFFFF"/>
                <w:lang w:val="en-US" w:eastAsia="zh-CN"/>
              </w:rPr>
              <w:t>排放</w:t>
            </w:r>
            <w:r>
              <w:rPr>
                <w:rFonts w:hint="default" w:ascii="Times New Roman" w:hAnsi="Times New Roman" w:eastAsia="宋体" w:cs="var(--dsw-font-markdown-base)"/>
                <w:i w:val="0"/>
                <w:iCs w:val="0"/>
                <w:caps w:val="0"/>
                <w:color w:val="auto"/>
                <w:spacing w:val="0"/>
                <w:sz w:val="21"/>
                <w:szCs w:val="21"/>
                <w:shd w:val="clear" w:fill="FFFFFF"/>
                <w:lang w:val="en-US" w:eastAsia="zh-CN"/>
              </w:rPr>
              <w:t>的</w:t>
            </w:r>
            <w:r>
              <w:rPr>
                <w:rFonts w:hint="default" w:ascii="Times New Roman" w:hAnsi="Times New Roman" w:eastAsia="宋体" w:cs="Segoe UI"/>
                <w:b w:val="0"/>
                <w:bCs w:val="0"/>
                <w:i w:val="0"/>
                <w:iCs w:val="0"/>
                <w:caps w:val="0"/>
                <w:strike w:val="0"/>
                <w:color w:val="auto"/>
                <w:spacing w:val="0"/>
                <w:sz w:val="21"/>
                <w:szCs w:val="24"/>
                <w:u w:val="none"/>
                <w:lang w:val="en-US" w:eastAsia="zh-CN"/>
              </w:rPr>
              <w:t>非甲烷总烃满足</w:t>
            </w:r>
            <w:r>
              <w:rPr>
                <w:rFonts w:hint="eastAsia" w:ascii="Times New Roman" w:hAnsi="Times New Roman" w:eastAsia="宋体" w:cs="Segoe UI"/>
                <w:b w:val="0"/>
                <w:bCs w:val="0"/>
                <w:i w:val="0"/>
                <w:iCs w:val="0"/>
                <w:caps w:val="0"/>
                <w:strike w:val="0"/>
                <w:color w:val="auto"/>
                <w:spacing w:val="0"/>
                <w:sz w:val="21"/>
                <w:szCs w:val="24"/>
                <w:u w:val="none"/>
                <w:lang w:val="en-US" w:eastAsia="zh-CN"/>
              </w:rPr>
              <w:t>《印刷工业大气污染物排放标准》（</w:t>
            </w:r>
            <w:r>
              <w:rPr>
                <w:rFonts w:hint="default" w:ascii="Times New Roman" w:hAnsi="Times New Roman" w:eastAsia="宋体" w:cs="Segoe UI"/>
                <w:b w:val="0"/>
                <w:bCs w:val="0"/>
                <w:i w:val="0"/>
                <w:iCs w:val="0"/>
                <w:caps w:val="0"/>
                <w:strike w:val="0"/>
                <w:color w:val="auto"/>
                <w:spacing w:val="0"/>
                <w:sz w:val="21"/>
                <w:szCs w:val="24"/>
                <w:u w:val="none"/>
                <w:lang w:val="en-US" w:eastAsia="zh-CN"/>
              </w:rPr>
              <w:t>GB41616-2022</w:t>
            </w:r>
            <w:r>
              <w:rPr>
                <w:rFonts w:hint="eastAsia" w:ascii="Times New Roman" w:hAnsi="Times New Roman" w:eastAsia="宋体" w:cs="Segoe UI"/>
                <w:b w:val="0"/>
                <w:bCs w:val="0"/>
                <w:i w:val="0"/>
                <w:iCs w:val="0"/>
                <w:caps w:val="0"/>
                <w:strike w:val="0"/>
                <w:color w:val="auto"/>
                <w:spacing w:val="0"/>
                <w:sz w:val="21"/>
                <w:szCs w:val="24"/>
                <w:u w:val="none"/>
                <w:lang w:val="en-US" w:eastAsia="zh-CN"/>
              </w:rPr>
              <w:t>）表</w:t>
            </w:r>
            <w:r>
              <w:rPr>
                <w:rFonts w:hint="default" w:ascii="Times New Roman" w:hAnsi="Times New Roman" w:eastAsia="宋体" w:cs="Segoe UI"/>
                <w:b w:val="0"/>
                <w:bCs w:val="0"/>
                <w:i w:val="0"/>
                <w:iCs w:val="0"/>
                <w:caps w:val="0"/>
                <w:strike w:val="0"/>
                <w:color w:val="auto"/>
                <w:spacing w:val="0"/>
                <w:sz w:val="21"/>
                <w:szCs w:val="24"/>
                <w:u w:val="none"/>
                <w:lang w:val="en-US" w:eastAsia="zh-CN"/>
              </w:rPr>
              <w:t>1</w:t>
            </w:r>
            <w:r>
              <w:rPr>
                <w:rFonts w:hint="eastAsia" w:ascii="Times New Roman" w:hAnsi="Times New Roman" w:eastAsia="宋体" w:cs="Segoe UI"/>
                <w:b w:val="0"/>
                <w:bCs w:val="0"/>
                <w:i w:val="0"/>
                <w:iCs w:val="0"/>
                <w:caps w:val="0"/>
                <w:strike w:val="0"/>
                <w:color w:val="auto"/>
                <w:spacing w:val="0"/>
                <w:sz w:val="21"/>
                <w:szCs w:val="24"/>
                <w:u w:val="none"/>
                <w:lang w:val="en-US" w:eastAsia="zh-CN"/>
              </w:rPr>
              <w:t>大气污染物排放限值</w:t>
            </w:r>
            <w:r>
              <w:rPr>
                <w:rFonts w:hint="default" w:ascii="Times New Roman" w:hAnsi="Times New Roman" w:eastAsia="宋体" w:cs="Segoe UI"/>
                <w:b w:val="0"/>
                <w:bCs w:val="0"/>
                <w:i w:val="0"/>
                <w:iCs w:val="0"/>
                <w:caps w:val="0"/>
                <w:strike w:val="0"/>
                <w:color w:val="auto"/>
                <w:spacing w:val="0"/>
                <w:sz w:val="21"/>
                <w:szCs w:val="24"/>
                <w:u w:val="none"/>
                <w:lang w:val="en-US" w:eastAsia="zh-CN"/>
              </w:rPr>
              <w:t>；</w:t>
            </w:r>
            <w:r>
              <w:rPr>
                <w:rFonts w:hint="eastAsia" w:ascii="Times New Roman" w:hAnsi="Times New Roman" w:eastAsia="宋体" w:cs="Segoe UI"/>
                <w:b w:val="0"/>
                <w:bCs w:val="0"/>
                <w:i w:val="0"/>
                <w:iCs w:val="0"/>
                <w:caps w:val="0"/>
                <w:strike w:val="0"/>
                <w:color w:val="auto"/>
                <w:spacing w:val="0"/>
                <w:sz w:val="21"/>
                <w:szCs w:val="24"/>
                <w:u w:val="none"/>
                <w:lang w:val="en-US" w:eastAsia="zh-CN"/>
              </w:rPr>
              <w:t>总</w:t>
            </w:r>
            <w:r>
              <w:rPr>
                <w:rFonts w:hint="default" w:ascii="Times New Roman" w:hAnsi="Times New Roman" w:eastAsia="宋体" w:cs="Segoe UI"/>
                <w:b w:val="0"/>
                <w:bCs w:val="0"/>
                <w:i w:val="0"/>
                <w:iCs w:val="0"/>
                <w:caps w:val="0"/>
                <w:strike w:val="0"/>
                <w:color w:val="auto"/>
                <w:spacing w:val="0"/>
                <w:sz w:val="21"/>
                <w:szCs w:val="24"/>
                <w:u w:val="none"/>
                <w:lang w:val="en-US" w:eastAsia="zh-CN"/>
              </w:rPr>
              <w:t>VOCs</w:t>
            </w:r>
            <w:r>
              <w:rPr>
                <w:rFonts w:hint="eastAsia" w:ascii="Times New Roman" w:hAnsi="Times New Roman" w:eastAsia="宋体" w:cs="Segoe UI"/>
                <w:b w:val="0"/>
                <w:bCs w:val="0"/>
                <w:i w:val="0"/>
                <w:iCs w:val="0"/>
                <w:caps w:val="0"/>
                <w:strike w:val="0"/>
                <w:color w:val="auto"/>
                <w:spacing w:val="0"/>
                <w:sz w:val="21"/>
                <w:szCs w:val="24"/>
                <w:u w:val="none"/>
                <w:lang w:val="en-US" w:eastAsia="zh-CN"/>
              </w:rPr>
              <w:t>满足《制鞋行业挥发性有机化合物排放标准》（</w:t>
            </w:r>
            <w:r>
              <w:rPr>
                <w:rFonts w:hint="default" w:ascii="Times New Roman" w:hAnsi="Times New Roman" w:eastAsia="宋体" w:cs="Segoe UI"/>
                <w:b w:val="0"/>
                <w:bCs w:val="0"/>
                <w:i w:val="0"/>
                <w:iCs w:val="0"/>
                <w:caps w:val="0"/>
                <w:strike w:val="0"/>
                <w:color w:val="auto"/>
                <w:spacing w:val="0"/>
                <w:sz w:val="21"/>
                <w:szCs w:val="24"/>
                <w:u w:val="none"/>
                <w:lang w:val="en-US" w:eastAsia="zh-CN"/>
              </w:rPr>
              <w:t>DB44 817-2010</w:t>
            </w:r>
            <w:r>
              <w:rPr>
                <w:rFonts w:hint="eastAsia" w:ascii="Times New Roman" w:hAnsi="Times New Roman" w:eastAsia="宋体" w:cs="Segoe UI"/>
                <w:b w:val="0"/>
                <w:bCs w:val="0"/>
                <w:i w:val="0"/>
                <w:iCs w:val="0"/>
                <w:caps w:val="0"/>
                <w:strike w:val="0"/>
                <w:color w:val="auto"/>
                <w:spacing w:val="0"/>
                <w:sz w:val="21"/>
                <w:szCs w:val="24"/>
                <w:u w:val="none"/>
                <w:lang w:val="en-US" w:eastAsia="zh-CN"/>
              </w:rPr>
              <w:t>）表</w:t>
            </w:r>
            <w:r>
              <w:rPr>
                <w:rFonts w:hint="default" w:ascii="Times New Roman" w:hAnsi="Times New Roman" w:eastAsia="宋体" w:cs="Segoe UI"/>
                <w:b w:val="0"/>
                <w:bCs w:val="0"/>
                <w:i w:val="0"/>
                <w:iCs w:val="0"/>
                <w:caps w:val="0"/>
                <w:strike w:val="0"/>
                <w:color w:val="auto"/>
                <w:spacing w:val="0"/>
                <w:sz w:val="21"/>
                <w:szCs w:val="24"/>
                <w:u w:val="none"/>
                <w:lang w:val="en-US" w:eastAsia="zh-CN"/>
              </w:rPr>
              <w:t>1</w:t>
            </w:r>
            <w:r>
              <w:rPr>
                <w:rFonts w:hint="eastAsia" w:ascii="Times New Roman" w:hAnsi="Times New Roman" w:eastAsia="宋体" w:cs="Segoe UI"/>
                <w:b w:val="0"/>
                <w:bCs w:val="0"/>
                <w:i w:val="0"/>
                <w:iCs w:val="0"/>
                <w:caps w:val="0"/>
                <w:strike w:val="0"/>
                <w:color w:val="auto"/>
                <w:spacing w:val="0"/>
                <w:sz w:val="21"/>
                <w:szCs w:val="24"/>
                <w:u w:val="none"/>
                <w:lang w:val="en-US" w:eastAsia="zh-CN"/>
              </w:rPr>
              <w:t>第</w:t>
            </w:r>
            <w:r>
              <w:rPr>
                <w:rFonts w:hint="default" w:ascii="Times New Roman" w:hAnsi="Times New Roman" w:eastAsia="宋体" w:cs="Segoe UI"/>
                <w:b w:val="0"/>
                <w:bCs w:val="0"/>
                <w:i w:val="0"/>
                <w:iCs w:val="0"/>
                <w:caps w:val="0"/>
                <w:strike w:val="0"/>
                <w:color w:val="auto"/>
                <w:spacing w:val="0"/>
                <w:sz w:val="21"/>
                <w:szCs w:val="24"/>
                <w:u w:val="none"/>
                <w:lang w:val="en-US" w:eastAsia="zh-CN"/>
              </w:rPr>
              <w:t>II</w:t>
            </w:r>
            <w:r>
              <w:rPr>
                <w:rFonts w:hint="eastAsia" w:ascii="Times New Roman" w:hAnsi="Times New Roman" w:eastAsia="宋体" w:cs="Segoe UI"/>
                <w:b w:val="0"/>
                <w:bCs w:val="0"/>
                <w:i w:val="0"/>
                <w:iCs w:val="0"/>
                <w:caps w:val="0"/>
                <w:strike w:val="0"/>
                <w:color w:val="auto"/>
                <w:spacing w:val="0"/>
                <w:sz w:val="21"/>
                <w:szCs w:val="24"/>
                <w:u w:val="none"/>
                <w:lang w:val="en-US" w:eastAsia="zh-CN"/>
              </w:rPr>
              <w:t>时段排放限值要求与广东省地方标准《印刷行业挥发性有机化合物排放标准》（</w:t>
            </w:r>
            <w:r>
              <w:rPr>
                <w:rFonts w:hint="default" w:ascii="Times New Roman" w:hAnsi="Times New Roman" w:eastAsia="宋体" w:cs="Segoe UI"/>
                <w:b w:val="0"/>
                <w:bCs w:val="0"/>
                <w:i w:val="0"/>
                <w:iCs w:val="0"/>
                <w:caps w:val="0"/>
                <w:strike w:val="0"/>
                <w:color w:val="auto"/>
                <w:spacing w:val="0"/>
                <w:sz w:val="21"/>
                <w:szCs w:val="24"/>
                <w:u w:val="none"/>
                <w:lang w:val="en-US" w:eastAsia="zh-CN"/>
              </w:rPr>
              <w:t>DB44/815-2010</w:t>
            </w:r>
            <w:r>
              <w:rPr>
                <w:rFonts w:hint="eastAsia" w:ascii="Times New Roman" w:hAnsi="Times New Roman" w:eastAsia="宋体" w:cs="Segoe UI"/>
                <w:b w:val="0"/>
                <w:bCs w:val="0"/>
                <w:i w:val="0"/>
                <w:iCs w:val="0"/>
                <w:caps w:val="0"/>
                <w:strike w:val="0"/>
                <w:color w:val="auto"/>
                <w:spacing w:val="0"/>
                <w:sz w:val="21"/>
                <w:szCs w:val="24"/>
                <w:u w:val="none"/>
                <w:lang w:val="en-US" w:eastAsia="zh-CN"/>
              </w:rPr>
              <w:t>）表</w:t>
            </w:r>
            <w:r>
              <w:rPr>
                <w:rFonts w:hint="default" w:ascii="Times New Roman" w:hAnsi="Times New Roman" w:eastAsia="宋体" w:cs="Segoe UI"/>
                <w:b w:val="0"/>
                <w:bCs w:val="0"/>
                <w:i w:val="0"/>
                <w:iCs w:val="0"/>
                <w:caps w:val="0"/>
                <w:strike w:val="0"/>
                <w:color w:val="auto"/>
                <w:spacing w:val="0"/>
                <w:sz w:val="21"/>
                <w:szCs w:val="24"/>
                <w:u w:val="none"/>
                <w:lang w:val="en-US" w:eastAsia="zh-CN"/>
              </w:rPr>
              <w:t>2</w:t>
            </w:r>
            <w:r>
              <w:rPr>
                <w:rFonts w:hint="eastAsia" w:ascii="Times New Roman" w:hAnsi="Times New Roman" w:eastAsia="宋体" w:cs="Segoe UI"/>
                <w:b w:val="0"/>
                <w:bCs w:val="0"/>
                <w:i w:val="0"/>
                <w:iCs w:val="0"/>
                <w:caps w:val="0"/>
                <w:strike w:val="0"/>
                <w:color w:val="auto"/>
                <w:spacing w:val="0"/>
                <w:sz w:val="21"/>
                <w:szCs w:val="24"/>
                <w:u w:val="none"/>
                <w:lang w:val="en-US" w:eastAsia="zh-CN"/>
              </w:rPr>
              <w:t>排气筒</w:t>
            </w:r>
            <w:r>
              <w:rPr>
                <w:rFonts w:hint="default" w:ascii="Times New Roman" w:hAnsi="Times New Roman" w:eastAsia="宋体" w:cs="Segoe UI"/>
                <w:b w:val="0"/>
                <w:bCs w:val="0"/>
                <w:i w:val="0"/>
                <w:iCs w:val="0"/>
                <w:caps w:val="0"/>
                <w:strike w:val="0"/>
                <w:color w:val="auto"/>
                <w:spacing w:val="0"/>
                <w:sz w:val="21"/>
                <w:szCs w:val="24"/>
                <w:u w:val="none"/>
                <w:lang w:val="en-US" w:eastAsia="zh-CN"/>
              </w:rPr>
              <w:t>VOCs</w:t>
            </w:r>
            <w:r>
              <w:rPr>
                <w:rFonts w:hint="eastAsia" w:ascii="Times New Roman" w:hAnsi="Times New Roman" w:eastAsia="宋体" w:cs="Segoe UI"/>
                <w:b w:val="0"/>
                <w:bCs w:val="0"/>
                <w:i w:val="0"/>
                <w:iCs w:val="0"/>
                <w:caps w:val="0"/>
                <w:strike w:val="0"/>
                <w:color w:val="auto"/>
                <w:spacing w:val="0"/>
                <w:sz w:val="21"/>
                <w:szCs w:val="24"/>
                <w:u w:val="none"/>
                <w:lang w:val="en-US" w:eastAsia="zh-CN"/>
              </w:rPr>
              <w:t>排放限值（第</w:t>
            </w:r>
            <w:r>
              <w:rPr>
                <w:rFonts w:hint="default" w:ascii="Times New Roman" w:hAnsi="Times New Roman" w:eastAsia="宋体" w:cs="Segoe UI"/>
                <w:b w:val="0"/>
                <w:bCs w:val="0"/>
                <w:i w:val="0"/>
                <w:iCs w:val="0"/>
                <w:caps w:val="0"/>
                <w:strike w:val="0"/>
                <w:color w:val="auto"/>
                <w:spacing w:val="0"/>
                <w:sz w:val="21"/>
                <w:szCs w:val="24"/>
                <w:u w:val="none"/>
                <w:lang w:val="en-US" w:eastAsia="zh-CN"/>
              </w:rPr>
              <w:t>Ⅱ</w:t>
            </w:r>
            <w:r>
              <w:rPr>
                <w:rFonts w:hint="eastAsia" w:ascii="Times New Roman" w:hAnsi="Times New Roman" w:eastAsia="宋体" w:cs="Segoe UI"/>
                <w:b w:val="0"/>
                <w:bCs w:val="0"/>
                <w:i w:val="0"/>
                <w:iCs w:val="0"/>
                <w:caps w:val="0"/>
                <w:strike w:val="0"/>
                <w:color w:val="auto"/>
                <w:spacing w:val="0"/>
                <w:sz w:val="21"/>
                <w:szCs w:val="24"/>
                <w:u w:val="none"/>
                <w:lang w:val="en-US" w:eastAsia="zh-CN"/>
              </w:rPr>
              <w:t>时段）较严值；</w:t>
            </w:r>
            <w:r>
              <w:rPr>
                <w:rFonts w:hint="default" w:ascii="Times New Roman" w:hAnsi="Times New Roman" w:eastAsia="宋体" w:cs="Segoe UI"/>
                <w:b w:val="0"/>
                <w:bCs w:val="0"/>
                <w:i w:val="0"/>
                <w:iCs w:val="0"/>
                <w:caps w:val="0"/>
                <w:strike w:val="0"/>
                <w:color w:val="auto"/>
                <w:spacing w:val="0"/>
                <w:sz w:val="21"/>
                <w:szCs w:val="24"/>
                <w:u w:val="none"/>
                <w:lang w:val="en-US" w:eastAsia="zh-CN"/>
              </w:rPr>
              <w:t>臭气浓度满足《恶臭污染物排放标准》（GB14554-93）表2恶臭污染物排放标准值；</w:t>
            </w:r>
            <w:r>
              <w:rPr>
                <w:rFonts w:hint="eastAsia" w:ascii="Times New Roman" w:hAnsi="Times New Roman" w:eastAsia="宋体" w:cs="var(--dsw-font-markdown-base)"/>
                <w:i w:val="0"/>
                <w:iCs w:val="0"/>
                <w:caps w:val="0"/>
                <w:color w:val="auto"/>
                <w:spacing w:val="0"/>
                <w:sz w:val="21"/>
                <w:szCs w:val="21"/>
                <w:shd w:val="clear" w:fill="FFFFFF"/>
                <w:lang w:val="en-US" w:eastAsia="zh-CN"/>
              </w:rPr>
              <w:t>激光切割、转印、丝印、高频、热压、熔断、烫布标等工序在加热过程中会产生</w:t>
            </w:r>
            <w:r>
              <w:rPr>
                <w:rFonts w:hint="default" w:ascii="Times New Roman" w:hAnsi="Times New Roman" w:eastAsia="宋体" w:cs="var(--dsw-font-markdown-base)"/>
                <w:i w:val="0"/>
                <w:iCs w:val="0"/>
                <w:caps w:val="0"/>
                <w:color w:val="auto"/>
                <w:spacing w:val="0"/>
                <w:sz w:val="21"/>
                <w:szCs w:val="21"/>
                <w:shd w:val="clear" w:fill="FFFFFF"/>
              </w:rPr>
              <w:t>烟尘（颗粒物）</w:t>
            </w:r>
            <w:r>
              <w:rPr>
                <w:rFonts w:hint="eastAsia" w:ascii="Times New Roman" w:hAnsi="Times New Roman" w:eastAsia="宋体" w:cs="var(--dsw-font-markdown-base)"/>
                <w:i w:val="0"/>
                <w:iCs w:val="0"/>
                <w:caps w:val="0"/>
                <w:color w:val="auto"/>
                <w:spacing w:val="0"/>
                <w:sz w:val="21"/>
                <w:szCs w:val="21"/>
                <w:shd w:val="clear" w:fill="FFFFFF"/>
                <w:lang w:eastAsia="zh-CN"/>
              </w:rPr>
              <w:t>、</w:t>
            </w:r>
            <w:r>
              <w:rPr>
                <w:rFonts w:hint="default" w:ascii="Times New Roman" w:hAnsi="Times New Roman" w:eastAsia="宋体" w:cs="var(--dsw-font-markdown-base)"/>
                <w:i w:val="0"/>
                <w:iCs w:val="0"/>
                <w:caps w:val="0"/>
                <w:color w:val="auto"/>
                <w:spacing w:val="0"/>
                <w:sz w:val="21"/>
                <w:szCs w:val="21"/>
                <w:shd w:val="clear" w:fill="FFFFFF"/>
                <w:lang w:val="en-US" w:eastAsia="zh-CN"/>
              </w:rPr>
              <w:t>少量有机废气（非甲烷总烃）和臭气浓度</w:t>
            </w:r>
            <w:r>
              <w:rPr>
                <w:rFonts w:hint="eastAsia" w:ascii="Times New Roman" w:hAnsi="Times New Roman" w:eastAsia="宋体" w:cs="var(--dsw-font-markdown-base)"/>
                <w:i w:val="0"/>
                <w:iCs w:val="0"/>
                <w:caps w:val="0"/>
                <w:color w:val="auto"/>
                <w:spacing w:val="0"/>
                <w:sz w:val="21"/>
                <w:szCs w:val="21"/>
                <w:shd w:val="clear" w:fill="FFFFFF"/>
                <w:lang w:val="en-US" w:eastAsia="zh-CN"/>
              </w:rPr>
              <w:t>，经加强车间通风换气后以无组织形式排放</w:t>
            </w:r>
          </w:p>
          <w:p w14:paraId="06CFF144">
            <w:pPr>
              <w:pStyle w:val="4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var(--dsw-font-markdown-base)"/>
                <w:i w:val="0"/>
                <w:iCs w:val="0"/>
                <w:caps w:val="0"/>
                <w:color w:val="auto"/>
                <w:spacing w:val="0"/>
                <w:sz w:val="21"/>
                <w:szCs w:val="21"/>
                <w:shd w:val="clear" w:fill="FFFFFF"/>
                <w:lang w:val="en-US" w:eastAsia="zh-CN"/>
              </w:rPr>
            </w:pPr>
            <w:r>
              <w:rPr>
                <w:rFonts w:hint="default" w:ascii="Times New Roman" w:hAnsi="Times New Roman" w:eastAsia="宋体" w:cs="var(--dsw-font-markdown-base)"/>
                <w:i w:val="0"/>
                <w:iCs w:val="0"/>
                <w:caps w:val="0"/>
                <w:color w:val="auto"/>
                <w:spacing w:val="0"/>
                <w:sz w:val="21"/>
                <w:szCs w:val="21"/>
                <w:shd w:val="clear" w:fill="FFFFFF"/>
                <w:lang w:val="en-US" w:eastAsia="zh-CN"/>
              </w:rPr>
              <w:t>成品组装工序（刷处理剂、</w:t>
            </w:r>
            <w:r>
              <w:rPr>
                <w:rFonts w:hint="eastAsia" w:ascii="Times New Roman" w:hAnsi="Times New Roman" w:cs="var(--dsw-font-markdown-base)"/>
                <w:i w:val="0"/>
                <w:iCs w:val="0"/>
                <w:caps w:val="0"/>
                <w:color w:val="auto"/>
                <w:spacing w:val="0"/>
                <w:sz w:val="21"/>
                <w:szCs w:val="21"/>
                <w:shd w:val="clear" w:fill="FFFFFF"/>
                <w:lang w:val="en-US" w:eastAsia="zh-CN"/>
              </w:rPr>
              <w:t>清洁、</w:t>
            </w:r>
            <w:r>
              <w:rPr>
                <w:rFonts w:hint="default" w:ascii="Times New Roman" w:hAnsi="Times New Roman" w:eastAsia="宋体" w:cs="var(--dsw-font-markdown-base)"/>
                <w:i w:val="0"/>
                <w:iCs w:val="0"/>
                <w:caps w:val="0"/>
                <w:color w:val="auto"/>
                <w:spacing w:val="0"/>
                <w:sz w:val="21"/>
                <w:szCs w:val="21"/>
                <w:shd w:val="clear" w:fill="FFFFFF"/>
                <w:lang w:val="en-US" w:eastAsia="zh-CN"/>
              </w:rPr>
              <w:t>刷胶</w:t>
            </w:r>
            <w:r>
              <w:rPr>
                <w:rFonts w:hint="eastAsia" w:ascii="Times New Roman" w:hAnsi="Times New Roman" w:cs="var(--dsw-font-markdown-base)"/>
                <w:i w:val="0"/>
                <w:iCs w:val="0"/>
                <w:caps w:val="0"/>
                <w:color w:val="auto"/>
                <w:spacing w:val="0"/>
                <w:sz w:val="21"/>
                <w:szCs w:val="21"/>
                <w:shd w:val="clear" w:fill="FFFFFF"/>
                <w:lang w:val="en-US" w:eastAsia="zh-CN"/>
              </w:rPr>
              <w:t>及烘干</w:t>
            </w:r>
            <w:r>
              <w:rPr>
                <w:rFonts w:hint="default" w:ascii="Times New Roman" w:hAnsi="Times New Roman" w:eastAsia="宋体" w:cs="var(--dsw-font-markdown-base)"/>
                <w:i w:val="0"/>
                <w:iCs w:val="0"/>
                <w:caps w:val="0"/>
                <w:color w:val="auto"/>
                <w:spacing w:val="0"/>
                <w:sz w:val="21"/>
                <w:szCs w:val="21"/>
                <w:shd w:val="clear" w:fill="FFFFFF"/>
                <w:lang w:val="en-US" w:eastAsia="zh-CN"/>
              </w:rPr>
              <w:t>）废气经集气罩收集后经二级活性炭处理，分别通过</w:t>
            </w:r>
            <w:r>
              <w:rPr>
                <w:rFonts w:hint="eastAsia" w:ascii="Times New Roman" w:hAnsi="Times New Roman" w:cs="var(--dsw-font-markdown-base)"/>
                <w:i w:val="0"/>
                <w:iCs w:val="0"/>
                <w:caps w:val="0"/>
                <w:color w:val="auto"/>
                <w:spacing w:val="0"/>
                <w:sz w:val="21"/>
                <w:szCs w:val="21"/>
                <w:shd w:val="clear" w:fill="FFFFFF"/>
                <w:lang w:val="en-US" w:eastAsia="zh-CN"/>
              </w:rPr>
              <w:t>G2~G7</w:t>
            </w:r>
            <w:r>
              <w:rPr>
                <w:rFonts w:hint="default" w:ascii="Times New Roman" w:hAnsi="Times New Roman" w:eastAsia="宋体" w:cs="var(--dsw-font-markdown-base)"/>
                <w:i w:val="0"/>
                <w:iCs w:val="0"/>
                <w:caps w:val="0"/>
                <w:color w:val="auto"/>
                <w:spacing w:val="0"/>
                <w:sz w:val="21"/>
                <w:szCs w:val="21"/>
                <w:shd w:val="clear" w:fill="FFFFFF"/>
                <w:lang w:val="en-US" w:eastAsia="zh-CN"/>
              </w:rPr>
              <w:t>排气筒（50m高）有组织排放。非甲烷总烃有组织排放执行</w:t>
            </w:r>
            <w:r>
              <w:rPr>
                <w:rFonts w:hint="eastAsia" w:ascii="Times New Roman" w:hAnsi="Times New Roman" w:cs="Segoe UI"/>
                <w:b w:val="0"/>
                <w:bCs w:val="0"/>
                <w:i w:val="0"/>
                <w:iCs w:val="0"/>
                <w:caps w:val="0"/>
                <w:color w:val="auto"/>
                <w:spacing w:val="0"/>
                <w:sz w:val="21"/>
                <w:szCs w:val="24"/>
                <w:shd w:val="clear" w:fill="FFFFFF"/>
                <w:lang w:val="en-US" w:eastAsia="zh-CN"/>
              </w:rPr>
              <w:t>广东省《固定污染源挥发性有机物综合排放标准》（DB44/2367-2022）表1限值</w:t>
            </w:r>
            <w:r>
              <w:rPr>
                <w:rFonts w:hint="default" w:ascii="Times New Roman" w:hAnsi="Times New Roman" w:eastAsia="宋体" w:cs="var(--dsw-font-markdown-base)"/>
                <w:i w:val="0"/>
                <w:iCs w:val="0"/>
                <w:caps w:val="0"/>
                <w:color w:val="auto"/>
                <w:spacing w:val="0"/>
                <w:sz w:val="21"/>
                <w:szCs w:val="21"/>
                <w:shd w:val="clear" w:fill="FFFFFF"/>
                <w:lang w:val="en-US" w:eastAsia="zh-CN"/>
              </w:rPr>
              <w:t>；总VOCs有组织排放执行广东省</w:t>
            </w:r>
            <w:r>
              <w:rPr>
                <w:rFonts w:hint="eastAsia" w:ascii="Times New Roman" w:hAnsi="Times New Roman" w:cs="var(--dsw-font-markdown-base)"/>
                <w:i w:val="0"/>
                <w:iCs w:val="0"/>
                <w:caps w:val="0"/>
                <w:color w:val="auto"/>
                <w:spacing w:val="0"/>
                <w:sz w:val="21"/>
                <w:szCs w:val="21"/>
                <w:shd w:val="clear" w:fill="FFFFFF"/>
                <w:lang w:val="en-US" w:eastAsia="zh-CN"/>
              </w:rPr>
              <w:t>《制鞋行业挥发性有机化合物排放标准》（DB44/817-2010）</w:t>
            </w:r>
            <w:r>
              <w:rPr>
                <w:rFonts w:hint="default" w:ascii="Times New Roman" w:hAnsi="Times New Roman" w:eastAsia="宋体" w:cs="var(--dsw-font-markdown-base)"/>
                <w:i w:val="0"/>
                <w:iCs w:val="0"/>
                <w:caps w:val="0"/>
                <w:color w:val="auto"/>
                <w:spacing w:val="0"/>
                <w:sz w:val="21"/>
                <w:szCs w:val="21"/>
                <w:shd w:val="clear" w:fill="FFFFFF"/>
                <w:lang w:val="en-US" w:eastAsia="zh-CN"/>
              </w:rPr>
              <w:t>表1第Ⅱ时段排放限值；臭气浓度有组织排放执行</w:t>
            </w:r>
            <w:r>
              <w:rPr>
                <w:rFonts w:hint="eastAsia" w:ascii="Times New Roman" w:hAnsi="Times New Roman" w:cs="var(--dsw-font-markdown-base)"/>
                <w:i w:val="0"/>
                <w:iCs w:val="0"/>
                <w:caps w:val="0"/>
                <w:color w:val="auto"/>
                <w:spacing w:val="0"/>
                <w:sz w:val="21"/>
                <w:szCs w:val="21"/>
                <w:shd w:val="clear" w:fill="FFFFFF"/>
                <w:lang w:val="en-US" w:eastAsia="zh-CN"/>
              </w:rPr>
              <w:t>《恶臭污染物排放标准》（GB14554-93）</w:t>
            </w:r>
            <w:r>
              <w:rPr>
                <w:rFonts w:hint="default" w:ascii="Times New Roman" w:hAnsi="Times New Roman" w:eastAsia="宋体" w:cs="var(--dsw-font-markdown-base)"/>
                <w:i w:val="0"/>
                <w:iCs w:val="0"/>
                <w:caps w:val="0"/>
                <w:color w:val="auto"/>
                <w:spacing w:val="0"/>
                <w:sz w:val="21"/>
                <w:szCs w:val="21"/>
                <w:shd w:val="clear" w:fill="FFFFFF"/>
                <w:lang w:val="en-US" w:eastAsia="zh-CN"/>
              </w:rPr>
              <w:t>表2恶臭污染物排放标准值。补胶工序产生</w:t>
            </w:r>
            <w:r>
              <w:rPr>
                <w:rFonts w:hint="eastAsia" w:ascii="Times New Roman" w:hAnsi="Times New Roman" w:cs="var(--dsw-font-markdown-base)"/>
                <w:i w:val="0"/>
                <w:iCs w:val="0"/>
                <w:caps w:val="0"/>
                <w:color w:val="auto"/>
                <w:spacing w:val="0"/>
                <w:sz w:val="21"/>
                <w:szCs w:val="21"/>
                <w:shd w:val="clear" w:fill="FFFFFF"/>
                <w:lang w:val="en-US" w:eastAsia="zh-CN"/>
              </w:rPr>
              <w:t>少</w:t>
            </w:r>
            <w:r>
              <w:rPr>
                <w:rFonts w:hint="default" w:ascii="Times New Roman" w:hAnsi="Times New Roman" w:eastAsia="宋体" w:cs="var(--dsw-font-markdown-base)"/>
                <w:i w:val="0"/>
                <w:iCs w:val="0"/>
                <w:caps w:val="0"/>
                <w:color w:val="auto"/>
                <w:spacing w:val="0"/>
                <w:sz w:val="21"/>
                <w:szCs w:val="21"/>
                <w:shd w:val="clear" w:fill="FFFFFF"/>
                <w:lang w:val="en-US" w:eastAsia="zh-CN"/>
              </w:rPr>
              <w:t>量</w:t>
            </w:r>
            <w:r>
              <w:rPr>
                <w:rFonts w:hint="eastAsia" w:ascii="Times New Roman" w:hAnsi="Times New Roman" w:cs="var(--dsw-font-markdown-base)"/>
                <w:i w:val="0"/>
                <w:iCs w:val="0"/>
                <w:caps w:val="0"/>
                <w:color w:val="auto"/>
                <w:spacing w:val="0"/>
                <w:sz w:val="21"/>
                <w:szCs w:val="21"/>
                <w:shd w:val="clear" w:fill="FFFFFF"/>
                <w:lang w:val="en-US" w:eastAsia="zh-CN"/>
              </w:rPr>
              <w:t>的有机废气</w:t>
            </w:r>
            <w:r>
              <w:rPr>
                <w:rFonts w:hint="default" w:ascii="Times New Roman" w:hAnsi="Times New Roman" w:eastAsia="宋体" w:cs="var(--dsw-font-markdown-base)"/>
                <w:i w:val="0"/>
                <w:iCs w:val="0"/>
                <w:caps w:val="0"/>
                <w:color w:val="auto"/>
                <w:spacing w:val="0"/>
                <w:sz w:val="21"/>
                <w:szCs w:val="21"/>
                <w:shd w:val="clear" w:fill="FFFFFF"/>
                <w:lang w:val="en-US" w:eastAsia="zh-CN"/>
              </w:rPr>
              <w:t>，打粗工序颗粒物及加热定型废气产生量极少，经加强车间通风换气后无组织排放。</w:t>
            </w:r>
          </w:p>
          <w:p w14:paraId="15723D67">
            <w:pPr>
              <w:pStyle w:val="4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var(--dsw-font-markdown-base)"/>
                <w:i w:val="0"/>
                <w:iCs w:val="0"/>
                <w:caps w:val="0"/>
                <w:color w:val="auto"/>
                <w:spacing w:val="0"/>
                <w:sz w:val="21"/>
                <w:szCs w:val="21"/>
                <w:shd w:val="clear" w:fill="FFFFFF"/>
                <w:lang w:val="en-US" w:eastAsia="zh-CN"/>
              </w:rPr>
            </w:pPr>
            <w:r>
              <w:rPr>
                <w:rFonts w:hint="default" w:ascii="Times New Roman" w:hAnsi="Times New Roman" w:eastAsia="宋体" w:cs="var(--dsw-font-markdown-base)"/>
                <w:i w:val="0"/>
                <w:iCs w:val="0"/>
                <w:caps w:val="0"/>
                <w:color w:val="auto"/>
                <w:spacing w:val="0"/>
                <w:sz w:val="21"/>
                <w:szCs w:val="21"/>
                <w:shd w:val="clear" w:fill="FFFFFF"/>
                <w:lang w:val="en-US" w:eastAsia="zh-CN"/>
              </w:rPr>
              <w:t>项目食堂油烟通过运水烟罩+静电油烟净化器处理后由50米高排气筒（</w:t>
            </w:r>
            <w:r>
              <w:rPr>
                <w:rFonts w:hint="eastAsia" w:ascii="Times New Roman" w:hAnsi="Times New Roman" w:cs="var(--dsw-font-markdown-base)"/>
                <w:i w:val="0"/>
                <w:iCs w:val="0"/>
                <w:caps w:val="0"/>
                <w:color w:val="auto"/>
                <w:spacing w:val="0"/>
                <w:sz w:val="21"/>
                <w:szCs w:val="21"/>
                <w:shd w:val="clear" w:fill="FFFFFF"/>
                <w:lang w:val="en-US" w:eastAsia="zh-CN"/>
              </w:rPr>
              <w:t>G8</w:t>
            </w:r>
            <w:r>
              <w:rPr>
                <w:rFonts w:hint="default" w:ascii="Times New Roman" w:hAnsi="Times New Roman" w:eastAsia="宋体" w:cs="var(--dsw-font-markdown-base)"/>
                <w:i w:val="0"/>
                <w:iCs w:val="0"/>
                <w:caps w:val="0"/>
                <w:color w:val="auto"/>
                <w:spacing w:val="0"/>
                <w:sz w:val="21"/>
                <w:szCs w:val="21"/>
                <w:shd w:val="clear" w:fill="FFFFFF"/>
                <w:lang w:val="en-US" w:eastAsia="zh-CN"/>
              </w:rPr>
              <w:t>）排放，油烟有组织排放浓度满足</w:t>
            </w:r>
            <w:r>
              <w:rPr>
                <w:rFonts w:hint="eastAsia" w:ascii="Times New Roman" w:hAnsi="Times New Roman" w:cs="var(--dsw-font-markdown-base)"/>
                <w:i w:val="0"/>
                <w:iCs w:val="0"/>
                <w:caps w:val="0"/>
                <w:color w:val="auto"/>
                <w:spacing w:val="0"/>
                <w:sz w:val="21"/>
                <w:szCs w:val="21"/>
                <w:shd w:val="clear" w:fill="FFFFFF"/>
                <w:lang w:val="en-US" w:eastAsia="zh-CN"/>
              </w:rPr>
              <w:t>《饮食业油烟排放标准（试行）》（GB18483-2001）</w:t>
            </w:r>
            <w:r>
              <w:rPr>
                <w:rFonts w:hint="default" w:ascii="Times New Roman" w:hAnsi="Times New Roman" w:eastAsia="宋体" w:cs="var(--dsw-font-markdown-base)"/>
                <w:i w:val="0"/>
                <w:iCs w:val="0"/>
                <w:caps w:val="0"/>
                <w:color w:val="auto"/>
                <w:spacing w:val="0"/>
                <w:sz w:val="21"/>
                <w:szCs w:val="21"/>
                <w:shd w:val="clear" w:fill="FFFFFF"/>
                <w:lang w:val="en-US" w:eastAsia="zh-CN"/>
              </w:rPr>
              <w:t>表2最高允许排放浓度限值。</w:t>
            </w:r>
          </w:p>
          <w:p w14:paraId="7C34BB32">
            <w:pPr>
              <w:pStyle w:val="4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var(--dsw-font-markdown-base)"/>
                <w:i w:val="0"/>
                <w:iCs w:val="0"/>
                <w:caps w:val="0"/>
                <w:color w:val="auto"/>
                <w:spacing w:val="0"/>
                <w:sz w:val="21"/>
                <w:szCs w:val="21"/>
                <w:shd w:val="clear" w:fill="FFFFFF"/>
                <w:lang w:val="en-US" w:eastAsia="zh-CN"/>
              </w:rPr>
            </w:pPr>
            <w:r>
              <w:rPr>
                <w:rFonts w:hint="default" w:ascii="Times New Roman" w:hAnsi="Times New Roman" w:eastAsia="宋体" w:cs="var(--dsw-font-markdown-base)"/>
                <w:i w:val="0"/>
                <w:iCs w:val="0"/>
                <w:caps w:val="0"/>
                <w:color w:val="auto"/>
                <w:spacing w:val="0"/>
                <w:sz w:val="21"/>
                <w:szCs w:val="21"/>
                <w:shd w:val="clear" w:fill="FFFFFF"/>
                <w:lang w:val="en-US" w:eastAsia="zh-CN"/>
              </w:rPr>
              <w:t>厂界非甲烷总烃</w:t>
            </w:r>
            <w:r>
              <w:rPr>
                <w:rFonts w:hint="eastAsia" w:ascii="Times New Roman" w:hAnsi="Times New Roman" w:cs="var(--dsw-font-markdown-base)"/>
                <w:i w:val="0"/>
                <w:iCs w:val="0"/>
                <w:caps w:val="0"/>
                <w:color w:val="auto"/>
                <w:spacing w:val="0"/>
                <w:sz w:val="21"/>
                <w:szCs w:val="21"/>
                <w:shd w:val="clear" w:fill="FFFFFF"/>
                <w:lang w:val="en-US" w:eastAsia="zh-CN"/>
              </w:rPr>
              <w:t>和颗粒物</w:t>
            </w:r>
            <w:r>
              <w:rPr>
                <w:rFonts w:hint="default" w:ascii="Times New Roman" w:hAnsi="Times New Roman" w:eastAsia="宋体" w:cs="var(--dsw-font-markdown-base)"/>
                <w:i w:val="0"/>
                <w:iCs w:val="0"/>
                <w:caps w:val="0"/>
                <w:color w:val="auto"/>
                <w:spacing w:val="0"/>
                <w:sz w:val="21"/>
                <w:szCs w:val="21"/>
                <w:shd w:val="clear" w:fill="FFFFFF"/>
                <w:lang w:val="en-US" w:eastAsia="zh-CN"/>
              </w:rPr>
              <w:t>无组织排放满足</w:t>
            </w:r>
            <w:r>
              <w:rPr>
                <w:rFonts w:hint="eastAsia" w:ascii="宋体" w:hAnsi="宋体" w:eastAsia="宋体" w:cs="宋体"/>
                <w:b w:val="0"/>
                <w:bCs w:val="0"/>
                <w:color w:val="auto"/>
                <w:kern w:val="0"/>
                <w:sz w:val="21"/>
                <w:szCs w:val="21"/>
                <w:lang w:val="en-US" w:eastAsia="zh-CN" w:bidi="ar"/>
              </w:rPr>
              <w:t>《合成树脂工业污染物排放标准》（</w:t>
            </w:r>
            <w:r>
              <w:rPr>
                <w:rFonts w:hint="default" w:ascii="Times New Roman" w:hAnsi="Times New Roman" w:eastAsia="宋体" w:cs="Times New Roman"/>
                <w:b w:val="0"/>
                <w:bCs w:val="0"/>
                <w:color w:val="auto"/>
                <w:kern w:val="0"/>
                <w:sz w:val="21"/>
                <w:szCs w:val="21"/>
                <w:lang w:val="en-US" w:eastAsia="zh-CN" w:bidi="ar"/>
              </w:rPr>
              <w:t>GB31572</w:t>
            </w:r>
            <w:r>
              <w:rPr>
                <w:rFonts w:hint="eastAsia" w:ascii="宋体" w:hAnsi="宋体" w:eastAsia="宋体" w:cs="宋体"/>
                <w:b w:val="0"/>
                <w:bCs w:val="0"/>
                <w:color w:val="auto"/>
                <w:kern w:val="0"/>
                <w:sz w:val="21"/>
                <w:szCs w:val="21"/>
                <w:lang w:val="en-US" w:eastAsia="zh-CN" w:bidi="ar"/>
              </w:rPr>
              <w:t>—</w:t>
            </w:r>
            <w:r>
              <w:rPr>
                <w:rFonts w:hint="default" w:ascii="Times New Roman" w:hAnsi="Times New Roman" w:eastAsia="宋体" w:cs="Times New Roman"/>
                <w:b w:val="0"/>
                <w:bCs w:val="0"/>
                <w:color w:val="auto"/>
                <w:kern w:val="0"/>
                <w:sz w:val="21"/>
                <w:szCs w:val="21"/>
                <w:lang w:val="en-US" w:eastAsia="zh-CN" w:bidi="ar"/>
              </w:rPr>
              <w:t>2015</w:t>
            </w:r>
            <w:r>
              <w:rPr>
                <w:rFonts w:hint="eastAsia" w:ascii="宋体" w:hAnsi="宋体" w:eastAsia="宋体" w:cs="宋体"/>
                <w:b w:val="0"/>
                <w:bCs w:val="0"/>
                <w:color w:val="auto"/>
                <w:kern w:val="0"/>
                <w:sz w:val="21"/>
                <w:szCs w:val="21"/>
                <w:lang w:val="en-US" w:eastAsia="zh-CN" w:bidi="ar"/>
              </w:rPr>
              <w:t>）及其修改单中表</w:t>
            </w:r>
            <w:r>
              <w:rPr>
                <w:rFonts w:hint="default" w:ascii="Times New Roman" w:hAnsi="Times New Roman" w:eastAsia="宋体" w:cs="Times New Roman"/>
                <w:b w:val="0"/>
                <w:bCs w:val="0"/>
                <w:color w:val="auto"/>
                <w:kern w:val="0"/>
                <w:sz w:val="21"/>
                <w:szCs w:val="21"/>
                <w:lang w:val="en-US" w:eastAsia="zh-CN" w:bidi="ar"/>
              </w:rPr>
              <w:t>9</w:t>
            </w:r>
            <w:r>
              <w:rPr>
                <w:rFonts w:hint="eastAsia" w:ascii="宋体" w:hAnsi="宋体" w:eastAsia="宋体" w:cs="宋体"/>
                <w:b w:val="0"/>
                <w:bCs w:val="0"/>
                <w:color w:val="auto"/>
                <w:kern w:val="0"/>
                <w:sz w:val="21"/>
                <w:szCs w:val="21"/>
                <w:lang w:val="en-US" w:eastAsia="zh-CN" w:bidi="ar"/>
              </w:rPr>
              <w:t>企业边界大气污染物浓度限值与广东省地方标准</w:t>
            </w:r>
            <w:r>
              <w:rPr>
                <w:rFonts w:hint="eastAsia" w:cs="宋体"/>
                <w:b w:val="0"/>
                <w:bCs w:val="0"/>
                <w:color w:val="auto"/>
                <w:kern w:val="0"/>
                <w:sz w:val="21"/>
                <w:szCs w:val="21"/>
                <w:lang w:val="en-US" w:eastAsia="zh-CN" w:bidi="ar"/>
              </w:rPr>
              <w:t>《大气污染物排放限值》（DB44/27-2001）</w:t>
            </w:r>
            <w:r>
              <w:rPr>
                <w:rFonts w:hint="eastAsia" w:ascii="宋体" w:hAnsi="宋体" w:eastAsia="宋体" w:cs="宋体"/>
                <w:b w:val="0"/>
                <w:bCs w:val="0"/>
                <w:color w:val="auto"/>
                <w:kern w:val="0"/>
                <w:sz w:val="21"/>
                <w:szCs w:val="21"/>
                <w:lang w:val="en-US" w:eastAsia="zh-CN" w:bidi="ar"/>
              </w:rPr>
              <w:t>第二时段二级标准较严者</w:t>
            </w:r>
            <w:r>
              <w:rPr>
                <w:rFonts w:hint="default" w:ascii="Times New Roman" w:hAnsi="Times New Roman" w:eastAsia="宋体" w:cs="var(--dsw-font-markdown-base)"/>
                <w:i w:val="0"/>
                <w:iCs w:val="0"/>
                <w:caps w:val="0"/>
                <w:color w:val="auto"/>
                <w:spacing w:val="0"/>
                <w:sz w:val="21"/>
                <w:szCs w:val="21"/>
                <w:shd w:val="clear" w:fill="FFFFFF"/>
                <w:lang w:val="en-US" w:eastAsia="zh-CN"/>
              </w:rPr>
              <w:t>；总VOCs无组织排放满足</w:t>
            </w:r>
            <w:r>
              <w:rPr>
                <w:rFonts w:hint="eastAsia" w:cs="宋体"/>
                <w:b w:val="0"/>
                <w:bCs w:val="0"/>
                <w:color w:val="auto"/>
                <w:kern w:val="0"/>
                <w:sz w:val="21"/>
                <w:szCs w:val="21"/>
                <w:lang w:val="en-US" w:eastAsia="zh-CN" w:bidi="ar"/>
              </w:rPr>
              <w:t>《制鞋行业挥发性有机化合物排放标准》（DB44/ 817- 2010）</w:t>
            </w:r>
            <w:r>
              <w:rPr>
                <w:rFonts w:hint="eastAsia" w:cs="宋体"/>
                <w:b w:val="0"/>
                <w:bCs w:val="0"/>
                <w:color w:val="auto"/>
                <w:kern w:val="0"/>
                <w:sz w:val="21"/>
                <w:szCs w:val="21"/>
                <w:highlight w:val="none"/>
                <w:lang w:val="en-US" w:eastAsia="zh-CN" w:bidi="ar"/>
              </w:rPr>
              <w:t>表2无组织排放监控点浓度限值</w:t>
            </w:r>
            <w:r>
              <w:rPr>
                <w:rFonts w:hint="eastAsia" w:ascii="宋体" w:hAnsi="宋体" w:eastAsia="宋体" w:cs="宋体"/>
                <w:b w:val="0"/>
                <w:bCs w:val="0"/>
                <w:color w:val="auto"/>
                <w:kern w:val="0"/>
                <w:sz w:val="21"/>
                <w:szCs w:val="21"/>
                <w:highlight w:val="none"/>
                <w:lang w:val="en-US" w:eastAsia="zh-CN" w:bidi="ar"/>
              </w:rPr>
              <w:t>要</w:t>
            </w:r>
            <w:r>
              <w:rPr>
                <w:rFonts w:hint="eastAsia" w:ascii="宋体" w:hAnsi="宋体" w:eastAsia="宋体" w:cs="宋体"/>
                <w:b w:val="0"/>
                <w:bCs w:val="0"/>
                <w:color w:val="auto"/>
                <w:kern w:val="0"/>
                <w:sz w:val="21"/>
                <w:szCs w:val="21"/>
                <w:lang w:val="en-US" w:eastAsia="zh-CN" w:bidi="ar"/>
              </w:rPr>
              <w:t>求与广东省地方标准</w:t>
            </w:r>
            <w:r>
              <w:rPr>
                <w:rFonts w:hint="eastAsia" w:cs="宋体"/>
                <w:b w:val="0"/>
                <w:bCs w:val="0"/>
                <w:color w:val="auto"/>
                <w:kern w:val="0"/>
                <w:sz w:val="21"/>
                <w:szCs w:val="21"/>
                <w:lang w:val="en-US" w:eastAsia="zh-CN" w:bidi="ar"/>
              </w:rPr>
              <w:t>《印刷行业挥发性有机化合物排放标准》（DB44/815-2010）</w:t>
            </w:r>
            <w:r>
              <w:rPr>
                <w:rFonts w:hint="eastAsia" w:ascii="宋体" w:hAnsi="宋体" w:eastAsia="宋体" w:cs="宋体"/>
                <w:b w:val="0"/>
                <w:bCs w:val="0"/>
                <w:color w:val="auto"/>
                <w:kern w:val="0"/>
                <w:sz w:val="21"/>
                <w:szCs w:val="21"/>
                <w:lang w:val="en-US" w:eastAsia="zh-CN" w:bidi="ar"/>
              </w:rPr>
              <w:t>表</w:t>
            </w:r>
            <w:r>
              <w:rPr>
                <w:rFonts w:hint="default" w:ascii="Times New Roman" w:hAnsi="Times New Roman" w:eastAsia="宋体" w:cs="Times New Roman"/>
                <w:b w:val="0"/>
                <w:bCs w:val="0"/>
                <w:color w:val="auto"/>
                <w:kern w:val="0"/>
                <w:sz w:val="21"/>
                <w:szCs w:val="21"/>
                <w:lang w:val="en-US" w:eastAsia="zh-CN" w:bidi="ar"/>
              </w:rPr>
              <w:t>3</w:t>
            </w:r>
            <w:r>
              <w:rPr>
                <w:rFonts w:hint="eastAsia" w:ascii="宋体" w:hAnsi="宋体" w:eastAsia="宋体" w:cs="宋体"/>
                <w:b w:val="0"/>
                <w:bCs w:val="0"/>
                <w:color w:val="auto"/>
                <w:kern w:val="0"/>
                <w:sz w:val="21"/>
                <w:szCs w:val="21"/>
                <w:lang w:val="en-US" w:eastAsia="zh-CN" w:bidi="ar"/>
              </w:rPr>
              <w:t>无组织排放监控点浓度</w:t>
            </w:r>
            <w:r>
              <w:rPr>
                <w:rFonts w:hint="default" w:ascii="Times New Roman" w:hAnsi="Times New Roman" w:eastAsia="宋体" w:cs="var(--dsw-font-markdown-base)"/>
                <w:i w:val="0"/>
                <w:iCs w:val="0"/>
                <w:caps w:val="0"/>
                <w:color w:val="auto"/>
                <w:spacing w:val="0"/>
                <w:sz w:val="21"/>
                <w:szCs w:val="21"/>
                <w:shd w:val="clear" w:fill="FFFFFF"/>
                <w:lang w:val="en-US" w:eastAsia="zh-CN"/>
              </w:rPr>
              <w:t>；臭气浓度无组织排放满足</w:t>
            </w:r>
            <w:r>
              <w:rPr>
                <w:rFonts w:hint="eastAsia" w:ascii="Times New Roman" w:hAnsi="Times New Roman" w:cs="var(--dsw-font-markdown-base)"/>
                <w:i w:val="0"/>
                <w:iCs w:val="0"/>
                <w:caps w:val="0"/>
                <w:color w:val="auto"/>
                <w:spacing w:val="0"/>
                <w:sz w:val="21"/>
                <w:szCs w:val="21"/>
                <w:shd w:val="clear" w:fill="FFFFFF"/>
                <w:lang w:val="en-US" w:eastAsia="zh-CN"/>
              </w:rPr>
              <w:t>《恶臭污染物排放标准》（GB14554-93）</w:t>
            </w:r>
            <w:r>
              <w:rPr>
                <w:rFonts w:hint="default" w:ascii="Times New Roman" w:hAnsi="Times New Roman" w:eastAsia="宋体" w:cs="var(--dsw-font-markdown-base)"/>
                <w:i w:val="0"/>
                <w:iCs w:val="0"/>
                <w:caps w:val="0"/>
                <w:color w:val="auto"/>
                <w:spacing w:val="0"/>
                <w:sz w:val="21"/>
                <w:szCs w:val="21"/>
                <w:shd w:val="clear" w:fill="FFFFFF"/>
                <w:lang w:val="en-US" w:eastAsia="zh-CN"/>
              </w:rPr>
              <w:t>表1恶臭污染物厂界标准值（≤20无量纲）。厂区内非甲烷总烃无组织排放满足广东省</w:t>
            </w:r>
            <w:r>
              <w:rPr>
                <w:rFonts w:hint="eastAsia" w:ascii="Times New Roman" w:hAnsi="Times New Roman" w:cs="var(--dsw-font-markdown-base)"/>
                <w:i w:val="0"/>
                <w:iCs w:val="0"/>
                <w:caps w:val="0"/>
                <w:color w:val="auto"/>
                <w:spacing w:val="0"/>
                <w:sz w:val="21"/>
                <w:szCs w:val="21"/>
                <w:shd w:val="clear" w:fill="FFFFFF"/>
                <w:lang w:val="en-US" w:eastAsia="zh-CN"/>
              </w:rPr>
              <w:t>《固定污染源挥发性有机物综合排放标准》（DB44/2367-2022）</w:t>
            </w:r>
            <w:r>
              <w:rPr>
                <w:rFonts w:hint="default" w:ascii="Times New Roman" w:hAnsi="Times New Roman" w:eastAsia="宋体" w:cs="var(--dsw-font-markdown-base)"/>
                <w:i w:val="0"/>
                <w:iCs w:val="0"/>
                <w:caps w:val="0"/>
                <w:color w:val="auto"/>
                <w:spacing w:val="0"/>
                <w:sz w:val="21"/>
                <w:szCs w:val="21"/>
                <w:shd w:val="clear" w:fill="FFFFFF"/>
                <w:lang w:val="en-US" w:eastAsia="zh-CN"/>
              </w:rPr>
              <w:t>表3厂区内VOCs无组织排放限值。</w:t>
            </w:r>
          </w:p>
          <w:p w14:paraId="02C81228">
            <w:pPr>
              <w:pStyle w:val="4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var(--dsw-font-markdown-base)"/>
                <w:i w:val="0"/>
                <w:iCs w:val="0"/>
                <w:caps w:val="0"/>
                <w:color w:val="auto"/>
                <w:spacing w:val="0"/>
                <w:sz w:val="21"/>
                <w:szCs w:val="21"/>
                <w:shd w:val="clear" w:fill="FFFFFF"/>
                <w:lang w:val="en-US" w:eastAsia="zh-CN"/>
              </w:rPr>
            </w:pPr>
            <w:r>
              <w:rPr>
                <w:rFonts w:hint="default" w:ascii="Times New Roman" w:hAnsi="Times New Roman" w:eastAsia="宋体" w:cs="var(--dsw-font-markdown-base)"/>
                <w:i w:val="0"/>
                <w:iCs w:val="0"/>
                <w:caps w:val="0"/>
                <w:color w:val="auto"/>
                <w:spacing w:val="0"/>
                <w:sz w:val="21"/>
                <w:szCs w:val="21"/>
                <w:shd w:val="clear" w:fill="FFFFFF"/>
                <w:lang w:val="en-US" w:eastAsia="zh-CN"/>
              </w:rPr>
              <w:t>综上所述，项目各工序废气经有效收集治理后均能达标排放，对周围大气环境影响不大。</w:t>
            </w:r>
          </w:p>
          <w:p w14:paraId="60B5139A">
            <w:pPr>
              <w:keepNext w:val="0"/>
              <w:keepLines w:val="0"/>
              <w:widowControl/>
              <w:suppressLineNumbers w:val="0"/>
              <w:spacing w:before="0" w:beforeAutospacing="0" w:after="0" w:afterAutospacing="0" w:line="360" w:lineRule="auto"/>
              <w:ind w:left="0" w:right="0" w:firstLine="482"/>
              <w:jc w:val="left"/>
              <w:rPr>
                <w:rFonts w:hint="default" w:ascii="Times New Roman" w:hAnsi="Times New Roman" w:eastAsia="宋体"/>
                <w:b/>
                <w:bCs/>
                <w:color w:val="auto"/>
                <w:kern w:val="0"/>
                <w:sz w:val="21"/>
                <w:highlight w:val="none"/>
                <w:lang w:val="zh-CN"/>
              </w:rPr>
            </w:pPr>
            <w:r>
              <w:rPr>
                <w:rFonts w:hint="default" w:ascii="Times New Roman" w:hAnsi="Times New Roman" w:eastAsia="宋体"/>
                <w:b/>
                <w:bCs/>
                <w:color w:val="auto"/>
                <w:kern w:val="0"/>
                <w:sz w:val="21"/>
                <w:highlight w:val="none"/>
                <w:lang w:val="zh-CN"/>
              </w:rPr>
              <w:t>二、废水</w:t>
            </w:r>
          </w:p>
          <w:p w14:paraId="1DBDF6BB">
            <w:pPr>
              <w:pStyle w:val="128"/>
              <w:keepNext w:val="0"/>
              <w:keepLines w:val="0"/>
              <w:suppressLineNumbers w:val="0"/>
              <w:spacing w:before="0" w:beforeAutospacing="0" w:after="0" w:afterAutospacing="0"/>
              <w:ind w:left="0" w:right="0" w:firstLine="482"/>
              <w:rPr>
                <w:rFonts w:hint="default" w:ascii="Times New Roman" w:hAnsi="Times New Roman" w:eastAsia="宋体"/>
                <w:b/>
                <w:color w:val="auto"/>
                <w:sz w:val="21"/>
                <w:highlight w:val="none"/>
                <w:lang w:val="zh-CN"/>
              </w:rPr>
            </w:pPr>
            <w:r>
              <w:rPr>
                <w:rFonts w:hint="default" w:ascii="Times New Roman" w:hAnsi="Times New Roman" w:eastAsia="宋体"/>
                <w:b/>
                <w:color w:val="auto"/>
                <w:sz w:val="21"/>
                <w:highlight w:val="none"/>
                <w:lang w:val="zh-CN"/>
              </w:rPr>
              <w:t>1、废水产排情况</w:t>
            </w:r>
          </w:p>
          <w:p w14:paraId="1D7923B1">
            <w:pPr>
              <w:keepNext w:val="0"/>
              <w:keepLines w:val="0"/>
              <w:suppressLineNumbers w:val="0"/>
              <w:spacing w:before="0" w:beforeAutospacing="0" w:after="0" w:afterAutospacing="0" w:line="360" w:lineRule="auto"/>
              <w:ind w:left="0" w:right="0" w:firstLine="422" w:firstLineChars="200"/>
              <w:textAlignment w:val="bottom"/>
              <w:rPr>
                <w:rFonts w:hint="default" w:ascii="Times New Roman" w:hAnsi="Times New Roman" w:eastAsia="宋体" w:cs="Segoe UI"/>
                <w:i w:val="0"/>
                <w:iCs w:val="0"/>
                <w:caps w:val="0"/>
                <w:color w:val="auto"/>
                <w:spacing w:val="0"/>
                <w:kern w:val="2"/>
                <w:sz w:val="21"/>
                <w:szCs w:val="24"/>
                <w:shd w:val="clear" w:fill="FFFFFF"/>
                <w:lang w:val="en-US" w:eastAsia="zh-CN" w:bidi="ar-SA"/>
              </w:rPr>
            </w:pPr>
            <w:r>
              <w:rPr>
                <w:rFonts w:hint="default" w:ascii="Times New Roman" w:hAnsi="Times New Roman" w:eastAsia="宋体"/>
                <w:b/>
                <w:bCs/>
                <w:color w:val="auto"/>
                <w:sz w:val="21"/>
                <w:highlight w:val="none"/>
              </w:rPr>
              <w:t>（1）生活污水：</w:t>
            </w:r>
            <w:r>
              <w:rPr>
                <w:rFonts w:hint="default" w:ascii="Times New Roman" w:hAnsi="Times New Roman" w:eastAsia="宋体" w:cs="Segoe UI"/>
                <w:i w:val="0"/>
                <w:iCs w:val="0"/>
                <w:caps w:val="0"/>
                <w:color w:val="auto"/>
                <w:spacing w:val="0"/>
                <w:sz w:val="21"/>
                <w:szCs w:val="24"/>
                <w:shd w:val="clear" w:fill="FFFFFF"/>
              </w:rPr>
              <w:t>项目员工</w:t>
            </w:r>
            <w:r>
              <w:rPr>
                <w:rFonts w:hint="eastAsia" w:cs="Segoe UI"/>
                <w:i w:val="0"/>
                <w:iCs w:val="0"/>
                <w:caps w:val="0"/>
                <w:color w:val="auto"/>
                <w:spacing w:val="0"/>
                <w:sz w:val="21"/>
                <w:szCs w:val="24"/>
                <w:shd w:val="clear" w:fill="FFFFFF"/>
                <w:lang w:val="en-US" w:eastAsia="zh-CN"/>
              </w:rPr>
              <w:t>6</w:t>
            </w:r>
            <w:r>
              <w:rPr>
                <w:rFonts w:hint="default" w:ascii="Times New Roman" w:hAnsi="Times New Roman" w:eastAsia="宋体" w:cs="Segoe UI"/>
                <w:i w:val="0"/>
                <w:iCs w:val="0"/>
                <w:caps w:val="0"/>
                <w:color w:val="auto"/>
                <w:spacing w:val="0"/>
                <w:sz w:val="21"/>
                <w:szCs w:val="24"/>
                <w:shd w:val="clear" w:fill="FFFFFF"/>
              </w:rPr>
              <w:t>00人，生活用水量参照《用水定额第3部分：生活》（</w:t>
            </w:r>
            <w:r>
              <w:rPr>
                <w:rFonts w:hint="eastAsia" w:cs="Segoe UI"/>
                <w:i w:val="0"/>
                <w:iCs w:val="0"/>
                <w:caps w:val="0"/>
                <w:color w:val="auto"/>
                <w:spacing w:val="0"/>
                <w:sz w:val="21"/>
                <w:szCs w:val="24"/>
                <w:shd w:val="clear" w:fill="FFFFFF"/>
                <w:lang w:eastAsia="zh-CN"/>
              </w:rPr>
              <w:t>DB44/T1461.3- 2021</w:t>
            </w:r>
            <w:r>
              <w:rPr>
                <w:rFonts w:hint="default" w:ascii="Times New Roman" w:hAnsi="Times New Roman" w:eastAsia="宋体" w:cs="Segoe UI"/>
                <w:i w:val="0"/>
                <w:iCs w:val="0"/>
                <w:caps w:val="0"/>
                <w:color w:val="auto"/>
                <w:spacing w:val="0"/>
                <w:sz w:val="21"/>
                <w:szCs w:val="24"/>
                <w:shd w:val="clear" w:fill="FFFFFF"/>
              </w:rPr>
              <w:t>）计算，生活污水排放量约</w:t>
            </w:r>
            <w:r>
              <w:rPr>
                <w:rFonts w:hint="eastAsia" w:cs="Segoe UI"/>
                <w:i w:val="0"/>
                <w:iCs w:val="0"/>
                <w:caps w:val="0"/>
                <w:color w:val="auto"/>
                <w:spacing w:val="0"/>
                <w:sz w:val="21"/>
                <w:szCs w:val="24"/>
                <w:shd w:val="clear" w:fill="FFFFFF"/>
                <w:lang w:val="en-US" w:eastAsia="zh-CN"/>
              </w:rPr>
              <w:t>22.5</w:t>
            </w:r>
            <w:r>
              <w:rPr>
                <w:rFonts w:hint="eastAsia" w:ascii="Times New Roman" w:hAnsi="Times New Roman" w:eastAsia="宋体" w:cs="Segoe UI"/>
                <w:i w:val="0"/>
                <w:iCs w:val="0"/>
                <w:caps w:val="0"/>
                <w:color w:val="auto"/>
                <w:spacing w:val="0"/>
                <w:sz w:val="21"/>
                <w:szCs w:val="24"/>
                <w:shd w:val="clear" w:fill="FFFFFF"/>
                <w:lang w:val="en-US" w:eastAsia="zh-CN"/>
              </w:rPr>
              <w:t>t/d（</w:t>
            </w:r>
            <w:r>
              <w:rPr>
                <w:rFonts w:hint="eastAsia" w:cs="Segoe UI"/>
                <w:i w:val="0"/>
                <w:iCs w:val="0"/>
                <w:caps w:val="0"/>
                <w:color w:val="auto"/>
                <w:spacing w:val="0"/>
                <w:sz w:val="21"/>
                <w:szCs w:val="24"/>
                <w:shd w:val="clear" w:fill="FFFFFF"/>
                <w:lang w:val="en-US" w:eastAsia="zh-CN"/>
              </w:rPr>
              <w:t>6750</w:t>
            </w:r>
            <w:r>
              <w:rPr>
                <w:rFonts w:hint="eastAsia" w:ascii="Times New Roman" w:hAnsi="Times New Roman" w:eastAsia="宋体" w:cs="Segoe UI"/>
                <w:i w:val="0"/>
                <w:iCs w:val="0"/>
                <w:caps w:val="0"/>
                <w:color w:val="auto"/>
                <w:spacing w:val="0"/>
                <w:sz w:val="21"/>
                <w:szCs w:val="24"/>
                <w:shd w:val="clear" w:fill="FFFFFF"/>
                <w:lang w:val="en-US" w:eastAsia="zh-CN"/>
              </w:rPr>
              <w:t>t/a）</w:t>
            </w:r>
            <w:r>
              <w:rPr>
                <w:rFonts w:hint="eastAsia" w:cs="Segoe UI"/>
                <w:i w:val="0"/>
                <w:iCs w:val="0"/>
                <w:caps w:val="0"/>
                <w:color w:val="auto"/>
                <w:spacing w:val="0"/>
                <w:sz w:val="21"/>
                <w:szCs w:val="24"/>
                <w:shd w:val="clear" w:fill="FFFFFF"/>
                <w:lang w:eastAsia="zh-CN"/>
              </w:rPr>
              <w:t>，</w:t>
            </w:r>
            <w:r>
              <w:rPr>
                <w:rFonts w:hint="default" w:ascii="Times New Roman" w:hAnsi="Times New Roman" w:eastAsia="宋体" w:cs="Segoe UI"/>
                <w:i w:val="0"/>
                <w:iCs w:val="0"/>
                <w:caps w:val="0"/>
                <w:color w:val="auto"/>
                <w:spacing w:val="0"/>
                <w:kern w:val="2"/>
                <w:sz w:val="21"/>
                <w:szCs w:val="24"/>
                <w:shd w:val="clear" w:fill="FFFFFF"/>
                <w:lang w:val="en-US" w:eastAsia="zh-CN" w:bidi="ar-SA"/>
              </w:rPr>
              <w:t>其主要污染物及产生浓度约为CODCr≤250mg/L、BOD5≤150mg/L、SS≤200mg/L、NH3</w:t>
            </w:r>
            <w:r>
              <w:rPr>
                <w:rFonts w:hint="eastAsia" w:cs="Segoe UI"/>
                <w:i w:val="0"/>
                <w:iCs w:val="0"/>
                <w:caps w:val="0"/>
                <w:color w:val="auto"/>
                <w:spacing w:val="0"/>
                <w:kern w:val="2"/>
                <w:sz w:val="21"/>
                <w:szCs w:val="24"/>
                <w:shd w:val="clear" w:fill="FFFFFF"/>
                <w:lang w:val="en-US" w:eastAsia="zh-CN" w:bidi="ar-SA"/>
              </w:rPr>
              <w:t xml:space="preserve"> </w:t>
            </w:r>
            <w:r>
              <w:rPr>
                <w:rFonts w:hint="default" w:ascii="Times New Roman" w:hAnsi="Times New Roman" w:eastAsia="宋体" w:cs="Segoe UI"/>
                <w:i w:val="0"/>
                <w:iCs w:val="0"/>
                <w:caps w:val="0"/>
                <w:color w:val="auto"/>
                <w:spacing w:val="0"/>
                <w:kern w:val="2"/>
                <w:sz w:val="21"/>
                <w:szCs w:val="24"/>
                <w:shd w:val="clear" w:fill="FFFFFF"/>
                <w:lang w:val="en-US" w:eastAsia="zh-CN" w:bidi="ar-SA"/>
              </w:rPr>
              <w:t>N≤25mg/L</w:t>
            </w:r>
            <w:r>
              <w:rPr>
                <w:rFonts w:hint="eastAsia" w:cs="Segoe UI"/>
                <w:i w:val="0"/>
                <w:iCs w:val="0"/>
                <w:caps w:val="0"/>
                <w:color w:val="auto"/>
                <w:spacing w:val="0"/>
                <w:kern w:val="2"/>
                <w:sz w:val="21"/>
                <w:szCs w:val="24"/>
                <w:shd w:val="clear" w:fill="FFFFFF"/>
                <w:lang w:val="en-US" w:eastAsia="zh-CN" w:bidi="ar-SA"/>
              </w:rPr>
              <w:t>、</w:t>
            </w:r>
            <w:r>
              <w:rPr>
                <w:rFonts w:hint="eastAsia" w:ascii="Times New Roman" w:hAnsi="Times New Roman" w:eastAsia="宋体" w:cs="宋体"/>
                <w:color w:val="auto"/>
                <w:kern w:val="2"/>
                <w:sz w:val="21"/>
                <w:szCs w:val="21"/>
                <w:lang w:val="en-US" w:eastAsia="zh-CN" w:bidi="ar"/>
              </w:rPr>
              <w:t>总磷≤</w:t>
            </w:r>
            <w:r>
              <w:rPr>
                <w:rFonts w:hint="default" w:ascii="Times New Roman" w:hAnsi="Times New Roman" w:eastAsia="宋体" w:cs="Times New Roman"/>
                <w:color w:val="auto"/>
                <w:kern w:val="2"/>
                <w:sz w:val="21"/>
                <w:szCs w:val="21"/>
                <w:lang w:val="en-US" w:eastAsia="zh-CN" w:bidi="ar"/>
              </w:rPr>
              <w:t>5mg/L</w:t>
            </w:r>
            <w:r>
              <w:rPr>
                <w:rFonts w:hint="default" w:ascii="Times New Roman" w:hAnsi="Times New Roman" w:eastAsia="宋体" w:cs="Segoe UI"/>
                <w:i w:val="0"/>
                <w:iCs w:val="0"/>
                <w:caps w:val="0"/>
                <w:color w:val="auto"/>
                <w:spacing w:val="0"/>
                <w:kern w:val="2"/>
                <w:sz w:val="21"/>
                <w:szCs w:val="24"/>
                <w:shd w:val="clear" w:fill="FFFFFF"/>
                <w:lang w:val="en-US" w:eastAsia="zh-CN" w:bidi="ar-SA"/>
              </w:rPr>
              <w:t>。项目产生的生活污水经三级化粪池预处理后排入市政管网，进入</w:t>
            </w:r>
            <w:r>
              <w:rPr>
                <w:rFonts w:hint="eastAsia" w:ascii="Times New Roman" w:hAnsi="Times New Roman" w:eastAsia="宋体" w:cs="Segoe UI"/>
                <w:i w:val="0"/>
                <w:iCs w:val="0"/>
                <w:caps w:val="0"/>
                <w:color w:val="auto"/>
                <w:spacing w:val="0"/>
                <w:kern w:val="2"/>
                <w:sz w:val="21"/>
                <w:szCs w:val="24"/>
                <w:shd w:val="clear" w:fill="FFFFFF"/>
                <w:lang w:val="en-US" w:eastAsia="zh-CN" w:bidi="ar-SA"/>
              </w:rPr>
              <w:t>中山市污水处理有限公司</w:t>
            </w:r>
            <w:r>
              <w:rPr>
                <w:rFonts w:hint="default" w:ascii="Times New Roman" w:hAnsi="Times New Roman" w:eastAsia="宋体" w:cs="Segoe UI"/>
                <w:i w:val="0"/>
                <w:iCs w:val="0"/>
                <w:caps w:val="0"/>
                <w:color w:val="auto"/>
                <w:spacing w:val="0"/>
                <w:kern w:val="2"/>
                <w:sz w:val="21"/>
                <w:szCs w:val="24"/>
                <w:shd w:val="clear" w:fill="FFFFFF"/>
                <w:lang w:val="en-US" w:eastAsia="zh-CN" w:bidi="ar-SA"/>
              </w:rPr>
              <w:t>作深度处理，最终汇入石岐河，生活污水经三级化粪池预处理满足广东省地方标准《水污染物排放限值》</w:t>
            </w:r>
            <w:r>
              <w:rPr>
                <w:rFonts w:hint="eastAsia" w:cs="Segoe UI"/>
                <w:i w:val="0"/>
                <w:iCs w:val="0"/>
                <w:caps w:val="0"/>
                <w:color w:val="auto"/>
                <w:spacing w:val="0"/>
                <w:kern w:val="2"/>
                <w:sz w:val="21"/>
                <w:szCs w:val="24"/>
                <w:shd w:val="clear" w:fill="FFFFFF"/>
                <w:lang w:val="en-US" w:eastAsia="zh-CN" w:bidi="ar-SA"/>
              </w:rPr>
              <w:t>（DB44/26- 2001）</w:t>
            </w:r>
            <w:r>
              <w:rPr>
                <w:rFonts w:hint="default" w:ascii="Times New Roman" w:hAnsi="Times New Roman" w:eastAsia="宋体" w:cs="Segoe UI"/>
                <w:i w:val="0"/>
                <w:iCs w:val="0"/>
                <w:caps w:val="0"/>
                <w:color w:val="auto"/>
                <w:spacing w:val="0"/>
                <w:kern w:val="2"/>
                <w:sz w:val="21"/>
                <w:szCs w:val="24"/>
                <w:shd w:val="clear" w:fill="FFFFFF"/>
                <w:lang w:val="en-US" w:eastAsia="zh-CN" w:bidi="ar-SA"/>
              </w:rPr>
              <w:t>第二时段三级标准。</w:t>
            </w:r>
          </w:p>
          <w:p w14:paraId="2789642A">
            <w:pPr>
              <w:pStyle w:val="47"/>
              <w:keepNext w:val="0"/>
              <w:keepLines w:val="0"/>
              <w:suppressLineNumbers w:val="0"/>
              <w:spacing w:before="0" w:beforeAutospacing="0" w:after="0" w:afterAutospacing="0"/>
              <w:ind w:left="0" w:right="0" w:firstLine="438" w:firstLineChars="200"/>
              <w:rPr>
                <w:rFonts w:hint="default" w:ascii="Times New Roman" w:hAnsi="Times New Roman" w:eastAsia="宋体"/>
                <w:b/>
                <w:color w:val="auto"/>
                <w:sz w:val="21"/>
                <w:szCs w:val="24"/>
                <w:highlight w:val="none"/>
              </w:rPr>
            </w:pPr>
            <w:r>
              <w:rPr>
                <w:rFonts w:hint="default" w:ascii="Times New Roman" w:hAnsi="Times New Roman" w:eastAsia="宋体"/>
                <w:b/>
                <w:bCs/>
                <w:color w:val="auto"/>
                <w:sz w:val="21"/>
                <w:szCs w:val="24"/>
                <w:highlight w:val="none"/>
              </w:rPr>
              <w:t>生活污水排入污水处理厂的可依托性分析</w:t>
            </w:r>
          </w:p>
          <w:p w14:paraId="5CD45761">
            <w:pPr>
              <w:keepNext w:val="0"/>
              <w:keepLines w:val="0"/>
              <w:suppressLineNumbers w:val="0"/>
              <w:snapToGrid w:val="0"/>
              <w:spacing w:before="0" w:beforeAutospacing="0" w:after="0" w:afterAutospacing="0" w:line="360" w:lineRule="auto"/>
              <w:ind w:left="0" w:right="0" w:firstLine="420" w:firstLineChars="20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lang w:val="zh-CN"/>
              </w:rPr>
              <w:t>本项目位</w:t>
            </w:r>
            <w:r>
              <w:rPr>
                <w:rFonts w:hint="default" w:ascii="Times New Roman" w:hAnsi="Times New Roman" w:eastAsia="宋体"/>
                <w:bCs/>
                <w:color w:val="auto"/>
                <w:sz w:val="21"/>
                <w:highlight w:val="none"/>
              </w:rPr>
              <w:t>于</w:t>
            </w:r>
            <w:r>
              <w:rPr>
                <w:rFonts w:hint="eastAsia" w:ascii="Times New Roman" w:hAnsi="Times New Roman" w:eastAsia="宋体"/>
                <w:color w:val="auto"/>
                <w:sz w:val="21"/>
                <w:highlight w:val="none"/>
                <w:lang w:eastAsia="zh-CN"/>
              </w:rPr>
              <w:t>中山市南区圣都南路55号</w:t>
            </w:r>
            <w:r>
              <w:rPr>
                <w:rFonts w:hint="default" w:ascii="Times New Roman" w:hAnsi="Times New Roman" w:eastAsia="宋体"/>
                <w:bCs/>
                <w:color w:val="auto"/>
                <w:sz w:val="21"/>
                <w:highlight w:val="none"/>
              </w:rPr>
              <w:t>，</w:t>
            </w:r>
            <w:r>
              <w:rPr>
                <w:rFonts w:hint="default" w:ascii="Times New Roman" w:hAnsi="Times New Roman" w:eastAsia="宋体"/>
                <w:color w:val="auto"/>
                <w:sz w:val="21"/>
                <w:highlight w:val="none"/>
                <w:lang w:val="zh-CN"/>
              </w:rPr>
              <w:t>项目所在地纳入</w:t>
            </w:r>
            <w:r>
              <w:rPr>
                <w:rFonts w:hint="eastAsia" w:ascii="Times New Roman" w:hAnsi="Times New Roman" w:eastAsia="宋体"/>
                <w:color w:val="auto"/>
                <w:sz w:val="21"/>
                <w:highlight w:val="none"/>
                <w:lang w:val="zh-CN"/>
              </w:rPr>
              <w:t>中山市污水处理有限公司</w:t>
            </w:r>
            <w:r>
              <w:rPr>
                <w:rFonts w:hint="default" w:ascii="Times New Roman" w:hAnsi="Times New Roman" w:eastAsia="宋体"/>
                <w:color w:val="auto"/>
                <w:sz w:val="21"/>
                <w:highlight w:val="none"/>
                <w:lang w:val="zh-CN"/>
              </w:rPr>
              <w:t>的处理范围之内，中山市污水处理有限公司位于沙溪镇秀山村，南面是岐江河，占地面积约30公顷。中山市污水处理有限公司总的处理规模达到40万吨/天，分为三期建设，一期和二期建设总规模为日处理污水20万吨，一、二期工程污水处理服务范围包括西区、南区中心区、石岐区的安栏社区、联安社区、东区的库充、亨尾社区及博爱三路、四路一带城市新开发区，服务区总面积约19.77km</w:t>
            </w:r>
            <w:r>
              <w:rPr>
                <w:rFonts w:hint="default" w:ascii="Times New Roman" w:hAnsi="Times New Roman" w:eastAsia="宋体"/>
                <w:color w:val="auto"/>
                <w:sz w:val="21"/>
                <w:highlight w:val="none"/>
                <w:vertAlign w:val="superscript"/>
                <w:lang w:val="zh-CN"/>
              </w:rPr>
              <w:t>2</w:t>
            </w:r>
            <w:r>
              <w:rPr>
                <w:rFonts w:hint="default" w:ascii="Times New Roman" w:hAnsi="Times New Roman" w:eastAsia="宋体"/>
                <w:color w:val="auto"/>
                <w:sz w:val="21"/>
                <w:highlight w:val="none"/>
                <w:lang w:val="zh-CN"/>
              </w:rPr>
              <w:t>，一期已于1998年5月建成，二期工程已于2004年施工建设，</w:t>
            </w:r>
            <w:r>
              <w:rPr>
                <w:rFonts w:hint="eastAsia"/>
                <w:color w:val="auto"/>
                <w:sz w:val="21"/>
                <w:highlight w:val="none"/>
                <w:lang w:val="zh-CN"/>
              </w:rPr>
              <w:t>已</w:t>
            </w:r>
            <w:r>
              <w:rPr>
                <w:rFonts w:hint="default" w:ascii="Times New Roman" w:hAnsi="Times New Roman" w:eastAsia="宋体"/>
                <w:color w:val="auto"/>
                <w:sz w:val="21"/>
                <w:highlight w:val="none"/>
                <w:lang w:val="zh-CN"/>
              </w:rPr>
              <w:t>竣工，三期扩建工程总投资9.78亿元，已于2022年12月建设完成投入运营，日处理污水20万吨。中山市污水处理有限公司现状服务范围共划分为6大片区，包括沙溪片区、南区北片区、南区南片区、西区片区、白石涌片区和石鼓、龙石片区等，总服务面积113.63km</w:t>
            </w:r>
            <w:r>
              <w:rPr>
                <w:rFonts w:hint="default" w:ascii="Times New Roman" w:hAnsi="Times New Roman" w:eastAsia="宋体"/>
                <w:color w:val="auto"/>
                <w:sz w:val="21"/>
                <w:highlight w:val="none"/>
                <w:vertAlign w:val="superscript"/>
                <w:lang w:val="zh-CN"/>
              </w:rPr>
              <w:t>2</w:t>
            </w:r>
            <w:r>
              <w:rPr>
                <w:rFonts w:hint="default" w:ascii="Times New Roman" w:hAnsi="Times New Roman" w:eastAsia="宋体"/>
                <w:color w:val="auto"/>
                <w:sz w:val="21"/>
                <w:highlight w:val="none"/>
                <w:lang w:val="zh-CN"/>
              </w:rPr>
              <w:t>。本项目位于中山市污水处理有限公司</w:t>
            </w:r>
            <w:r>
              <w:rPr>
                <w:rFonts w:hint="eastAsia"/>
                <w:color w:val="auto"/>
                <w:sz w:val="21"/>
                <w:highlight w:val="none"/>
                <w:lang w:val="en-US" w:eastAsia="zh-CN"/>
              </w:rPr>
              <w:t>三</w:t>
            </w:r>
            <w:r>
              <w:rPr>
                <w:rFonts w:hint="default" w:ascii="Times New Roman" w:hAnsi="Times New Roman" w:eastAsia="宋体"/>
                <w:color w:val="auto"/>
                <w:sz w:val="21"/>
                <w:highlight w:val="none"/>
                <w:lang w:val="zh-CN"/>
              </w:rPr>
              <w:t>期工程的纳污范围内，中山市污水处理有限公司近期日处理水量已达19万吨，三期工程目前已竣工，竣工后日处理能力达40万吨，尚有21万吨的日处理能力剩余，项目生活污水产生量</w:t>
            </w:r>
            <w:r>
              <w:rPr>
                <w:rFonts w:hint="eastAsia"/>
                <w:color w:val="auto"/>
                <w:sz w:val="21"/>
                <w:highlight w:val="none"/>
                <w:lang w:val="en-US" w:eastAsia="zh-CN"/>
              </w:rPr>
              <w:t>22.5</w:t>
            </w:r>
            <w:r>
              <w:rPr>
                <w:rFonts w:hint="default" w:ascii="Times New Roman" w:hAnsi="Times New Roman" w:eastAsia="宋体"/>
                <w:color w:val="auto"/>
                <w:sz w:val="21"/>
                <w:highlight w:val="none"/>
                <w:lang w:val="zh-CN"/>
              </w:rPr>
              <w:t>t/d占污水处理厂剩余处理能力的0.0</w:t>
            </w:r>
            <w:r>
              <w:rPr>
                <w:rFonts w:hint="eastAsia"/>
                <w:color w:val="auto"/>
                <w:sz w:val="21"/>
                <w:highlight w:val="none"/>
                <w:lang w:val="en-US" w:eastAsia="zh-CN"/>
              </w:rPr>
              <w:t>1</w:t>
            </w:r>
            <w:r>
              <w:rPr>
                <w:rFonts w:hint="default" w:ascii="Times New Roman" w:hAnsi="Times New Roman" w:eastAsia="宋体"/>
                <w:color w:val="auto"/>
                <w:sz w:val="21"/>
                <w:highlight w:val="none"/>
                <w:lang w:val="zh-CN"/>
              </w:rPr>
              <w:t>%，有足够的余量处理本项目生活污水。因此生活污水依托中山市污水处理有限公司可行。中山市污水处理有限公司出水水质符合广东省地方标准《水污染物排放限值》</w:t>
            </w:r>
            <w:r>
              <w:rPr>
                <w:rFonts w:hint="eastAsia"/>
                <w:color w:val="auto"/>
                <w:sz w:val="21"/>
                <w:highlight w:val="none"/>
                <w:lang w:val="zh-CN"/>
              </w:rPr>
              <w:t>（DB44/26- 2001）</w:t>
            </w:r>
            <w:r>
              <w:rPr>
                <w:rFonts w:hint="default" w:ascii="Times New Roman" w:hAnsi="Times New Roman" w:eastAsia="宋体"/>
                <w:color w:val="auto"/>
                <w:sz w:val="21"/>
                <w:highlight w:val="none"/>
                <w:lang w:val="zh-CN"/>
              </w:rPr>
              <w:t>第二时段一级标准及《城镇污水处理厂污染物排放标准》（</w:t>
            </w:r>
            <w:r>
              <w:rPr>
                <w:rFonts w:hint="eastAsia"/>
                <w:color w:val="auto"/>
                <w:sz w:val="21"/>
                <w:highlight w:val="none"/>
                <w:lang w:val="zh-CN"/>
              </w:rPr>
              <w:t>GB18918- 2002</w:t>
            </w:r>
            <w:r>
              <w:rPr>
                <w:rFonts w:hint="default" w:ascii="Times New Roman" w:hAnsi="Times New Roman" w:eastAsia="宋体"/>
                <w:color w:val="auto"/>
                <w:sz w:val="21"/>
                <w:highlight w:val="none"/>
                <w:lang w:val="zh-CN"/>
              </w:rPr>
              <w:t>）一级标准B标准的较严者。</w:t>
            </w:r>
          </w:p>
          <w:p w14:paraId="5928FFF3">
            <w:pPr>
              <w:keepNext w:val="0"/>
              <w:keepLines w:val="0"/>
              <w:suppressLineNumbers w:val="0"/>
              <w:spacing w:before="0" w:beforeAutospacing="0" w:after="0" w:afterAutospacing="0" w:line="360" w:lineRule="auto"/>
              <w:ind w:left="0" w:right="0" w:firstLine="420" w:firstLineChars="200"/>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综上，从</w:t>
            </w:r>
            <w:r>
              <w:rPr>
                <w:rFonts w:hint="eastAsia" w:ascii="Times New Roman" w:hAnsi="Times New Roman" w:eastAsia="宋体"/>
                <w:color w:val="auto"/>
                <w:sz w:val="21"/>
                <w:highlight w:val="none"/>
              </w:rPr>
              <w:t>中山市污水处理有限公司</w:t>
            </w:r>
            <w:r>
              <w:rPr>
                <w:rFonts w:hint="default" w:ascii="Times New Roman" w:hAnsi="Times New Roman" w:eastAsia="宋体"/>
                <w:color w:val="auto"/>
                <w:sz w:val="21"/>
                <w:highlight w:val="none"/>
              </w:rPr>
              <w:t>的服务范围、处理规模、处理工艺和水质要求来说，项目生活污水排入</w:t>
            </w:r>
            <w:r>
              <w:rPr>
                <w:rFonts w:hint="eastAsia" w:ascii="Times New Roman" w:hAnsi="Times New Roman" w:eastAsia="宋体"/>
                <w:color w:val="auto"/>
                <w:sz w:val="21"/>
                <w:highlight w:val="none"/>
              </w:rPr>
              <w:t>中山市污水处理有限公司</w:t>
            </w:r>
            <w:r>
              <w:rPr>
                <w:rFonts w:hint="default" w:ascii="Times New Roman" w:hAnsi="Times New Roman" w:eastAsia="宋体"/>
                <w:color w:val="auto"/>
                <w:sz w:val="21"/>
                <w:highlight w:val="none"/>
              </w:rPr>
              <w:t>处理是可行的。</w:t>
            </w:r>
          </w:p>
          <w:p w14:paraId="0F547B73">
            <w:pPr>
              <w:keepNext w:val="0"/>
              <w:keepLines w:val="0"/>
              <w:numPr>
                <w:ilvl w:val="0"/>
                <w:numId w:val="28"/>
              </w:numPr>
              <w:suppressLineNumbers w:val="0"/>
              <w:spacing w:before="0" w:beforeAutospacing="0" w:after="0" w:afterAutospacing="0" w:line="360" w:lineRule="auto"/>
              <w:ind w:left="0" w:right="0" w:firstLine="422" w:firstLineChars="200"/>
              <w:rPr>
                <w:rFonts w:hint="default" w:ascii="Times New Roman" w:hAnsi="Times New Roman" w:eastAsia="宋体"/>
                <w:b/>
                <w:bCs/>
                <w:color w:val="auto"/>
                <w:sz w:val="21"/>
                <w:highlight w:val="none"/>
              </w:rPr>
            </w:pPr>
            <w:r>
              <w:rPr>
                <w:rFonts w:hint="default" w:ascii="Times New Roman" w:hAnsi="Times New Roman" w:eastAsia="宋体"/>
                <w:b/>
                <w:bCs/>
                <w:color w:val="auto"/>
                <w:sz w:val="21"/>
                <w:highlight w:val="none"/>
              </w:rPr>
              <w:t>生产废水：</w:t>
            </w:r>
          </w:p>
          <w:p w14:paraId="4885C4B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imes New Roman" w:hAnsi="Times New Roman" w:eastAsia="宋体" w:cs="宋体"/>
                <w:color w:val="auto"/>
                <w:kern w:val="0"/>
                <w:sz w:val="21"/>
                <w:szCs w:val="24"/>
                <w:lang w:val="en-US" w:eastAsia="zh-CN" w:bidi="ar"/>
              </w:rPr>
            </w:pPr>
            <w:r>
              <w:rPr>
                <w:rFonts w:hint="eastAsia" w:cs="宋体"/>
                <w:color w:val="auto"/>
                <w:kern w:val="0"/>
                <w:sz w:val="21"/>
                <w:szCs w:val="24"/>
                <w:lang w:val="en-US" w:eastAsia="zh-CN" w:bidi="ar"/>
              </w:rPr>
              <w:t>1</w:t>
            </w:r>
            <w:r>
              <w:rPr>
                <w:rFonts w:hint="eastAsia" w:ascii="Times New Roman" w:hAnsi="Times New Roman" w:eastAsia="宋体" w:cs="宋体"/>
                <w:color w:val="auto"/>
                <w:kern w:val="0"/>
                <w:sz w:val="21"/>
                <w:szCs w:val="24"/>
                <w:lang w:val="en-US" w:eastAsia="zh-CN" w:bidi="ar"/>
              </w:rPr>
              <w:t>）冲版废水</w:t>
            </w:r>
          </w:p>
          <w:p w14:paraId="47FE7C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default" w:ascii="Times New Roman" w:hAnsi="Times New Roman" w:eastAsia="宋体"/>
                <w:color w:val="auto"/>
                <w:sz w:val="21"/>
              </w:rPr>
            </w:pPr>
            <w:r>
              <w:rPr>
                <w:rFonts w:hint="eastAsia" w:ascii="Times New Roman" w:hAnsi="Times New Roman" w:eastAsia="宋体" w:cs="宋体"/>
                <w:color w:val="auto"/>
                <w:kern w:val="0"/>
                <w:sz w:val="21"/>
                <w:szCs w:val="24"/>
                <w:lang w:val="en-US" w:eastAsia="zh-CN" w:bidi="ar"/>
              </w:rPr>
              <w:t>项目冲版过程产生冲版废水，产生量为</w:t>
            </w:r>
            <w:r>
              <w:rPr>
                <w:rFonts w:hint="eastAsia" w:cs="Times New Roman"/>
                <w:color w:val="auto"/>
                <w:kern w:val="0"/>
                <w:sz w:val="21"/>
                <w:szCs w:val="24"/>
                <w:lang w:val="en-US" w:eastAsia="zh-CN" w:bidi="ar"/>
              </w:rPr>
              <w:t>27</w:t>
            </w:r>
            <w:r>
              <w:rPr>
                <w:rFonts w:hint="default" w:ascii="Times New Roman" w:hAnsi="Times New Roman" w:eastAsia="宋体" w:cs="Times New Roman"/>
                <w:color w:val="auto"/>
                <w:kern w:val="0"/>
                <w:sz w:val="21"/>
                <w:szCs w:val="24"/>
                <w:lang w:val="en-US" w:eastAsia="zh-CN" w:bidi="ar"/>
              </w:rPr>
              <w:t>t/a</w:t>
            </w:r>
            <w:r>
              <w:rPr>
                <w:rFonts w:hint="eastAsia" w:ascii="Times New Roman" w:hAnsi="Times New Roman" w:eastAsia="宋体" w:cs="宋体"/>
                <w:color w:val="auto"/>
                <w:kern w:val="0"/>
                <w:sz w:val="21"/>
                <w:szCs w:val="24"/>
                <w:lang w:val="en-US" w:eastAsia="zh-CN" w:bidi="ar"/>
              </w:rPr>
              <w:t>。主要污染物参考《胶片厂印刷胶片废水治理工艺改进》</w:t>
            </w:r>
            <w:r>
              <w:rPr>
                <w:rFonts w:hint="eastAsia" w:cs="宋体"/>
                <w:color w:val="auto"/>
                <w:kern w:val="0"/>
                <w:sz w:val="21"/>
                <w:szCs w:val="24"/>
                <w:lang w:val="en-US" w:eastAsia="zh-CN" w:bidi="ar"/>
              </w:rPr>
              <w:t>（</w:t>
            </w:r>
            <w:r>
              <w:rPr>
                <w:rFonts w:hint="eastAsia" w:ascii="Times New Roman" w:hAnsi="Times New Roman" w:eastAsia="宋体" w:cs="宋体"/>
                <w:color w:val="auto"/>
                <w:kern w:val="0"/>
                <w:sz w:val="21"/>
                <w:szCs w:val="24"/>
                <w:lang w:val="en-US" w:eastAsia="zh-CN" w:bidi="ar"/>
              </w:rPr>
              <w:t>化工环保</w:t>
            </w:r>
            <w:r>
              <w:rPr>
                <w:rFonts w:hint="default" w:ascii="Times New Roman" w:hAnsi="Times New Roman" w:eastAsia="宋体" w:cs="Times New Roman"/>
                <w:color w:val="auto"/>
                <w:kern w:val="0"/>
                <w:sz w:val="21"/>
                <w:szCs w:val="24"/>
                <w:lang w:val="en-US" w:eastAsia="zh-CN" w:bidi="ar"/>
              </w:rPr>
              <w:t>2000</w:t>
            </w:r>
            <w:r>
              <w:rPr>
                <w:rFonts w:hint="eastAsia" w:ascii="Times New Roman" w:hAnsi="Times New Roman" w:eastAsia="宋体" w:cs="宋体"/>
                <w:color w:val="auto"/>
                <w:kern w:val="0"/>
                <w:sz w:val="21"/>
                <w:szCs w:val="24"/>
                <w:lang w:val="en-US" w:eastAsia="zh-CN" w:bidi="ar"/>
              </w:rPr>
              <w:t>年第</w:t>
            </w:r>
            <w:r>
              <w:rPr>
                <w:rFonts w:hint="default" w:ascii="Times New Roman" w:hAnsi="Times New Roman" w:eastAsia="宋体" w:cs="Times New Roman"/>
                <w:color w:val="auto"/>
                <w:kern w:val="0"/>
                <w:sz w:val="21"/>
                <w:szCs w:val="24"/>
                <w:lang w:val="en-US" w:eastAsia="zh-CN" w:bidi="ar"/>
              </w:rPr>
              <w:t>20</w:t>
            </w:r>
            <w:r>
              <w:rPr>
                <w:rFonts w:hint="eastAsia" w:ascii="Times New Roman" w:hAnsi="Times New Roman" w:eastAsia="宋体" w:cs="宋体"/>
                <w:color w:val="auto"/>
                <w:kern w:val="0"/>
                <w:sz w:val="21"/>
                <w:szCs w:val="24"/>
                <w:lang w:val="en-US" w:eastAsia="zh-CN" w:bidi="ar"/>
              </w:rPr>
              <w:t>卷第</w:t>
            </w:r>
            <w:r>
              <w:rPr>
                <w:rFonts w:hint="default" w:ascii="Times New Roman" w:hAnsi="Times New Roman" w:eastAsia="宋体" w:cs="Times New Roman"/>
                <w:color w:val="auto"/>
                <w:kern w:val="0"/>
                <w:sz w:val="21"/>
                <w:szCs w:val="24"/>
                <w:lang w:val="en-US" w:eastAsia="zh-CN" w:bidi="ar"/>
              </w:rPr>
              <w:t>2</w:t>
            </w:r>
            <w:r>
              <w:rPr>
                <w:rFonts w:hint="eastAsia" w:ascii="Times New Roman" w:hAnsi="Times New Roman" w:eastAsia="宋体" w:cs="宋体"/>
                <w:color w:val="auto"/>
                <w:kern w:val="0"/>
                <w:sz w:val="21"/>
                <w:szCs w:val="24"/>
                <w:lang w:val="en-US" w:eastAsia="zh-CN" w:bidi="ar"/>
              </w:rPr>
              <w:t>期</w:t>
            </w:r>
            <w:r>
              <w:rPr>
                <w:rFonts w:hint="eastAsia" w:cs="宋体"/>
                <w:color w:val="auto"/>
                <w:kern w:val="0"/>
                <w:sz w:val="21"/>
                <w:szCs w:val="24"/>
                <w:lang w:val="en-US" w:eastAsia="zh-CN" w:bidi="ar"/>
              </w:rPr>
              <w:t>）</w:t>
            </w:r>
            <w:r>
              <w:rPr>
                <w:rFonts w:hint="eastAsia" w:ascii="Times New Roman" w:hAnsi="Times New Roman" w:eastAsia="宋体" w:cs="宋体"/>
                <w:color w:val="auto"/>
                <w:kern w:val="0"/>
                <w:sz w:val="21"/>
                <w:szCs w:val="24"/>
                <w:lang w:val="en-US" w:eastAsia="zh-CN" w:bidi="ar"/>
              </w:rPr>
              <w:t>表</w:t>
            </w:r>
            <w:r>
              <w:rPr>
                <w:rFonts w:hint="default" w:ascii="Times New Roman" w:hAnsi="Times New Roman" w:eastAsia="宋体" w:cs="Times New Roman"/>
                <w:color w:val="auto"/>
                <w:kern w:val="0"/>
                <w:sz w:val="21"/>
                <w:szCs w:val="24"/>
                <w:lang w:val="en-US" w:eastAsia="zh-CN" w:bidi="ar"/>
              </w:rPr>
              <w:t>2</w:t>
            </w:r>
            <w:r>
              <w:rPr>
                <w:rFonts w:hint="eastAsia" w:ascii="Times New Roman" w:hAnsi="Times New Roman" w:eastAsia="宋体" w:cs="宋体"/>
                <w:color w:val="auto"/>
                <w:kern w:val="0"/>
                <w:sz w:val="21"/>
                <w:szCs w:val="24"/>
                <w:lang w:val="en-US" w:eastAsia="zh-CN" w:bidi="ar"/>
              </w:rPr>
              <w:t>中研究所废水，项目所用胶片材质和冲印材料与该文献所用的材料一致，故本项目冲版废水污染物及浓度参考文献中污染物浓度为</w:t>
            </w:r>
            <w:r>
              <w:rPr>
                <w:rFonts w:hint="default" w:ascii="Times New Roman" w:hAnsi="Times New Roman" w:eastAsia="宋体" w:cs="Times New Roman"/>
                <w:color w:val="auto"/>
                <w:kern w:val="0"/>
                <w:sz w:val="21"/>
                <w:szCs w:val="24"/>
                <w:lang w:val="en-US" w:eastAsia="zh-CN" w:bidi="ar"/>
              </w:rPr>
              <w:t>pH</w:t>
            </w:r>
            <w:r>
              <w:rPr>
                <w:rFonts w:hint="eastAsia" w:ascii="Times New Roman" w:hAnsi="Times New Roman" w:eastAsia="宋体" w:cs="宋体"/>
                <w:color w:val="auto"/>
                <w:kern w:val="0"/>
                <w:sz w:val="21"/>
                <w:szCs w:val="24"/>
                <w:lang w:val="en-US" w:eastAsia="zh-CN" w:bidi="ar"/>
              </w:rPr>
              <w:t>值</w:t>
            </w:r>
            <w:r>
              <w:rPr>
                <w:rFonts w:hint="default" w:ascii="Times New Roman" w:hAnsi="Times New Roman" w:eastAsia="宋体" w:cs="Times New Roman"/>
                <w:color w:val="auto"/>
                <w:kern w:val="0"/>
                <w:sz w:val="21"/>
                <w:szCs w:val="24"/>
                <w:lang w:val="en-US" w:eastAsia="zh-CN" w:bidi="ar"/>
              </w:rPr>
              <w:t>7.6</w:t>
            </w:r>
            <w:r>
              <w:rPr>
                <w:rFonts w:hint="eastAsia" w:ascii="Times New Roman" w:hAnsi="Times New Roman" w:eastAsia="宋体" w:cs="宋体"/>
                <w:color w:val="auto"/>
                <w:kern w:val="0"/>
                <w:sz w:val="21"/>
                <w:szCs w:val="24"/>
                <w:lang w:val="en-US" w:eastAsia="zh-CN" w:bidi="ar"/>
              </w:rPr>
              <w:t>、</w:t>
            </w:r>
            <w:r>
              <w:rPr>
                <w:rFonts w:hint="default" w:ascii="Times New Roman" w:hAnsi="Times New Roman" w:eastAsia="宋体" w:cs="Times New Roman"/>
                <w:color w:val="auto"/>
                <w:kern w:val="0"/>
                <w:sz w:val="21"/>
                <w:szCs w:val="24"/>
                <w:lang w:val="en-US" w:eastAsia="zh-CN" w:bidi="ar"/>
              </w:rPr>
              <w:t>CODcr≤500mgL</w:t>
            </w:r>
            <w:r>
              <w:rPr>
                <w:rFonts w:hint="eastAsia" w:ascii="Times New Roman" w:hAnsi="Times New Roman" w:eastAsia="宋体" w:cs="宋体"/>
                <w:color w:val="auto"/>
                <w:kern w:val="0"/>
                <w:sz w:val="21"/>
                <w:szCs w:val="24"/>
                <w:lang w:val="en-US" w:eastAsia="zh-CN" w:bidi="ar"/>
              </w:rPr>
              <w:t>、</w:t>
            </w:r>
            <w:r>
              <w:rPr>
                <w:rFonts w:hint="default" w:ascii="Times New Roman" w:hAnsi="Times New Roman" w:eastAsia="宋体" w:cs="Times New Roman"/>
                <w:color w:val="auto"/>
                <w:kern w:val="0"/>
                <w:sz w:val="21"/>
                <w:szCs w:val="24"/>
                <w:lang w:val="en-US" w:eastAsia="zh-CN" w:bidi="ar"/>
              </w:rPr>
              <w:t>BOD</w:t>
            </w:r>
            <w:r>
              <w:rPr>
                <w:rFonts w:hint="default" w:ascii="Times New Roman" w:hAnsi="Times New Roman" w:eastAsia="宋体" w:cs="Times New Roman"/>
                <w:color w:val="auto"/>
                <w:kern w:val="0"/>
                <w:sz w:val="21"/>
                <w:szCs w:val="16"/>
                <w:vertAlign w:val="subscript"/>
                <w:lang w:val="en-US" w:eastAsia="zh-CN" w:bidi="ar"/>
              </w:rPr>
              <w:t>5</w:t>
            </w:r>
            <w:r>
              <w:rPr>
                <w:rFonts w:hint="default" w:ascii="Times New Roman" w:hAnsi="Times New Roman" w:eastAsia="宋体" w:cs="Times New Roman"/>
                <w:color w:val="auto"/>
                <w:kern w:val="0"/>
                <w:sz w:val="21"/>
                <w:szCs w:val="24"/>
                <w:lang w:val="en-US" w:eastAsia="zh-CN" w:bidi="ar"/>
              </w:rPr>
              <w:t>≤200mg/L</w:t>
            </w:r>
            <w:r>
              <w:rPr>
                <w:rFonts w:hint="eastAsia" w:ascii="Times New Roman" w:hAnsi="Times New Roman" w:eastAsia="宋体" w:cs="宋体"/>
                <w:color w:val="auto"/>
                <w:kern w:val="0"/>
                <w:sz w:val="21"/>
                <w:szCs w:val="24"/>
                <w:lang w:val="en-US" w:eastAsia="zh-CN" w:bidi="ar"/>
              </w:rPr>
              <w:t>、</w:t>
            </w:r>
            <w:r>
              <w:rPr>
                <w:rFonts w:hint="default" w:ascii="Times New Roman" w:hAnsi="Times New Roman" w:eastAsia="宋体" w:cs="Times New Roman"/>
                <w:color w:val="auto"/>
                <w:kern w:val="0"/>
                <w:sz w:val="21"/>
                <w:szCs w:val="24"/>
                <w:lang w:val="en-US" w:eastAsia="zh-CN" w:bidi="ar"/>
              </w:rPr>
              <w:t>SS≤86mg/L</w:t>
            </w:r>
            <w:r>
              <w:rPr>
                <w:rFonts w:hint="eastAsia" w:ascii="Times New Roman" w:hAnsi="Times New Roman" w:eastAsia="宋体" w:cs="宋体"/>
                <w:color w:val="auto"/>
                <w:kern w:val="0"/>
                <w:sz w:val="21"/>
                <w:szCs w:val="24"/>
                <w:lang w:val="en-US" w:eastAsia="zh-CN" w:bidi="ar"/>
              </w:rPr>
              <w:t>。</w:t>
            </w:r>
          </w:p>
          <w:p w14:paraId="65940F28">
            <w:pPr>
              <w:keepNext w:val="0"/>
              <w:keepLines w:val="0"/>
              <w:suppressLineNumbers w:val="0"/>
              <w:snapToGrid w:val="0"/>
              <w:spacing w:before="0" w:beforeAutospacing="0" w:after="0" w:afterAutospacing="0" w:line="360" w:lineRule="auto"/>
              <w:ind w:left="0" w:right="0" w:firstLine="420" w:firstLineChars="200"/>
              <w:rPr>
                <w:rFonts w:hint="eastAsia" w:ascii="Times New Roman" w:hAnsi="Times New Roman" w:eastAsia="宋体"/>
                <w:color w:val="auto"/>
                <w:sz w:val="21"/>
                <w:highlight w:val="none"/>
                <w:lang w:val="en-US" w:eastAsia="zh-CN"/>
              </w:rPr>
            </w:pPr>
            <w:r>
              <w:rPr>
                <w:rFonts w:hint="eastAsia" w:cs="宋体"/>
                <w:color w:val="auto"/>
                <w:kern w:val="0"/>
                <w:sz w:val="21"/>
                <w:szCs w:val="24"/>
                <w:lang w:val="en-US" w:eastAsia="zh-CN" w:bidi="ar"/>
              </w:rPr>
              <w:t>2</w:t>
            </w:r>
            <w:r>
              <w:rPr>
                <w:rFonts w:hint="eastAsia" w:ascii="Times New Roman" w:hAnsi="Times New Roman" w:eastAsia="宋体" w:cs="宋体"/>
                <w:color w:val="auto"/>
                <w:kern w:val="0"/>
                <w:sz w:val="21"/>
                <w:szCs w:val="24"/>
                <w:lang w:val="en-US" w:eastAsia="zh-CN" w:bidi="ar"/>
              </w:rPr>
              <w:t>）网版清洗废水：</w:t>
            </w:r>
            <w:r>
              <w:rPr>
                <w:rFonts w:hint="default" w:ascii="Times New Roman" w:hAnsi="Times New Roman" w:eastAsia="宋体" w:cs="宋体"/>
                <w:color w:val="auto"/>
                <w:kern w:val="0"/>
                <w:sz w:val="21"/>
                <w:szCs w:val="24"/>
                <w:lang w:val="en-US" w:eastAsia="zh-CN" w:bidi="ar"/>
              </w:rPr>
              <w:t>项目网版清洗过程中产生网版清洗废水，产生量为108t/a。项目印刷工序与印刷行业中孔版印刷（丝网印刷）工序类似，故网版清洗废水主要污染物产生浓度可参考《排放源统计调查产排污核算方法和系数手册》中“23印刷和记录媒介复制行业系数手册”里的纸、其他承印物产污系数”，CODcr为243g/t·产品，氨氮为26.3g/t·产品。</w:t>
            </w:r>
          </w:p>
          <w:p w14:paraId="5BD9E9DE">
            <w:pPr>
              <w:keepNext w:val="0"/>
              <w:keepLines w:val="0"/>
              <w:suppressLineNumbers w:val="0"/>
              <w:snapToGrid w:val="0"/>
              <w:spacing w:before="0" w:beforeAutospacing="0" w:after="0" w:afterAutospacing="0" w:line="360" w:lineRule="auto"/>
              <w:ind w:left="0" w:right="0" w:firstLine="420" w:firstLineChars="200"/>
              <w:rPr>
                <w:rFonts w:hint="default" w:ascii="Times New Roman" w:hAnsi="Times New Roman" w:eastAsia="宋体"/>
                <w:color w:val="auto"/>
                <w:sz w:val="21"/>
                <w:highlight w:val="none"/>
                <w:lang w:val="en-US" w:eastAsia="zh-CN"/>
              </w:rPr>
            </w:pPr>
            <w:r>
              <w:rPr>
                <w:rFonts w:hint="default" w:ascii="Times New Roman" w:hAnsi="Times New Roman" w:eastAsia="宋体"/>
                <w:color w:val="auto"/>
                <w:sz w:val="21"/>
                <w:highlight w:val="none"/>
                <w:lang w:val="en-US" w:eastAsia="zh-CN"/>
              </w:rPr>
              <w:t>根据业主提供资料，单只鞋面重量约50g，丝印年生产300万双，印刷面积约占产品面积的10%，则纳入核算的产品重量为：300万双×50g/只×2只/双×10%=30t/a。</w:t>
            </w:r>
          </w:p>
          <w:p w14:paraId="7E52D63F">
            <w:pPr>
              <w:keepNext w:val="0"/>
              <w:keepLines w:val="0"/>
              <w:suppressLineNumbers w:val="0"/>
              <w:snapToGrid w:val="0"/>
              <w:spacing w:before="0" w:beforeAutospacing="0" w:after="0" w:afterAutospacing="0" w:line="360" w:lineRule="auto"/>
              <w:ind w:left="0" w:right="0" w:firstLine="420" w:firstLineChars="200"/>
              <w:rPr>
                <w:rFonts w:hint="default" w:ascii="Times New Roman" w:hAnsi="Times New Roman" w:eastAsia="宋体"/>
                <w:color w:val="auto"/>
                <w:sz w:val="21"/>
                <w:highlight w:val="none"/>
                <w:lang w:val="en-US" w:eastAsia="zh-CN"/>
              </w:rPr>
            </w:pPr>
            <w:r>
              <w:rPr>
                <w:rFonts w:hint="default" w:ascii="Times New Roman" w:hAnsi="Times New Roman" w:eastAsia="宋体"/>
                <w:color w:val="auto"/>
                <w:sz w:val="21"/>
                <w:highlight w:val="none"/>
                <w:lang w:val="en-US" w:eastAsia="zh-CN"/>
              </w:rPr>
              <w:t>CODcr产生量=30t×243g/t÷1,000,000=0.00729t/a</w:t>
            </w:r>
          </w:p>
          <w:p w14:paraId="71AE0EF7">
            <w:pPr>
              <w:keepNext w:val="0"/>
              <w:keepLines w:val="0"/>
              <w:suppressLineNumbers w:val="0"/>
              <w:snapToGrid w:val="0"/>
              <w:spacing w:before="0" w:beforeAutospacing="0" w:after="0" w:afterAutospacing="0" w:line="360" w:lineRule="auto"/>
              <w:ind w:left="0" w:right="0" w:firstLine="420" w:firstLineChars="200"/>
              <w:rPr>
                <w:rFonts w:hint="default" w:ascii="Times New Roman" w:hAnsi="Times New Roman" w:eastAsia="宋体"/>
                <w:color w:val="auto"/>
                <w:sz w:val="21"/>
                <w:highlight w:val="none"/>
                <w:lang w:val="en-US" w:eastAsia="zh-CN"/>
              </w:rPr>
            </w:pPr>
            <w:r>
              <w:rPr>
                <w:rFonts w:hint="default" w:ascii="Times New Roman" w:hAnsi="Times New Roman" w:eastAsia="宋体"/>
                <w:color w:val="auto"/>
                <w:sz w:val="21"/>
                <w:highlight w:val="none"/>
                <w:lang w:val="en-US" w:eastAsia="zh-CN"/>
              </w:rPr>
              <w:t>氨氮产生量=30t×26.3g/t÷1,000,000=0.000789t/a</w:t>
            </w:r>
          </w:p>
          <w:p w14:paraId="277EE9FC">
            <w:pPr>
              <w:keepNext w:val="0"/>
              <w:keepLines w:val="0"/>
              <w:suppressLineNumbers w:val="0"/>
              <w:snapToGrid w:val="0"/>
              <w:spacing w:before="0" w:beforeAutospacing="0" w:after="0" w:afterAutospacing="0" w:line="360" w:lineRule="auto"/>
              <w:ind w:left="0" w:right="0" w:firstLine="420" w:firstLineChars="200"/>
              <w:rPr>
                <w:rFonts w:hint="default" w:ascii="Times New Roman" w:hAnsi="Times New Roman" w:eastAsia="宋体"/>
                <w:color w:val="auto"/>
                <w:sz w:val="21"/>
                <w:highlight w:val="none"/>
                <w:lang w:val="en-US" w:eastAsia="zh-CN"/>
              </w:rPr>
            </w:pPr>
            <w:r>
              <w:rPr>
                <w:rFonts w:hint="default" w:ascii="Times New Roman" w:hAnsi="Times New Roman" w:eastAsia="宋体"/>
                <w:color w:val="auto"/>
                <w:sz w:val="21"/>
                <w:highlight w:val="none"/>
                <w:lang w:val="en-US" w:eastAsia="zh-CN"/>
              </w:rPr>
              <w:t>网版清洗废水量为108t/a，则：</w:t>
            </w:r>
          </w:p>
          <w:p w14:paraId="0BB7FD51">
            <w:pPr>
              <w:keepNext w:val="0"/>
              <w:keepLines w:val="0"/>
              <w:suppressLineNumbers w:val="0"/>
              <w:snapToGrid w:val="0"/>
              <w:spacing w:before="0" w:beforeAutospacing="0" w:after="0" w:afterAutospacing="0" w:line="360" w:lineRule="auto"/>
              <w:ind w:left="0" w:right="0" w:firstLine="420" w:firstLineChars="200"/>
              <w:rPr>
                <w:rFonts w:hint="default" w:ascii="Times New Roman" w:hAnsi="Times New Roman" w:eastAsia="宋体"/>
                <w:color w:val="auto"/>
                <w:sz w:val="21"/>
                <w:highlight w:val="none"/>
                <w:lang w:val="en-US" w:eastAsia="zh-CN"/>
              </w:rPr>
            </w:pPr>
            <w:r>
              <w:rPr>
                <w:rFonts w:hint="default" w:ascii="Times New Roman" w:hAnsi="Times New Roman" w:eastAsia="宋体"/>
                <w:color w:val="auto"/>
                <w:sz w:val="21"/>
                <w:highlight w:val="none"/>
                <w:lang w:val="en-US" w:eastAsia="zh-CN"/>
              </w:rPr>
              <w:t>CODcr浓度=0.00729t/a÷108t/a×10⁶=67.5mg/L</w:t>
            </w:r>
          </w:p>
          <w:p w14:paraId="2122E952">
            <w:pPr>
              <w:keepNext w:val="0"/>
              <w:keepLines w:val="0"/>
              <w:suppressLineNumbers w:val="0"/>
              <w:snapToGrid w:val="0"/>
              <w:spacing w:before="0" w:beforeAutospacing="0" w:after="0" w:afterAutospacing="0" w:line="360" w:lineRule="auto"/>
              <w:ind w:left="0" w:right="0" w:firstLine="420" w:firstLineChars="200"/>
              <w:rPr>
                <w:rFonts w:hint="default" w:ascii="Times New Roman" w:hAnsi="Times New Roman" w:eastAsia="宋体"/>
                <w:color w:val="auto"/>
                <w:sz w:val="21"/>
                <w:highlight w:val="none"/>
                <w:lang w:val="en-US" w:eastAsia="zh-CN"/>
              </w:rPr>
            </w:pPr>
            <w:r>
              <w:rPr>
                <w:rFonts w:hint="default" w:ascii="Times New Roman" w:hAnsi="Times New Roman" w:eastAsia="宋体"/>
                <w:color w:val="auto"/>
                <w:sz w:val="21"/>
                <w:highlight w:val="none"/>
                <w:lang w:val="en-US" w:eastAsia="zh-CN"/>
              </w:rPr>
              <w:t>氨氮浓度=0.000789t/a÷108t/a×10⁶=7.31mg/L</w:t>
            </w:r>
          </w:p>
          <w:p w14:paraId="138A032D">
            <w:pPr>
              <w:keepNext w:val="0"/>
              <w:keepLines w:val="0"/>
              <w:suppressLineNumbers w:val="0"/>
              <w:snapToGrid w:val="0"/>
              <w:spacing w:before="0" w:beforeAutospacing="0" w:after="0" w:afterAutospacing="0" w:line="360" w:lineRule="auto"/>
              <w:ind w:left="0" w:right="0" w:firstLine="420" w:firstLineChars="200"/>
              <w:rPr>
                <w:rFonts w:hint="default" w:ascii="Times New Roman" w:hAnsi="Times New Roman" w:eastAsia="宋体"/>
                <w:color w:val="auto"/>
                <w:sz w:val="21"/>
                <w:highlight w:val="none"/>
                <w:lang w:val="en-US" w:eastAsia="zh-CN"/>
              </w:rPr>
            </w:pPr>
            <w:r>
              <w:rPr>
                <w:rFonts w:hint="default" w:ascii="Times New Roman" w:hAnsi="Times New Roman" w:eastAsia="宋体"/>
                <w:color w:val="auto"/>
                <w:sz w:val="21"/>
                <w:highlight w:val="none"/>
                <w:lang w:val="en-US" w:eastAsia="zh-CN"/>
              </w:rPr>
              <w:t>另外项目废水中含有的BOD₅、SS、pH值等污染物产生浓度参考《典型印染行业废水污染特征及处理工艺应用》（河南科技，2016）中设备冲洗废水污染物浓度，BOD₅≤200mg/L、SS≤300mg/L、pH值8~10、色度&lt;50倍、石油类≤10mg/L。</w:t>
            </w:r>
          </w:p>
          <w:p w14:paraId="45CF380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imes New Roman" w:hAnsi="Times New Roman" w:eastAsia="宋体" w:cs="宋体"/>
                <w:color w:val="auto"/>
                <w:kern w:val="0"/>
                <w:sz w:val="21"/>
                <w:szCs w:val="24"/>
                <w:lang w:val="en-US" w:eastAsia="zh-CN" w:bidi="ar"/>
              </w:rPr>
            </w:pPr>
            <w:r>
              <w:rPr>
                <w:rFonts w:hint="eastAsia" w:ascii="Times New Roman" w:hAnsi="Times New Roman" w:eastAsia="宋体" w:cs="宋体"/>
                <w:color w:val="auto"/>
                <w:kern w:val="0"/>
                <w:sz w:val="21"/>
                <w:szCs w:val="24"/>
                <w:lang w:val="en-US" w:eastAsia="zh-CN" w:bidi="ar"/>
              </w:rPr>
              <w:t>3）项目水质情</w:t>
            </w:r>
            <w:r>
              <w:rPr>
                <w:rFonts w:hint="eastAsia" w:cs="宋体"/>
                <w:color w:val="auto"/>
                <w:kern w:val="0"/>
                <w:sz w:val="21"/>
                <w:szCs w:val="24"/>
                <w:lang w:val="en-US" w:eastAsia="zh-CN" w:bidi="ar"/>
              </w:rPr>
              <w:t>况如</w:t>
            </w:r>
            <w:r>
              <w:rPr>
                <w:rFonts w:hint="eastAsia" w:ascii="Times New Roman" w:hAnsi="Times New Roman" w:eastAsia="宋体" w:cs="宋体"/>
                <w:color w:val="auto"/>
                <w:kern w:val="0"/>
                <w:sz w:val="21"/>
                <w:szCs w:val="24"/>
                <w:lang w:val="en-US" w:eastAsia="zh-CN" w:bidi="ar"/>
              </w:rPr>
              <w:t>下表。</w:t>
            </w:r>
          </w:p>
          <w:p w14:paraId="33230F67">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sz w:val="21"/>
                <w:szCs w:val="24"/>
                <w:lang w:val="en-US" w:eastAsia="zh-CN"/>
              </w:rPr>
            </w:pPr>
            <w:r>
              <w:rPr>
                <w:rFonts w:hint="eastAsia" w:ascii="Times New Roman" w:hAnsi="Times New Roman" w:eastAsia="宋体" w:cs="Times New Roman"/>
                <w:b/>
                <w:color w:val="auto"/>
                <w:sz w:val="21"/>
                <w:szCs w:val="24"/>
                <w:lang w:val="en-US" w:eastAsia="zh-CN"/>
              </w:rPr>
              <w:t>生产废水污染物一览表</w:t>
            </w:r>
          </w:p>
          <w:tbl>
            <w:tblPr>
              <w:tblStyle w:val="49"/>
              <w:tblW w:w="89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448"/>
              <w:gridCol w:w="3039"/>
              <w:gridCol w:w="3741"/>
            </w:tblGrid>
            <w:tr w14:paraId="43BB8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749" w:type="dxa"/>
                  <w:vAlign w:val="center"/>
                </w:tcPr>
                <w:p w14:paraId="66DA8AC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color w:val="auto"/>
                      <w:kern w:val="0"/>
                      <w:sz w:val="21"/>
                      <w:szCs w:val="24"/>
                      <w:vertAlign w:val="baseline"/>
                      <w:lang w:val="en-US" w:eastAsia="zh-CN" w:bidi="ar"/>
                    </w:rPr>
                  </w:pPr>
                  <w:r>
                    <w:rPr>
                      <w:rFonts w:hint="eastAsia" w:ascii="Times New Roman" w:hAnsi="Times New Roman" w:eastAsia="宋体" w:cs="宋体"/>
                      <w:color w:val="auto"/>
                      <w:kern w:val="0"/>
                      <w:sz w:val="21"/>
                      <w:szCs w:val="24"/>
                      <w:vertAlign w:val="baseline"/>
                      <w:lang w:val="en-US" w:eastAsia="zh-CN" w:bidi="ar"/>
                    </w:rPr>
                    <w:t>序号</w:t>
                  </w:r>
                </w:p>
              </w:tc>
              <w:tc>
                <w:tcPr>
                  <w:tcW w:w="1448" w:type="dxa"/>
                  <w:vAlign w:val="center"/>
                </w:tcPr>
                <w:p w14:paraId="2500548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color w:val="auto"/>
                      <w:kern w:val="0"/>
                      <w:sz w:val="21"/>
                      <w:szCs w:val="24"/>
                      <w:vertAlign w:val="baseline"/>
                      <w:lang w:val="en-US" w:eastAsia="zh-CN" w:bidi="ar"/>
                    </w:rPr>
                  </w:pPr>
                  <w:r>
                    <w:rPr>
                      <w:rFonts w:hint="eastAsia" w:ascii="Times New Roman" w:hAnsi="Times New Roman" w:eastAsia="宋体" w:cs="宋体"/>
                      <w:color w:val="auto"/>
                      <w:kern w:val="0"/>
                      <w:sz w:val="21"/>
                      <w:szCs w:val="24"/>
                      <w:vertAlign w:val="baseline"/>
                      <w:lang w:val="en-US" w:eastAsia="zh-CN" w:bidi="ar"/>
                    </w:rPr>
                    <w:t>污染物种类</w:t>
                  </w:r>
                </w:p>
              </w:tc>
              <w:tc>
                <w:tcPr>
                  <w:tcW w:w="3039" w:type="dxa"/>
                  <w:vAlign w:val="center"/>
                </w:tcPr>
                <w:p w14:paraId="087E87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color w:val="auto"/>
                      <w:kern w:val="0"/>
                      <w:sz w:val="21"/>
                      <w:szCs w:val="24"/>
                      <w:vertAlign w:val="baseline"/>
                      <w:lang w:val="en-US" w:eastAsia="zh-CN" w:bidi="ar"/>
                    </w:rPr>
                  </w:pPr>
                  <w:r>
                    <w:rPr>
                      <w:rFonts w:hint="eastAsia" w:ascii="Times New Roman" w:hAnsi="Times New Roman" w:eastAsia="宋体" w:cs="宋体"/>
                      <w:color w:val="auto"/>
                      <w:kern w:val="0"/>
                      <w:sz w:val="21"/>
                      <w:szCs w:val="24"/>
                      <w:vertAlign w:val="baseline"/>
                      <w:lang w:val="en-US" w:eastAsia="zh-CN" w:bidi="ar"/>
                    </w:rPr>
                    <w:t>冲版废水产生的浓度</w:t>
                  </w:r>
                  <w:r>
                    <w:rPr>
                      <w:rFonts w:hint="default" w:ascii="Times New Roman" w:hAnsi="Times New Roman" w:eastAsia="宋体" w:cs="Times New Roman"/>
                      <w:color w:val="auto"/>
                      <w:kern w:val="0"/>
                      <w:sz w:val="21"/>
                      <w:szCs w:val="21"/>
                      <w:lang w:val="en-US" w:eastAsia="zh-CN" w:bidi="ar"/>
                    </w:rPr>
                    <w:t>mg/L</w:t>
                  </w:r>
                </w:p>
              </w:tc>
              <w:tc>
                <w:tcPr>
                  <w:tcW w:w="3741" w:type="dxa"/>
                  <w:vAlign w:val="center"/>
                </w:tcPr>
                <w:p w14:paraId="332F22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color w:val="auto"/>
                      <w:kern w:val="0"/>
                      <w:sz w:val="21"/>
                      <w:szCs w:val="24"/>
                      <w:vertAlign w:val="baseline"/>
                      <w:lang w:val="en-US" w:eastAsia="zh-CN" w:bidi="ar"/>
                    </w:rPr>
                  </w:pPr>
                  <w:r>
                    <w:rPr>
                      <w:rFonts w:hint="eastAsia" w:ascii="宋体" w:hAnsi="宋体" w:eastAsia="宋体" w:cs="宋体"/>
                      <w:color w:val="auto"/>
                      <w:kern w:val="0"/>
                      <w:sz w:val="21"/>
                      <w:szCs w:val="21"/>
                      <w:lang w:val="en-US" w:eastAsia="zh-CN" w:bidi="ar"/>
                    </w:rPr>
                    <w:t>网版清洗废水产生浓度</w:t>
                  </w:r>
                  <w:r>
                    <w:rPr>
                      <w:rFonts w:hint="default" w:ascii="Times New Roman" w:hAnsi="Times New Roman" w:eastAsia="宋体" w:cs="Times New Roman"/>
                      <w:color w:val="auto"/>
                      <w:kern w:val="0"/>
                      <w:sz w:val="21"/>
                      <w:szCs w:val="21"/>
                      <w:lang w:val="en-US" w:eastAsia="zh-CN" w:bidi="ar"/>
                    </w:rPr>
                    <w:t>mg/L</w:t>
                  </w:r>
                </w:p>
              </w:tc>
            </w:tr>
            <w:tr w14:paraId="39E9C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749" w:type="dxa"/>
                  <w:vAlign w:val="center"/>
                </w:tcPr>
                <w:p w14:paraId="1E52A3AF">
                  <w:pPr>
                    <w:keepNext w:val="0"/>
                    <w:keepLines w:val="0"/>
                    <w:pageBreakBefore w:val="0"/>
                    <w:widowControl/>
                    <w:numPr>
                      <w:ilvl w:val="0"/>
                      <w:numId w:val="29"/>
                    </w:numPr>
                    <w:suppressLineNumbers w:val="0"/>
                    <w:kinsoku/>
                    <w:wordWrap/>
                    <w:overflowPunct/>
                    <w:topLinePunct w:val="0"/>
                    <w:autoSpaceDE/>
                    <w:autoSpaceDN/>
                    <w:bidi w:val="0"/>
                    <w:adjustRightInd/>
                    <w:snapToGrid/>
                    <w:spacing w:before="0" w:beforeAutospacing="0" w:after="0" w:afterAutospacing="0" w:line="240" w:lineRule="auto"/>
                    <w:ind w:left="113" w:leftChars="0" w:right="0" w:hanging="113" w:firstLineChars="0"/>
                    <w:jc w:val="center"/>
                    <w:textAlignment w:val="auto"/>
                    <w:rPr>
                      <w:rFonts w:hint="default" w:ascii="Times New Roman" w:hAnsi="Times New Roman" w:eastAsia="宋体" w:cs="宋体"/>
                      <w:color w:val="auto"/>
                      <w:kern w:val="0"/>
                      <w:sz w:val="21"/>
                      <w:szCs w:val="24"/>
                      <w:vertAlign w:val="baseline"/>
                      <w:lang w:val="en-US" w:eastAsia="zh-CN" w:bidi="ar"/>
                    </w:rPr>
                  </w:pPr>
                </w:p>
              </w:tc>
              <w:tc>
                <w:tcPr>
                  <w:tcW w:w="1448" w:type="dxa"/>
                  <w:vAlign w:val="center"/>
                </w:tcPr>
                <w:p w14:paraId="40ED3B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color w:val="auto"/>
                      <w:kern w:val="0"/>
                      <w:sz w:val="21"/>
                      <w:szCs w:val="24"/>
                      <w:vertAlign w:val="baseline"/>
                      <w:lang w:val="en-US" w:eastAsia="zh-CN" w:bidi="ar"/>
                    </w:rPr>
                  </w:pPr>
                  <w:r>
                    <w:rPr>
                      <w:rFonts w:hint="default" w:ascii="Times New Roman" w:hAnsi="Times New Roman" w:eastAsia="宋体" w:cs="Times New Roman"/>
                      <w:color w:val="auto"/>
                      <w:kern w:val="0"/>
                      <w:sz w:val="21"/>
                      <w:szCs w:val="21"/>
                      <w:lang w:val="en-US" w:eastAsia="zh-CN" w:bidi="ar"/>
                    </w:rPr>
                    <w:t>pH</w:t>
                  </w:r>
                </w:p>
              </w:tc>
              <w:tc>
                <w:tcPr>
                  <w:tcW w:w="3039" w:type="dxa"/>
                  <w:vAlign w:val="center"/>
                </w:tcPr>
                <w:p w14:paraId="5615360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color w:val="auto"/>
                      <w:kern w:val="0"/>
                      <w:sz w:val="21"/>
                      <w:szCs w:val="24"/>
                      <w:vertAlign w:val="baseline"/>
                      <w:lang w:val="en-US" w:eastAsia="zh-CN" w:bidi="ar"/>
                    </w:rPr>
                  </w:pPr>
                  <w:r>
                    <w:rPr>
                      <w:rFonts w:hint="eastAsia" w:cs="宋体"/>
                      <w:color w:val="auto"/>
                      <w:kern w:val="0"/>
                      <w:sz w:val="21"/>
                      <w:szCs w:val="24"/>
                      <w:vertAlign w:val="baseline"/>
                      <w:lang w:val="en-US" w:eastAsia="zh-CN" w:bidi="ar"/>
                    </w:rPr>
                    <w:t>7~8</w:t>
                  </w:r>
                </w:p>
              </w:tc>
              <w:tc>
                <w:tcPr>
                  <w:tcW w:w="3741" w:type="dxa"/>
                  <w:vAlign w:val="center"/>
                </w:tcPr>
                <w:p w14:paraId="3C718C0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color w:val="auto"/>
                      <w:kern w:val="0"/>
                      <w:sz w:val="21"/>
                      <w:szCs w:val="24"/>
                      <w:vertAlign w:val="baseline"/>
                      <w:lang w:val="en-US" w:eastAsia="zh-CN" w:bidi="ar"/>
                    </w:rPr>
                  </w:pPr>
                  <w:r>
                    <w:rPr>
                      <w:rFonts w:hint="default" w:ascii="Times New Roman" w:hAnsi="Times New Roman" w:eastAsia="宋体"/>
                      <w:color w:val="auto"/>
                      <w:sz w:val="21"/>
                      <w:highlight w:val="none"/>
                      <w:lang w:val="en-US" w:eastAsia="zh-CN"/>
                    </w:rPr>
                    <w:t>8~10</w:t>
                  </w:r>
                </w:p>
              </w:tc>
            </w:tr>
            <w:tr w14:paraId="1345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749" w:type="dxa"/>
                  <w:vAlign w:val="center"/>
                </w:tcPr>
                <w:p w14:paraId="7101527F">
                  <w:pPr>
                    <w:keepNext w:val="0"/>
                    <w:keepLines w:val="0"/>
                    <w:pageBreakBefore w:val="0"/>
                    <w:widowControl/>
                    <w:numPr>
                      <w:ilvl w:val="0"/>
                      <w:numId w:val="29"/>
                    </w:numPr>
                    <w:suppressLineNumbers w:val="0"/>
                    <w:kinsoku/>
                    <w:wordWrap/>
                    <w:overflowPunct/>
                    <w:topLinePunct w:val="0"/>
                    <w:autoSpaceDE/>
                    <w:autoSpaceDN/>
                    <w:bidi w:val="0"/>
                    <w:adjustRightInd/>
                    <w:snapToGrid/>
                    <w:spacing w:before="0" w:beforeAutospacing="0" w:after="0" w:afterAutospacing="0" w:line="240" w:lineRule="auto"/>
                    <w:ind w:left="113" w:leftChars="0" w:right="0" w:hanging="113" w:firstLineChars="0"/>
                    <w:jc w:val="center"/>
                    <w:textAlignment w:val="auto"/>
                    <w:rPr>
                      <w:rFonts w:hint="default" w:ascii="Times New Roman" w:hAnsi="Times New Roman" w:eastAsia="宋体" w:cs="宋体"/>
                      <w:color w:val="auto"/>
                      <w:kern w:val="0"/>
                      <w:sz w:val="21"/>
                      <w:szCs w:val="24"/>
                      <w:vertAlign w:val="baseline"/>
                      <w:lang w:val="en-US" w:eastAsia="zh-CN" w:bidi="ar"/>
                    </w:rPr>
                  </w:pPr>
                </w:p>
              </w:tc>
              <w:tc>
                <w:tcPr>
                  <w:tcW w:w="1448" w:type="dxa"/>
                  <w:vAlign w:val="center"/>
                </w:tcPr>
                <w:p w14:paraId="77ADE9D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color w:val="auto"/>
                      <w:kern w:val="0"/>
                      <w:sz w:val="21"/>
                      <w:szCs w:val="24"/>
                      <w:vertAlign w:val="baseline"/>
                      <w:lang w:val="en-US" w:eastAsia="zh-CN" w:bidi="ar"/>
                    </w:rPr>
                  </w:pPr>
                  <w:r>
                    <w:rPr>
                      <w:rFonts w:hint="eastAsia" w:ascii="Times New Roman" w:hAnsi="Times New Roman" w:eastAsia="宋体" w:cs="宋体"/>
                      <w:color w:val="auto"/>
                      <w:kern w:val="0"/>
                      <w:sz w:val="21"/>
                      <w:szCs w:val="24"/>
                      <w:vertAlign w:val="baseline"/>
                      <w:lang w:val="en-US" w:eastAsia="zh-CN" w:bidi="ar"/>
                    </w:rPr>
                    <w:t>CODcr</w:t>
                  </w:r>
                </w:p>
              </w:tc>
              <w:tc>
                <w:tcPr>
                  <w:tcW w:w="3039" w:type="dxa"/>
                  <w:vAlign w:val="center"/>
                </w:tcPr>
                <w:p w14:paraId="5464A78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color w:val="auto"/>
                      <w:kern w:val="0"/>
                      <w:sz w:val="21"/>
                      <w:szCs w:val="24"/>
                      <w:vertAlign w:val="baseline"/>
                      <w:lang w:val="en-US" w:eastAsia="zh-CN" w:bidi="ar"/>
                    </w:rPr>
                  </w:pPr>
                  <w:r>
                    <w:rPr>
                      <w:rFonts w:hint="default" w:ascii="Times New Roman" w:hAnsi="Times New Roman" w:eastAsia="宋体"/>
                      <w:color w:val="auto"/>
                      <w:sz w:val="21"/>
                      <w:highlight w:val="none"/>
                      <w:lang w:val="en-US" w:eastAsia="zh-CN"/>
                    </w:rPr>
                    <w:t>≤</w:t>
                  </w:r>
                  <w:r>
                    <w:rPr>
                      <w:rFonts w:hint="default" w:ascii="Times New Roman" w:hAnsi="Times New Roman" w:eastAsia="宋体" w:cs="Times New Roman"/>
                      <w:color w:val="auto"/>
                      <w:kern w:val="0"/>
                      <w:sz w:val="21"/>
                      <w:szCs w:val="24"/>
                      <w:lang w:val="en-US" w:eastAsia="zh-CN" w:bidi="ar"/>
                    </w:rPr>
                    <w:t>500</w:t>
                  </w:r>
                </w:p>
              </w:tc>
              <w:tc>
                <w:tcPr>
                  <w:tcW w:w="3741" w:type="dxa"/>
                  <w:vAlign w:val="center"/>
                </w:tcPr>
                <w:p w14:paraId="6468B48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color w:val="auto"/>
                      <w:kern w:val="0"/>
                      <w:sz w:val="21"/>
                      <w:szCs w:val="24"/>
                      <w:vertAlign w:val="baseline"/>
                      <w:lang w:val="en-US" w:eastAsia="zh-CN" w:bidi="ar"/>
                    </w:rPr>
                  </w:pPr>
                  <w:r>
                    <w:rPr>
                      <w:rFonts w:hint="default" w:ascii="Times New Roman" w:hAnsi="Times New Roman" w:eastAsia="宋体"/>
                      <w:color w:val="auto"/>
                      <w:sz w:val="21"/>
                      <w:highlight w:val="none"/>
                      <w:lang w:val="en-US" w:eastAsia="zh-CN"/>
                    </w:rPr>
                    <w:t>67.5</w:t>
                  </w:r>
                </w:p>
              </w:tc>
            </w:tr>
            <w:tr w14:paraId="27230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749" w:type="dxa"/>
                  <w:vAlign w:val="center"/>
                </w:tcPr>
                <w:p w14:paraId="41AE26B6">
                  <w:pPr>
                    <w:keepNext w:val="0"/>
                    <w:keepLines w:val="0"/>
                    <w:pageBreakBefore w:val="0"/>
                    <w:widowControl/>
                    <w:numPr>
                      <w:ilvl w:val="0"/>
                      <w:numId w:val="29"/>
                    </w:numPr>
                    <w:suppressLineNumbers w:val="0"/>
                    <w:kinsoku/>
                    <w:wordWrap/>
                    <w:overflowPunct/>
                    <w:topLinePunct w:val="0"/>
                    <w:autoSpaceDE/>
                    <w:autoSpaceDN/>
                    <w:bidi w:val="0"/>
                    <w:adjustRightInd/>
                    <w:snapToGrid/>
                    <w:spacing w:before="0" w:beforeAutospacing="0" w:after="0" w:afterAutospacing="0" w:line="240" w:lineRule="auto"/>
                    <w:ind w:left="113" w:leftChars="0" w:right="0" w:hanging="113" w:firstLineChars="0"/>
                    <w:jc w:val="center"/>
                    <w:textAlignment w:val="auto"/>
                    <w:rPr>
                      <w:rFonts w:hint="default" w:ascii="Times New Roman" w:hAnsi="Times New Roman" w:eastAsia="宋体" w:cs="宋体"/>
                      <w:color w:val="auto"/>
                      <w:kern w:val="0"/>
                      <w:sz w:val="21"/>
                      <w:szCs w:val="24"/>
                      <w:vertAlign w:val="baseline"/>
                      <w:lang w:val="en-US" w:eastAsia="zh-CN" w:bidi="ar"/>
                    </w:rPr>
                  </w:pPr>
                </w:p>
              </w:tc>
              <w:tc>
                <w:tcPr>
                  <w:tcW w:w="1448" w:type="dxa"/>
                  <w:vAlign w:val="center"/>
                </w:tcPr>
                <w:p w14:paraId="5E12F86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color w:val="auto"/>
                      <w:kern w:val="0"/>
                      <w:sz w:val="21"/>
                      <w:szCs w:val="24"/>
                      <w:vertAlign w:val="baseline"/>
                      <w:lang w:val="en-US" w:eastAsia="zh-CN" w:bidi="ar"/>
                    </w:rPr>
                  </w:pPr>
                  <w:r>
                    <w:rPr>
                      <w:rFonts w:hint="eastAsia" w:ascii="Times New Roman" w:hAnsi="Times New Roman" w:eastAsia="宋体" w:cs="宋体"/>
                      <w:color w:val="auto"/>
                      <w:kern w:val="0"/>
                      <w:sz w:val="21"/>
                      <w:szCs w:val="24"/>
                      <w:vertAlign w:val="baseline"/>
                      <w:lang w:val="en-US" w:eastAsia="zh-CN" w:bidi="ar"/>
                    </w:rPr>
                    <w:t>BOD</w:t>
                  </w:r>
                  <w:r>
                    <w:rPr>
                      <w:rFonts w:hint="eastAsia" w:ascii="Times New Roman" w:hAnsi="Times New Roman" w:eastAsia="宋体" w:cs="宋体"/>
                      <w:color w:val="auto"/>
                      <w:kern w:val="0"/>
                      <w:sz w:val="21"/>
                      <w:szCs w:val="24"/>
                      <w:vertAlign w:val="subscript"/>
                      <w:lang w:val="en-US" w:eastAsia="zh-CN" w:bidi="ar"/>
                    </w:rPr>
                    <w:t>5</w:t>
                  </w:r>
                </w:p>
              </w:tc>
              <w:tc>
                <w:tcPr>
                  <w:tcW w:w="3039" w:type="dxa"/>
                  <w:vAlign w:val="center"/>
                </w:tcPr>
                <w:p w14:paraId="6385359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color w:val="auto"/>
                      <w:kern w:val="0"/>
                      <w:sz w:val="21"/>
                      <w:szCs w:val="24"/>
                      <w:vertAlign w:val="baseline"/>
                      <w:lang w:val="en-US" w:eastAsia="zh-CN" w:bidi="ar"/>
                    </w:rPr>
                  </w:pPr>
                  <w:r>
                    <w:rPr>
                      <w:rFonts w:hint="default" w:ascii="Times New Roman" w:hAnsi="Times New Roman" w:eastAsia="宋体"/>
                      <w:color w:val="auto"/>
                      <w:sz w:val="21"/>
                      <w:highlight w:val="none"/>
                      <w:lang w:val="en-US" w:eastAsia="zh-CN"/>
                    </w:rPr>
                    <w:t>≤</w:t>
                  </w:r>
                  <w:r>
                    <w:rPr>
                      <w:rFonts w:hint="default" w:ascii="Times New Roman" w:hAnsi="Times New Roman" w:eastAsia="宋体" w:cs="Times New Roman"/>
                      <w:color w:val="auto"/>
                      <w:kern w:val="0"/>
                      <w:sz w:val="21"/>
                      <w:szCs w:val="24"/>
                      <w:lang w:val="en-US" w:eastAsia="zh-CN" w:bidi="ar"/>
                    </w:rPr>
                    <w:t>200</w:t>
                  </w:r>
                </w:p>
              </w:tc>
              <w:tc>
                <w:tcPr>
                  <w:tcW w:w="3741" w:type="dxa"/>
                  <w:vAlign w:val="center"/>
                </w:tcPr>
                <w:p w14:paraId="3126A22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color w:val="auto"/>
                      <w:kern w:val="0"/>
                      <w:sz w:val="21"/>
                      <w:szCs w:val="24"/>
                      <w:vertAlign w:val="baseline"/>
                      <w:lang w:val="en-US" w:eastAsia="zh-CN" w:bidi="ar"/>
                    </w:rPr>
                  </w:pPr>
                  <w:r>
                    <w:rPr>
                      <w:rFonts w:hint="default" w:ascii="Times New Roman" w:hAnsi="Times New Roman" w:eastAsia="宋体"/>
                      <w:color w:val="auto"/>
                      <w:sz w:val="21"/>
                      <w:highlight w:val="none"/>
                      <w:lang w:val="en-US" w:eastAsia="zh-CN"/>
                    </w:rPr>
                    <w:t>≤</w:t>
                  </w:r>
                  <w:r>
                    <w:rPr>
                      <w:rFonts w:hint="eastAsia" w:cs="宋体"/>
                      <w:color w:val="auto"/>
                      <w:kern w:val="0"/>
                      <w:sz w:val="21"/>
                      <w:szCs w:val="24"/>
                      <w:vertAlign w:val="baseline"/>
                      <w:lang w:val="en-US" w:eastAsia="zh-CN" w:bidi="ar"/>
                    </w:rPr>
                    <w:t>200</w:t>
                  </w:r>
                </w:p>
              </w:tc>
            </w:tr>
            <w:tr w14:paraId="04F14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749" w:type="dxa"/>
                  <w:vAlign w:val="center"/>
                </w:tcPr>
                <w:p w14:paraId="0F0BBB54">
                  <w:pPr>
                    <w:keepNext w:val="0"/>
                    <w:keepLines w:val="0"/>
                    <w:pageBreakBefore w:val="0"/>
                    <w:widowControl/>
                    <w:numPr>
                      <w:ilvl w:val="0"/>
                      <w:numId w:val="29"/>
                    </w:numPr>
                    <w:suppressLineNumbers w:val="0"/>
                    <w:kinsoku/>
                    <w:wordWrap/>
                    <w:overflowPunct/>
                    <w:topLinePunct w:val="0"/>
                    <w:autoSpaceDE/>
                    <w:autoSpaceDN/>
                    <w:bidi w:val="0"/>
                    <w:adjustRightInd/>
                    <w:snapToGrid/>
                    <w:spacing w:before="0" w:beforeAutospacing="0" w:after="0" w:afterAutospacing="0" w:line="240" w:lineRule="auto"/>
                    <w:ind w:left="113" w:leftChars="0" w:right="0" w:hanging="113" w:firstLineChars="0"/>
                    <w:jc w:val="center"/>
                    <w:textAlignment w:val="auto"/>
                    <w:rPr>
                      <w:rFonts w:hint="default" w:ascii="Times New Roman" w:hAnsi="Times New Roman" w:eastAsia="宋体" w:cs="宋体"/>
                      <w:color w:val="auto"/>
                      <w:kern w:val="0"/>
                      <w:sz w:val="21"/>
                      <w:szCs w:val="24"/>
                      <w:vertAlign w:val="baseline"/>
                      <w:lang w:val="en-US" w:eastAsia="zh-CN" w:bidi="ar"/>
                    </w:rPr>
                  </w:pPr>
                </w:p>
              </w:tc>
              <w:tc>
                <w:tcPr>
                  <w:tcW w:w="1448" w:type="dxa"/>
                  <w:vAlign w:val="center"/>
                </w:tcPr>
                <w:p w14:paraId="3DFB92D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color w:val="auto"/>
                      <w:kern w:val="0"/>
                      <w:sz w:val="21"/>
                      <w:szCs w:val="24"/>
                      <w:vertAlign w:val="baseline"/>
                      <w:lang w:val="en-US" w:eastAsia="zh-CN" w:bidi="ar"/>
                    </w:rPr>
                  </w:pPr>
                  <w:r>
                    <w:rPr>
                      <w:rFonts w:hint="eastAsia" w:ascii="Times New Roman" w:hAnsi="Times New Roman" w:eastAsia="宋体" w:cs="宋体"/>
                      <w:color w:val="auto"/>
                      <w:kern w:val="0"/>
                      <w:sz w:val="21"/>
                      <w:szCs w:val="24"/>
                      <w:vertAlign w:val="baseline"/>
                      <w:lang w:val="en-US" w:eastAsia="zh-CN" w:bidi="ar"/>
                    </w:rPr>
                    <w:t>SS</w:t>
                  </w:r>
                </w:p>
              </w:tc>
              <w:tc>
                <w:tcPr>
                  <w:tcW w:w="3039" w:type="dxa"/>
                  <w:vAlign w:val="center"/>
                </w:tcPr>
                <w:p w14:paraId="0786681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color w:val="auto"/>
                      <w:kern w:val="0"/>
                      <w:sz w:val="21"/>
                      <w:szCs w:val="24"/>
                      <w:vertAlign w:val="baseline"/>
                      <w:lang w:val="en-US" w:eastAsia="zh-CN" w:bidi="ar"/>
                    </w:rPr>
                  </w:pPr>
                  <w:r>
                    <w:rPr>
                      <w:rFonts w:hint="default" w:ascii="Times New Roman" w:hAnsi="Times New Roman" w:eastAsia="宋体"/>
                      <w:color w:val="auto"/>
                      <w:sz w:val="21"/>
                      <w:highlight w:val="none"/>
                      <w:lang w:val="en-US" w:eastAsia="zh-CN"/>
                    </w:rPr>
                    <w:t>≤</w:t>
                  </w:r>
                  <w:r>
                    <w:rPr>
                      <w:rFonts w:hint="default" w:ascii="Times New Roman" w:hAnsi="Times New Roman" w:eastAsia="宋体" w:cs="Times New Roman"/>
                      <w:color w:val="auto"/>
                      <w:kern w:val="0"/>
                      <w:sz w:val="21"/>
                      <w:szCs w:val="24"/>
                      <w:lang w:val="en-US" w:eastAsia="zh-CN" w:bidi="ar"/>
                    </w:rPr>
                    <w:t>86</w:t>
                  </w:r>
                </w:p>
              </w:tc>
              <w:tc>
                <w:tcPr>
                  <w:tcW w:w="3741" w:type="dxa"/>
                  <w:vAlign w:val="center"/>
                </w:tcPr>
                <w:p w14:paraId="7957E76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color w:val="auto"/>
                      <w:kern w:val="0"/>
                      <w:sz w:val="21"/>
                      <w:szCs w:val="24"/>
                      <w:vertAlign w:val="baseline"/>
                      <w:lang w:val="en-US" w:eastAsia="zh-CN" w:bidi="ar"/>
                    </w:rPr>
                  </w:pPr>
                  <w:r>
                    <w:rPr>
                      <w:rFonts w:hint="default" w:ascii="Times New Roman" w:hAnsi="Times New Roman" w:eastAsia="宋体"/>
                      <w:color w:val="auto"/>
                      <w:sz w:val="21"/>
                      <w:highlight w:val="none"/>
                      <w:lang w:val="en-US" w:eastAsia="zh-CN"/>
                    </w:rPr>
                    <w:t>≤</w:t>
                  </w:r>
                  <w:r>
                    <w:rPr>
                      <w:rFonts w:hint="eastAsia" w:cs="宋体"/>
                      <w:color w:val="auto"/>
                      <w:kern w:val="0"/>
                      <w:sz w:val="21"/>
                      <w:szCs w:val="24"/>
                      <w:vertAlign w:val="baseline"/>
                      <w:lang w:val="en-US" w:eastAsia="zh-CN" w:bidi="ar"/>
                    </w:rPr>
                    <w:t>300</w:t>
                  </w:r>
                </w:p>
              </w:tc>
            </w:tr>
            <w:tr w14:paraId="5F823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749" w:type="dxa"/>
                  <w:vAlign w:val="center"/>
                </w:tcPr>
                <w:p w14:paraId="38EB2082">
                  <w:pPr>
                    <w:keepNext w:val="0"/>
                    <w:keepLines w:val="0"/>
                    <w:pageBreakBefore w:val="0"/>
                    <w:widowControl/>
                    <w:numPr>
                      <w:ilvl w:val="0"/>
                      <w:numId w:val="29"/>
                    </w:numPr>
                    <w:suppressLineNumbers w:val="0"/>
                    <w:kinsoku/>
                    <w:wordWrap/>
                    <w:overflowPunct/>
                    <w:topLinePunct w:val="0"/>
                    <w:autoSpaceDE/>
                    <w:autoSpaceDN/>
                    <w:bidi w:val="0"/>
                    <w:adjustRightInd/>
                    <w:snapToGrid/>
                    <w:spacing w:before="0" w:beforeAutospacing="0" w:after="0" w:afterAutospacing="0" w:line="240" w:lineRule="auto"/>
                    <w:ind w:left="113" w:leftChars="0" w:right="0" w:hanging="113" w:firstLineChars="0"/>
                    <w:jc w:val="center"/>
                    <w:textAlignment w:val="auto"/>
                    <w:rPr>
                      <w:rFonts w:hint="default" w:ascii="Times New Roman" w:hAnsi="Times New Roman" w:eastAsia="宋体" w:cs="宋体"/>
                      <w:color w:val="auto"/>
                      <w:kern w:val="0"/>
                      <w:sz w:val="21"/>
                      <w:szCs w:val="24"/>
                      <w:vertAlign w:val="baseline"/>
                      <w:lang w:val="en-US" w:eastAsia="zh-CN" w:bidi="ar"/>
                    </w:rPr>
                  </w:pPr>
                </w:p>
              </w:tc>
              <w:tc>
                <w:tcPr>
                  <w:tcW w:w="1448" w:type="dxa"/>
                  <w:vAlign w:val="center"/>
                </w:tcPr>
                <w:p w14:paraId="5F1BD1A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color w:val="auto"/>
                      <w:kern w:val="0"/>
                      <w:sz w:val="21"/>
                      <w:szCs w:val="24"/>
                      <w:vertAlign w:val="baseline"/>
                      <w:lang w:val="en-US" w:eastAsia="zh-CN" w:bidi="ar"/>
                    </w:rPr>
                  </w:pPr>
                  <w:r>
                    <w:rPr>
                      <w:rFonts w:hint="eastAsia" w:ascii="Times New Roman" w:hAnsi="Times New Roman" w:eastAsia="宋体" w:cs="宋体"/>
                      <w:color w:val="auto"/>
                      <w:kern w:val="0"/>
                      <w:sz w:val="21"/>
                      <w:szCs w:val="24"/>
                      <w:vertAlign w:val="baseline"/>
                      <w:lang w:val="en-US" w:eastAsia="zh-CN" w:bidi="ar"/>
                    </w:rPr>
                    <w:t>氨氮</w:t>
                  </w:r>
                </w:p>
              </w:tc>
              <w:tc>
                <w:tcPr>
                  <w:tcW w:w="3039" w:type="dxa"/>
                  <w:vAlign w:val="center"/>
                </w:tcPr>
                <w:p w14:paraId="6659F56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color w:val="auto"/>
                      <w:kern w:val="0"/>
                      <w:sz w:val="21"/>
                      <w:szCs w:val="24"/>
                      <w:vertAlign w:val="baseline"/>
                      <w:lang w:val="en-US" w:eastAsia="zh-CN" w:bidi="ar"/>
                    </w:rPr>
                  </w:pPr>
                  <w:r>
                    <w:rPr>
                      <w:rFonts w:hint="eastAsia" w:cs="宋体"/>
                      <w:color w:val="auto"/>
                      <w:kern w:val="0"/>
                      <w:sz w:val="21"/>
                      <w:szCs w:val="24"/>
                      <w:vertAlign w:val="baseline"/>
                      <w:lang w:val="en-US" w:eastAsia="zh-CN" w:bidi="ar"/>
                    </w:rPr>
                    <w:t>/</w:t>
                  </w:r>
                </w:p>
              </w:tc>
              <w:tc>
                <w:tcPr>
                  <w:tcW w:w="3741" w:type="dxa"/>
                  <w:vAlign w:val="center"/>
                </w:tcPr>
                <w:p w14:paraId="2CE5DFF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color w:val="auto"/>
                      <w:kern w:val="0"/>
                      <w:sz w:val="21"/>
                      <w:szCs w:val="24"/>
                      <w:vertAlign w:val="baseline"/>
                      <w:lang w:val="en-US" w:eastAsia="zh-CN" w:bidi="ar"/>
                    </w:rPr>
                  </w:pPr>
                  <w:r>
                    <w:rPr>
                      <w:rFonts w:hint="eastAsia" w:cs="宋体"/>
                      <w:color w:val="auto"/>
                      <w:kern w:val="0"/>
                      <w:sz w:val="21"/>
                      <w:szCs w:val="24"/>
                      <w:vertAlign w:val="baseline"/>
                      <w:lang w:val="en-US" w:eastAsia="zh-CN" w:bidi="ar"/>
                    </w:rPr>
                    <w:t>7.31</w:t>
                  </w:r>
                </w:p>
              </w:tc>
            </w:tr>
            <w:tr w14:paraId="11CBE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49" w:type="dxa"/>
                  <w:vAlign w:val="center"/>
                </w:tcPr>
                <w:p w14:paraId="6057A2E2">
                  <w:pPr>
                    <w:keepNext w:val="0"/>
                    <w:keepLines w:val="0"/>
                    <w:pageBreakBefore w:val="0"/>
                    <w:widowControl/>
                    <w:numPr>
                      <w:ilvl w:val="0"/>
                      <w:numId w:val="29"/>
                    </w:numPr>
                    <w:suppressLineNumbers w:val="0"/>
                    <w:kinsoku/>
                    <w:wordWrap/>
                    <w:overflowPunct/>
                    <w:topLinePunct w:val="0"/>
                    <w:autoSpaceDE/>
                    <w:autoSpaceDN/>
                    <w:bidi w:val="0"/>
                    <w:adjustRightInd/>
                    <w:snapToGrid/>
                    <w:spacing w:before="0" w:beforeAutospacing="0" w:after="0" w:afterAutospacing="0" w:line="240" w:lineRule="auto"/>
                    <w:ind w:left="113" w:leftChars="0" w:right="0" w:hanging="113" w:firstLineChars="0"/>
                    <w:jc w:val="center"/>
                    <w:textAlignment w:val="auto"/>
                    <w:rPr>
                      <w:rFonts w:hint="default" w:ascii="Times New Roman" w:hAnsi="Times New Roman" w:eastAsia="宋体" w:cs="宋体"/>
                      <w:color w:val="auto"/>
                      <w:kern w:val="0"/>
                      <w:sz w:val="21"/>
                      <w:szCs w:val="24"/>
                      <w:vertAlign w:val="baseline"/>
                      <w:lang w:val="en-US" w:eastAsia="zh-CN" w:bidi="ar"/>
                    </w:rPr>
                  </w:pPr>
                </w:p>
              </w:tc>
              <w:tc>
                <w:tcPr>
                  <w:tcW w:w="1448" w:type="dxa"/>
                  <w:vAlign w:val="center"/>
                </w:tcPr>
                <w:p w14:paraId="66ED655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color w:val="auto"/>
                      <w:kern w:val="0"/>
                      <w:sz w:val="21"/>
                      <w:szCs w:val="24"/>
                      <w:vertAlign w:val="baseline"/>
                      <w:lang w:val="en-US" w:eastAsia="zh-CN" w:bidi="ar"/>
                    </w:rPr>
                  </w:pPr>
                  <w:r>
                    <w:rPr>
                      <w:rFonts w:hint="eastAsia" w:ascii="Times New Roman" w:hAnsi="Times New Roman" w:eastAsia="宋体" w:cs="宋体"/>
                      <w:color w:val="auto"/>
                      <w:kern w:val="0"/>
                      <w:sz w:val="21"/>
                      <w:szCs w:val="24"/>
                      <w:vertAlign w:val="baseline"/>
                      <w:lang w:val="en-US" w:eastAsia="zh-CN" w:bidi="ar"/>
                    </w:rPr>
                    <w:t>石油类</w:t>
                  </w:r>
                </w:p>
              </w:tc>
              <w:tc>
                <w:tcPr>
                  <w:tcW w:w="3039" w:type="dxa"/>
                  <w:vAlign w:val="center"/>
                </w:tcPr>
                <w:p w14:paraId="68C1A27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color w:val="auto"/>
                      <w:kern w:val="0"/>
                      <w:sz w:val="21"/>
                      <w:szCs w:val="24"/>
                      <w:vertAlign w:val="baseline"/>
                      <w:lang w:val="en-US" w:eastAsia="zh-CN" w:bidi="ar"/>
                    </w:rPr>
                  </w:pPr>
                  <w:r>
                    <w:rPr>
                      <w:rFonts w:hint="eastAsia" w:cs="宋体"/>
                      <w:color w:val="auto"/>
                      <w:kern w:val="0"/>
                      <w:sz w:val="21"/>
                      <w:szCs w:val="24"/>
                      <w:vertAlign w:val="baseline"/>
                      <w:lang w:val="en-US" w:eastAsia="zh-CN" w:bidi="ar"/>
                    </w:rPr>
                    <w:t>/</w:t>
                  </w:r>
                </w:p>
              </w:tc>
              <w:tc>
                <w:tcPr>
                  <w:tcW w:w="3741" w:type="dxa"/>
                  <w:vAlign w:val="center"/>
                </w:tcPr>
                <w:p w14:paraId="0B851E5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color w:val="auto"/>
                      <w:kern w:val="0"/>
                      <w:sz w:val="21"/>
                      <w:szCs w:val="24"/>
                      <w:vertAlign w:val="baseline"/>
                      <w:lang w:val="en-US" w:eastAsia="zh-CN" w:bidi="ar"/>
                    </w:rPr>
                  </w:pPr>
                  <w:r>
                    <w:rPr>
                      <w:rFonts w:hint="default" w:ascii="Times New Roman" w:hAnsi="Times New Roman" w:eastAsia="宋体"/>
                      <w:color w:val="auto"/>
                      <w:sz w:val="21"/>
                      <w:highlight w:val="none"/>
                      <w:lang w:val="en-US" w:eastAsia="zh-CN"/>
                    </w:rPr>
                    <w:t>≤</w:t>
                  </w:r>
                  <w:r>
                    <w:rPr>
                      <w:rFonts w:hint="eastAsia" w:cs="宋体"/>
                      <w:color w:val="auto"/>
                      <w:kern w:val="0"/>
                      <w:sz w:val="21"/>
                      <w:szCs w:val="24"/>
                      <w:vertAlign w:val="baseline"/>
                      <w:lang w:val="en-US" w:eastAsia="zh-CN" w:bidi="ar"/>
                    </w:rPr>
                    <w:t>10</w:t>
                  </w:r>
                </w:p>
              </w:tc>
            </w:tr>
          </w:tbl>
          <w:p w14:paraId="14B41C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imes New Roman" w:hAnsi="Times New Roman" w:eastAsia="宋体" w:cs="宋体"/>
                <w:color w:val="auto"/>
                <w:kern w:val="0"/>
                <w:sz w:val="21"/>
                <w:szCs w:val="24"/>
                <w:lang w:val="en-US" w:eastAsia="zh-CN" w:bidi="ar"/>
              </w:rPr>
            </w:pPr>
            <w:r>
              <w:rPr>
                <w:rFonts w:hint="eastAsia" w:ascii="Times New Roman" w:hAnsi="Times New Roman" w:eastAsia="宋体" w:cs="宋体"/>
                <w:color w:val="auto"/>
                <w:kern w:val="0"/>
                <w:sz w:val="21"/>
                <w:szCs w:val="24"/>
                <w:lang w:val="en-US" w:eastAsia="zh-CN" w:bidi="ar"/>
              </w:rPr>
              <w:t>项目生产废水主要为网版清洗废水、冲版废水，收集后委托有处理能力的废水处理机构处理，不直接对外排放，对周边地表水环境影响较小。生产废水暂存处罐体的最大暂存量为</w:t>
            </w:r>
            <w:r>
              <w:rPr>
                <w:rFonts w:hint="eastAsia" w:cs="宋体"/>
                <w:color w:val="auto"/>
                <w:kern w:val="0"/>
                <w:sz w:val="21"/>
                <w:szCs w:val="24"/>
                <w:lang w:val="en-US" w:eastAsia="zh-CN" w:bidi="ar"/>
              </w:rPr>
              <w:t>5</w:t>
            </w:r>
            <w:r>
              <w:rPr>
                <w:rFonts w:hint="default" w:ascii="Times New Roman" w:hAnsi="Times New Roman" w:eastAsia="宋体" w:cs="宋体"/>
                <w:color w:val="auto"/>
                <w:kern w:val="0"/>
                <w:sz w:val="21"/>
                <w:szCs w:val="24"/>
                <w:lang w:val="en-US" w:eastAsia="zh-CN" w:bidi="ar"/>
              </w:rPr>
              <w:t>t</w:t>
            </w:r>
            <w:r>
              <w:rPr>
                <w:rFonts w:hint="eastAsia" w:ascii="Times New Roman" w:hAnsi="Times New Roman" w:eastAsia="宋体" w:cs="宋体"/>
                <w:color w:val="auto"/>
                <w:kern w:val="0"/>
                <w:sz w:val="21"/>
                <w:szCs w:val="24"/>
                <w:lang w:val="en-US" w:eastAsia="zh-CN" w:bidi="ar"/>
              </w:rPr>
              <w:t>，约每个月转运</w:t>
            </w:r>
            <w:r>
              <w:rPr>
                <w:rFonts w:hint="eastAsia" w:cs="宋体"/>
                <w:color w:val="auto"/>
                <w:kern w:val="0"/>
                <w:sz w:val="21"/>
                <w:szCs w:val="24"/>
                <w:lang w:val="en-US" w:eastAsia="zh-CN" w:bidi="ar"/>
              </w:rPr>
              <w:t>3</w:t>
            </w:r>
            <w:r>
              <w:rPr>
                <w:rFonts w:hint="eastAsia" w:ascii="Times New Roman" w:hAnsi="Times New Roman" w:eastAsia="宋体" w:cs="宋体"/>
                <w:color w:val="auto"/>
                <w:kern w:val="0"/>
                <w:sz w:val="21"/>
                <w:szCs w:val="24"/>
                <w:lang w:val="en-US" w:eastAsia="zh-CN" w:bidi="ar"/>
              </w:rPr>
              <w:t>次。</w:t>
            </w:r>
          </w:p>
          <w:p w14:paraId="627B9266">
            <w:pPr>
              <w:pStyle w:val="72"/>
              <w:keepNext w:val="0"/>
              <w:keepLines w:val="0"/>
              <w:framePr w:hSpace="0" w:wrap="auto" w:vAnchor="margin" w:hAnchor="text" w:xAlign="left" w:yAlign="inline"/>
              <w:suppressLineNumbers w:val="0"/>
              <w:spacing w:before="0" w:beforeAutospacing="0" w:after="0" w:afterAutospacing="0"/>
              <w:ind w:left="0" w:right="0" w:firstLine="422" w:firstLineChars="200"/>
              <w:jc w:val="both"/>
              <w:rPr>
                <w:rFonts w:hint="default" w:ascii="Times New Roman" w:hAnsi="Times New Roman" w:eastAsia="宋体"/>
                <w:b/>
                <w:color w:val="auto"/>
                <w:sz w:val="21"/>
                <w:highlight w:val="none"/>
              </w:rPr>
            </w:pPr>
            <w:r>
              <w:rPr>
                <w:rFonts w:hint="eastAsia"/>
                <w:b/>
                <w:color w:val="auto"/>
                <w:sz w:val="21"/>
                <w:highlight w:val="none"/>
                <w:lang w:val="en-US" w:eastAsia="zh-CN"/>
              </w:rPr>
              <w:t>4</w:t>
            </w:r>
            <w:r>
              <w:rPr>
                <w:rFonts w:hint="default" w:ascii="Times New Roman" w:hAnsi="Times New Roman" w:eastAsia="宋体"/>
                <w:b/>
                <w:color w:val="auto"/>
                <w:sz w:val="21"/>
                <w:highlight w:val="none"/>
              </w:rPr>
              <w:t>）废水处理接收单位情况</w:t>
            </w:r>
          </w:p>
          <w:p w14:paraId="39AC4DA3">
            <w:pPr>
              <w:pStyle w:val="72"/>
              <w:keepNext w:val="0"/>
              <w:keepLines w:val="0"/>
              <w:framePr w:hSpace="0" w:wrap="auto" w:vAnchor="margin" w:hAnchor="text" w:xAlign="left" w:yAlign="inline"/>
              <w:suppressLineNumbers w:val="0"/>
              <w:spacing w:before="0" w:beforeAutospacing="0" w:after="0" w:afterAutospacing="0"/>
              <w:ind w:left="0" w:right="0" w:firstLine="420" w:firstLineChars="200"/>
              <w:jc w:val="both"/>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生产废水可委托废水处理的单位如下：</w:t>
            </w:r>
          </w:p>
          <w:p w14:paraId="222B465A">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sz w:val="21"/>
                <w:szCs w:val="24"/>
                <w:lang w:val="zh-CN" w:eastAsia="zh-CN"/>
              </w:rPr>
            </w:pPr>
            <w:r>
              <w:rPr>
                <w:rFonts w:hint="default" w:ascii="Times New Roman" w:hAnsi="Times New Roman" w:eastAsia="宋体" w:cs="Times New Roman"/>
                <w:b/>
                <w:color w:val="auto"/>
                <w:sz w:val="21"/>
                <w:szCs w:val="24"/>
                <w:lang w:val="zh-CN" w:eastAsia="zh-CN"/>
              </w:rPr>
              <w:t>中山市主要废水转移单位情况一览表</w:t>
            </w:r>
          </w:p>
          <w:tbl>
            <w:tblPr>
              <w:tblStyle w:val="2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
              <w:gridCol w:w="1658"/>
              <w:gridCol w:w="4772"/>
              <w:gridCol w:w="2378"/>
            </w:tblGrid>
            <w:tr w14:paraId="09C8E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90" w:type="dxa"/>
                  <w:vAlign w:val="center"/>
                </w:tcPr>
                <w:p w14:paraId="71369FE4">
                  <w:pPr>
                    <w:jc w:val="center"/>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序号</w:t>
                  </w:r>
                </w:p>
              </w:tc>
              <w:tc>
                <w:tcPr>
                  <w:tcW w:w="1658" w:type="dxa"/>
                  <w:vAlign w:val="center"/>
                </w:tcPr>
                <w:p w14:paraId="57A0ECAE">
                  <w:pPr>
                    <w:jc w:val="center"/>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单位名称</w:t>
                  </w:r>
                </w:p>
              </w:tc>
              <w:tc>
                <w:tcPr>
                  <w:tcW w:w="4772" w:type="dxa"/>
                  <w:vAlign w:val="center"/>
                </w:tcPr>
                <w:p w14:paraId="53A4BCFB">
                  <w:pPr>
                    <w:jc w:val="center"/>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废水处理类型及处理总量</w:t>
                  </w:r>
                </w:p>
              </w:tc>
              <w:tc>
                <w:tcPr>
                  <w:tcW w:w="2378" w:type="dxa"/>
                  <w:vAlign w:val="center"/>
                </w:tcPr>
                <w:p w14:paraId="71F2C6FE">
                  <w:pPr>
                    <w:jc w:val="center"/>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余量</w:t>
                  </w:r>
                </w:p>
              </w:tc>
            </w:tr>
            <w:tr w14:paraId="03974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890" w:type="dxa"/>
                  <w:vAlign w:val="center"/>
                </w:tcPr>
                <w:p w14:paraId="7B7906DD">
                  <w:pPr>
                    <w:wordWrap w:val="0"/>
                    <w:overflowPunct w:val="0"/>
                    <w:topLinePunct/>
                    <w:jc w:val="center"/>
                    <w:rPr>
                      <w:rFonts w:ascii="Times New Roman" w:hAnsi="Times New Roman" w:eastAsia="宋体"/>
                      <w:color w:val="auto"/>
                      <w:sz w:val="21"/>
                      <w:highlight w:val="none"/>
                    </w:rPr>
                  </w:pPr>
                  <w:r>
                    <w:rPr>
                      <w:rFonts w:ascii="Times New Roman" w:hAnsi="Times New Roman" w:eastAsia="宋体"/>
                      <w:color w:val="auto"/>
                      <w:sz w:val="21"/>
                      <w:highlight w:val="none"/>
                    </w:rPr>
                    <w:t>1</w:t>
                  </w:r>
                </w:p>
              </w:tc>
              <w:tc>
                <w:tcPr>
                  <w:tcW w:w="1658" w:type="dxa"/>
                  <w:vAlign w:val="center"/>
                </w:tcPr>
                <w:p w14:paraId="6D093555">
                  <w:pPr>
                    <w:autoSpaceDE w:val="0"/>
                    <w:autoSpaceDN w:val="0"/>
                    <w:adjustRightInd w:val="0"/>
                    <w:jc w:val="center"/>
                    <w:rPr>
                      <w:rFonts w:ascii="Times New Roman" w:hAnsi="Times New Roman" w:eastAsia="宋体"/>
                      <w:color w:val="auto"/>
                      <w:sz w:val="21"/>
                      <w:highlight w:val="none"/>
                    </w:rPr>
                  </w:pPr>
                  <w:r>
                    <w:rPr>
                      <w:rFonts w:ascii="Times New Roman" w:hAnsi="Times New Roman" w:eastAsia="宋体"/>
                      <w:color w:val="auto"/>
                      <w:kern w:val="0"/>
                      <w:sz w:val="21"/>
                      <w:highlight w:val="none"/>
                    </w:rPr>
                    <w:t>中山市中丽环境服务有限公司</w:t>
                  </w:r>
                </w:p>
              </w:tc>
              <w:tc>
                <w:tcPr>
                  <w:tcW w:w="4772" w:type="dxa"/>
                  <w:vAlign w:val="center"/>
                </w:tcPr>
                <w:p w14:paraId="154FF132">
                  <w:pPr>
                    <w:wordWrap w:val="0"/>
                    <w:overflowPunct w:val="0"/>
                    <w:topLinePunct/>
                    <w:jc w:val="center"/>
                    <w:rPr>
                      <w:rFonts w:ascii="Times New Roman" w:hAnsi="Times New Roman" w:eastAsia="宋体"/>
                      <w:color w:val="auto"/>
                      <w:sz w:val="21"/>
                      <w:highlight w:val="none"/>
                    </w:rPr>
                  </w:pPr>
                  <w:r>
                    <w:rPr>
                      <w:rFonts w:ascii="Times New Roman" w:hAnsi="Times New Roman" w:eastAsia="宋体"/>
                      <w:color w:val="auto"/>
                      <w:sz w:val="21"/>
                      <w:highlight w:val="none"/>
                    </w:rPr>
                    <w:t>工业废水收集处理。处理印刷、印花废水140吨/日、喷漆废水100吨/日、酸洗、磷化废水40吨/日、食品废水20吨/日</w:t>
                  </w:r>
                </w:p>
              </w:tc>
              <w:tc>
                <w:tcPr>
                  <w:tcW w:w="2378" w:type="dxa"/>
                  <w:vAlign w:val="center"/>
                </w:tcPr>
                <w:p w14:paraId="36E4D39F">
                  <w:pPr>
                    <w:wordWrap w:val="0"/>
                    <w:overflowPunct w:val="0"/>
                    <w:topLinePunct/>
                    <w:jc w:val="center"/>
                    <w:rPr>
                      <w:rFonts w:ascii="Times New Roman" w:hAnsi="Times New Roman" w:eastAsia="宋体"/>
                      <w:color w:val="auto"/>
                      <w:sz w:val="21"/>
                      <w:highlight w:val="none"/>
                    </w:rPr>
                  </w:pPr>
                  <w:r>
                    <w:rPr>
                      <w:rFonts w:ascii="Times New Roman" w:hAnsi="Times New Roman" w:eastAsia="宋体"/>
                      <w:color w:val="auto"/>
                      <w:sz w:val="21"/>
                      <w:highlight w:val="none"/>
                    </w:rPr>
                    <w:t>约75吨/日，本项目一次转移量为</w:t>
                  </w:r>
                  <w:r>
                    <w:rPr>
                      <w:rFonts w:hint="eastAsia"/>
                      <w:color w:val="auto"/>
                      <w:sz w:val="21"/>
                      <w:highlight w:val="none"/>
                      <w:lang w:val="en-US" w:eastAsia="zh-CN"/>
                    </w:rPr>
                    <w:t>3.75</w:t>
                  </w:r>
                  <w:r>
                    <w:rPr>
                      <w:rFonts w:ascii="Times New Roman" w:hAnsi="Times New Roman" w:eastAsia="宋体"/>
                      <w:color w:val="auto"/>
                      <w:sz w:val="21"/>
                      <w:highlight w:val="none"/>
                    </w:rPr>
                    <w:t>t，占比</w:t>
                  </w:r>
                  <w:r>
                    <w:rPr>
                      <w:rFonts w:hint="eastAsia"/>
                      <w:color w:val="auto"/>
                      <w:sz w:val="21"/>
                      <w:highlight w:val="none"/>
                      <w:lang w:val="en-US" w:eastAsia="zh-CN"/>
                    </w:rPr>
                    <w:t>5</w:t>
                  </w:r>
                  <w:r>
                    <w:rPr>
                      <w:rFonts w:ascii="Times New Roman" w:hAnsi="Times New Roman" w:eastAsia="宋体"/>
                      <w:color w:val="auto"/>
                      <w:sz w:val="21"/>
                      <w:highlight w:val="none"/>
                    </w:rPr>
                    <w:t>%</w:t>
                  </w:r>
                </w:p>
              </w:tc>
            </w:tr>
          </w:tbl>
          <w:p w14:paraId="5D8D2106">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sz w:val="21"/>
                <w:szCs w:val="24"/>
                <w:lang w:val="zh-CN" w:eastAsia="zh-CN"/>
              </w:rPr>
            </w:pPr>
            <w:r>
              <w:rPr>
                <w:rFonts w:hint="default" w:ascii="Times New Roman" w:hAnsi="Times New Roman" w:eastAsia="宋体" w:cs="Times New Roman"/>
                <w:b/>
                <w:color w:val="auto"/>
                <w:sz w:val="21"/>
                <w:szCs w:val="24"/>
                <w:lang w:val="zh-CN" w:eastAsia="zh-CN"/>
              </w:rPr>
              <w:t>废水公司进水水质要求一览表</w:t>
            </w:r>
          </w:p>
          <w:tbl>
            <w:tblPr>
              <w:tblStyle w:val="225"/>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8"/>
              <w:gridCol w:w="1017"/>
              <w:gridCol w:w="765"/>
              <w:gridCol w:w="1053"/>
              <w:gridCol w:w="939"/>
              <w:gridCol w:w="992"/>
              <w:gridCol w:w="905"/>
              <w:gridCol w:w="896"/>
              <w:gridCol w:w="895"/>
              <w:gridCol w:w="816"/>
            </w:tblGrid>
            <w:tr w14:paraId="5F84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638" w:type="dxa"/>
                  <w:vAlign w:val="center"/>
                </w:tcPr>
                <w:p w14:paraId="0A38CD95">
                  <w:pPr>
                    <w:jc w:val="center"/>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单位名称</w:t>
                  </w:r>
                </w:p>
              </w:tc>
              <w:tc>
                <w:tcPr>
                  <w:tcW w:w="1017" w:type="dxa"/>
                  <w:vAlign w:val="center"/>
                </w:tcPr>
                <w:p w14:paraId="40337DE8">
                  <w:pPr>
                    <w:jc w:val="center"/>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污染物名称</w:t>
                  </w:r>
                </w:p>
              </w:tc>
              <w:tc>
                <w:tcPr>
                  <w:tcW w:w="765" w:type="dxa"/>
                  <w:vAlign w:val="center"/>
                </w:tcPr>
                <w:p w14:paraId="127210A4">
                  <w:pPr>
                    <w:jc w:val="center"/>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pH</w:t>
                  </w:r>
                </w:p>
                <w:p w14:paraId="3CF51182">
                  <w:pPr>
                    <w:jc w:val="center"/>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值</w:t>
                  </w:r>
                </w:p>
              </w:tc>
              <w:tc>
                <w:tcPr>
                  <w:tcW w:w="1053" w:type="dxa"/>
                  <w:vAlign w:val="center"/>
                </w:tcPr>
                <w:p w14:paraId="20AD8F55">
                  <w:pPr>
                    <w:jc w:val="center"/>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COD</w:t>
                  </w:r>
                </w:p>
                <w:p w14:paraId="3D6060F5">
                  <w:pPr>
                    <w:jc w:val="center"/>
                    <w:rPr>
                      <w:rFonts w:ascii="Times New Roman" w:hAnsi="Times New Roman" w:eastAsia="宋体"/>
                      <w:b/>
                      <w:bCs/>
                      <w:color w:val="auto"/>
                      <w:sz w:val="21"/>
                      <w:szCs w:val="21"/>
                      <w:highlight w:val="none"/>
                    </w:rPr>
                  </w:pPr>
                  <w:r>
                    <w:rPr>
                      <w:rFonts w:hint="eastAsia"/>
                      <w:b/>
                      <w:bCs/>
                      <w:color w:val="auto"/>
                      <w:sz w:val="21"/>
                      <w:szCs w:val="21"/>
                      <w:highlight w:val="none"/>
                      <w:lang w:eastAsia="zh-CN"/>
                    </w:rPr>
                    <w:t>(</w:t>
                  </w:r>
                  <w:r>
                    <w:rPr>
                      <w:rFonts w:ascii="Times New Roman" w:hAnsi="Times New Roman" w:eastAsia="宋体"/>
                      <w:b/>
                      <w:bCs/>
                      <w:color w:val="auto"/>
                      <w:sz w:val="21"/>
                      <w:szCs w:val="21"/>
                      <w:highlight w:val="none"/>
                    </w:rPr>
                    <w:t>mg/L</w:t>
                  </w:r>
                  <w:r>
                    <w:rPr>
                      <w:rFonts w:hint="eastAsia"/>
                      <w:b/>
                      <w:bCs/>
                      <w:color w:val="auto"/>
                      <w:sz w:val="21"/>
                      <w:szCs w:val="21"/>
                      <w:highlight w:val="none"/>
                      <w:lang w:eastAsia="zh-CN"/>
                    </w:rPr>
                    <w:t>)</w:t>
                  </w:r>
                </w:p>
              </w:tc>
              <w:tc>
                <w:tcPr>
                  <w:tcW w:w="939" w:type="dxa"/>
                  <w:vAlign w:val="center"/>
                </w:tcPr>
                <w:p w14:paraId="35746FDF">
                  <w:pPr>
                    <w:jc w:val="center"/>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BOD</w:t>
                  </w:r>
                  <w:r>
                    <w:rPr>
                      <w:rFonts w:ascii="Times New Roman" w:hAnsi="Times New Roman" w:eastAsia="宋体"/>
                      <w:b/>
                      <w:bCs/>
                      <w:color w:val="auto"/>
                      <w:sz w:val="21"/>
                      <w:szCs w:val="21"/>
                      <w:highlight w:val="none"/>
                      <w:vertAlign w:val="subscript"/>
                    </w:rPr>
                    <w:t>5</w:t>
                  </w:r>
                  <w:r>
                    <w:rPr>
                      <w:rFonts w:hint="eastAsia"/>
                      <w:b/>
                      <w:bCs/>
                      <w:color w:val="auto"/>
                      <w:sz w:val="21"/>
                      <w:szCs w:val="21"/>
                      <w:highlight w:val="none"/>
                      <w:vertAlign w:val="subscript"/>
                      <w:lang w:eastAsia="zh-CN"/>
                    </w:rPr>
                    <w:t>(</w:t>
                  </w:r>
                  <w:r>
                    <w:rPr>
                      <w:rFonts w:ascii="Times New Roman" w:hAnsi="Times New Roman" w:eastAsia="宋体"/>
                      <w:b/>
                      <w:bCs/>
                      <w:color w:val="auto"/>
                      <w:sz w:val="21"/>
                      <w:szCs w:val="21"/>
                      <w:highlight w:val="none"/>
                    </w:rPr>
                    <w:t>mg/L</w:t>
                  </w:r>
                  <w:r>
                    <w:rPr>
                      <w:rFonts w:hint="eastAsia"/>
                      <w:b/>
                      <w:bCs/>
                      <w:color w:val="auto"/>
                      <w:sz w:val="21"/>
                      <w:szCs w:val="21"/>
                      <w:highlight w:val="none"/>
                      <w:lang w:eastAsia="zh-CN"/>
                    </w:rPr>
                    <w:t>)</w:t>
                  </w:r>
                </w:p>
              </w:tc>
              <w:tc>
                <w:tcPr>
                  <w:tcW w:w="992" w:type="dxa"/>
                  <w:vAlign w:val="center"/>
                </w:tcPr>
                <w:p w14:paraId="4EF481D2">
                  <w:pPr>
                    <w:jc w:val="center"/>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石油类（mg/L）</w:t>
                  </w:r>
                </w:p>
              </w:tc>
              <w:tc>
                <w:tcPr>
                  <w:tcW w:w="905" w:type="dxa"/>
                  <w:vAlign w:val="center"/>
                </w:tcPr>
                <w:p w14:paraId="15253DE4">
                  <w:pPr>
                    <w:jc w:val="center"/>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色度（倍）</w:t>
                  </w:r>
                </w:p>
              </w:tc>
              <w:tc>
                <w:tcPr>
                  <w:tcW w:w="896" w:type="dxa"/>
                  <w:vAlign w:val="center"/>
                </w:tcPr>
                <w:p w14:paraId="50C41D2F">
                  <w:pPr>
                    <w:jc w:val="center"/>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SS</w:t>
                  </w:r>
                </w:p>
                <w:p w14:paraId="0EA0673F">
                  <w:pPr>
                    <w:jc w:val="center"/>
                    <w:rPr>
                      <w:rFonts w:ascii="Times New Roman" w:hAnsi="Times New Roman" w:eastAsia="宋体"/>
                      <w:b/>
                      <w:bCs/>
                      <w:color w:val="auto"/>
                      <w:sz w:val="21"/>
                      <w:szCs w:val="21"/>
                      <w:highlight w:val="none"/>
                    </w:rPr>
                  </w:pPr>
                  <w:r>
                    <w:rPr>
                      <w:rFonts w:hint="eastAsia"/>
                      <w:b/>
                      <w:bCs/>
                      <w:color w:val="auto"/>
                      <w:sz w:val="21"/>
                      <w:szCs w:val="21"/>
                      <w:highlight w:val="none"/>
                      <w:lang w:eastAsia="zh-CN"/>
                    </w:rPr>
                    <w:t>(</w:t>
                  </w:r>
                  <w:r>
                    <w:rPr>
                      <w:rFonts w:ascii="Times New Roman" w:hAnsi="Times New Roman" w:eastAsia="宋体"/>
                      <w:b/>
                      <w:bCs/>
                      <w:color w:val="auto"/>
                      <w:sz w:val="21"/>
                      <w:szCs w:val="21"/>
                      <w:highlight w:val="none"/>
                    </w:rPr>
                    <w:t>mg/L</w:t>
                  </w:r>
                  <w:r>
                    <w:rPr>
                      <w:rFonts w:hint="eastAsia"/>
                      <w:b/>
                      <w:bCs/>
                      <w:color w:val="auto"/>
                      <w:sz w:val="21"/>
                      <w:szCs w:val="21"/>
                      <w:highlight w:val="none"/>
                      <w:lang w:eastAsia="zh-CN"/>
                    </w:rPr>
                    <w:t>)</w:t>
                  </w:r>
                </w:p>
              </w:tc>
              <w:tc>
                <w:tcPr>
                  <w:tcW w:w="895" w:type="dxa"/>
                  <w:vAlign w:val="center"/>
                </w:tcPr>
                <w:p w14:paraId="3AA5A731">
                  <w:pPr>
                    <w:jc w:val="center"/>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氨氮（mg/L）</w:t>
                  </w:r>
                </w:p>
              </w:tc>
              <w:tc>
                <w:tcPr>
                  <w:tcW w:w="816" w:type="dxa"/>
                  <w:vAlign w:val="center"/>
                </w:tcPr>
                <w:p w14:paraId="000BCB56">
                  <w:pPr>
                    <w:jc w:val="center"/>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TP</w:t>
                  </w:r>
                  <w:r>
                    <w:rPr>
                      <w:rFonts w:hint="eastAsia"/>
                      <w:b/>
                      <w:bCs/>
                      <w:color w:val="auto"/>
                      <w:sz w:val="21"/>
                      <w:szCs w:val="21"/>
                      <w:highlight w:val="none"/>
                      <w:lang w:eastAsia="zh-CN"/>
                    </w:rPr>
                    <w:t>(</w:t>
                  </w:r>
                  <w:r>
                    <w:rPr>
                      <w:rFonts w:ascii="Times New Roman" w:hAnsi="Times New Roman" w:eastAsia="宋体"/>
                      <w:b/>
                      <w:bCs/>
                      <w:color w:val="auto"/>
                      <w:sz w:val="21"/>
                      <w:szCs w:val="21"/>
                      <w:highlight w:val="none"/>
                    </w:rPr>
                    <w:t>mg/L</w:t>
                  </w:r>
                  <w:r>
                    <w:rPr>
                      <w:rFonts w:hint="eastAsia"/>
                      <w:b/>
                      <w:bCs/>
                      <w:color w:val="auto"/>
                      <w:sz w:val="21"/>
                      <w:szCs w:val="21"/>
                      <w:highlight w:val="none"/>
                      <w:lang w:eastAsia="zh-CN"/>
                    </w:rPr>
                    <w:t>)</w:t>
                  </w:r>
                </w:p>
              </w:tc>
            </w:tr>
            <w:tr w14:paraId="6F02A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638" w:type="dxa"/>
                  <w:vAlign w:val="center"/>
                </w:tcPr>
                <w:p w14:paraId="71DC50E5">
                  <w:pPr>
                    <w:wordWrap w:val="0"/>
                    <w:overflowPunct w:val="0"/>
                    <w:topLinePunct/>
                    <w:jc w:val="center"/>
                    <w:rPr>
                      <w:rFonts w:ascii="Times New Roman" w:hAnsi="Times New Roman" w:eastAsia="宋体"/>
                      <w:color w:val="auto"/>
                      <w:sz w:val="21"/>
                      <w:highlight w:val="none"/>
                    </w:rPr>
                  </w:pPr>
                  <w:r>
                    <w:rPr>
                      <w:rFonts w:ascii="Times New Roman" w:hAnsi="Times New Roman" w:eastAsia="宋体"/>
                      <w:color w:val="auto"/>
                      <w:kern w:val="0"/>
                      <w:sz w:val="21"/>
                      <w:highlight w:val="none"/>
                    </w:rPr>
                    <w:t>中山市中丽环境服务有限公司</w:t>
                  </w:r>
                </w:p>
              </w:tc>
              <w:tc>
                <w:tcPr>
                  <w:tcW w:w="1017" w:type="dxa"/>
                  <w:vAlign w:val="center"/>
                </w:tcPr>
                <w:p w14:paraId="2C18599A">
                  <w:pPr>
                    <w:autoSpaceDE w:val="0"/>
                    <w:autoSpaceDN w:val="0"/>
                    <w:adjustRightInd w:val="0"/>
                    <w:jc w:val="center"/>
                    <w:rPr>
                      <w:rFonts w:ascii="Times New Roman" w:hAnsi="Times New Roman" w:eastAsia="宋体"/>
                      <w:color w:val="auto"/>
                      <w:kern w:val="0"/>
                      <w:sz w:val="21"/>
                      <w:highlight w:val="none"/>
                    </w:rPr>
                  </w:pPr>
                  <w:r>
                    <w:rPr>
                      <w:rFonts w:ascii="Times New Roman" w:hAnsi="Times New Roman" w:eastAsia="宋体"/>
                      <w:color w:val="auto"/>
                      <w:kern w:val="0"/>
                      <w:sz w:val="21"/>
                      <w:highlight w:val="none"/>
                    </w:rPr>
                    <w:t>浓度限值</w:t>
                  </w:r>
                </w:p>
              </w:tc>
              <w:tc>
                <w:tcPr>
                  <w:tcW w:w="765" w:type="dxa"/>
                  <w:vAlign w:val="center"/>
                </w:tcPr>
                <w:p w14:paraId="3D323EE3">
                  <w:pPr>
                    <w:autoSpaceDE w:val="0"/>
                    <w:autoSpaceDN w:val="0"/>
                    <w:adjustRightInd w:val="0"/>
                    <w:jc w:val="center"/>
                    <w:rPr>
                      <w:rFonts w:ascii="Times New Roman" w:hAnsi="Times New Roman" w:eastAsia="宋体"/>
                      <w:color w:val="auto"/>
                      <w:kern w:val="0"/>
                      <w:sz w:val="21"/>
                      <w:highlight w:val="none"/>
                    </w:rPr>
                  </w:pPr>
                  <w:r>
                    <w:rPr>
                      <w:rFonts w:ascii="Times New Roman" w:hAnsi="Times New Roman" w:eastAsia="宋体"/>
                      <w:color w:val="auto"/>
                      <w:kern w:val="0"/>
                      <w:sz w:val="21"/>
                      <w:highlight w:val="none"/>
                    </w:rPr>
                    <w:t>/</w:t>
                  </w:r>
                </w:p>
              </w:tc>
              <w:tc>
                <w:tcPr>
                  <w:tcW w:w="1053" w:type="dxa"/>
                  <w:vAlign w:val="center"/>
                </w:tcPr>
                <w:p w14:paraId="4BA3716A">
                  <w:pPr>
                    <w:autoSpaceDE w:val="0"/>
                    <w:autoSpaceDN w:val="0"/>
                    <w:adjustRightInd w:val="0"/>
                    <w:jc w:val="center"/>
                    <w:rPr>
                      <w:rFonts w:ascii="Times New Roman" w:hAnsi="Times New Roman" w:eastAsia="宋体"/>
                      <w:color w:val="auto"/>
                      <w:kern w:val="0"/>
                      <w:sz w:val="21"/>
                      <w:highlight w:val="none"/>
                    </w:rPr>
                  </w:pPr>
                  <w:r>
                    <w:rPr>
                      <w:rFonts w:ascii="Times New Roman" w:hAnsi="Times New Roman" w:eastAsia="宋体"/>
                      <w:color w:val="auto"/>
                      <w:kern w:val="0"/>
                      <w:sz w:val="21"/>
                      <w:highlight w:val="none"/>
                    </w:rPr>
                    <w:t>≤5000</w:t>
                  </w:r>
                </w:p>
              </w:tc>
              <w:tc>
                <w:tcPr>
                  <w:tcW w:w="939" w:type="dxa"/>
                  <w:vAlign w:val="center"/>
                </w:tcPr>
                <w:p w14:paraId="5842DF60">
                  <w:pPr>
                    <w:autoSpaceDE w:val="0"/>
                    <w:autoSpaceDN w:val="0"/>
                    <w:adjustRightInd w:val="0"/>
                    <w:jc w:val="center"/>
                    <w:rPr>
                      <w:rFonts w:ascii="Times New Roman" w:hAnsi="Times New Roman" w:eastAsia="宋体"/>
                      <w:color w:val="auto"/>
                      <w:kern w:val="0"/>
                      <w:sz w:val="21"/>
                      <w:highlight w:val="none"/>
                    </w:rPr>
                  </w:pPr>
                  <w:r>
                    <w:rPr>
                      <w:rFonts w:ascii="Times New Roman" w:hAnsi="Times New Roman" w:eastAsia="宋体"/>
                      <w:color w:val="auto"/>
                      <w:kern w:val="0"/>
                      <w:sz w:val="21"/>
                      <w:highlight w:val="none"/>
                    </w:rPr>
                    <w:t>≤2000</w:t>
                  </w:r>
                </w:p>
              </w:tc>
              <w:tc>
                <w:tcPr>
                  <w:tcW w:w="992" w:type="dxa"/>
                  <w:vAlign w:val="center"/>
                </w:tcPr>
                <w:p w14:paraId="188046FC">
                  <w:pPr>
                    <w:autoSpaceDE w:val="0"/>
                    <w:autoSpaceDN w:val="0"/>
                    <w:adjustRightInd w:val="0"/>
                    <w:jc w:val="center"/>
                    <w:rPr>
                      <w:rFonts w:ascii="Times New Roman" w:hAnsi="Times New Roman" w:eastAsia="宋体"/>
                      <w:color w:val="auto"/>
                      <w:kern w:val="0"/>
                      <w:sz w:val="21"/>
                      <w:highlight w:val="none"/>
                    </w:rPr>
                  </w:pPr>
                  <w:r>
                    <w:rPr>
                      <w:rFonts w:ascii="Times New Roman" w:hAnsi="Times New Roman" w:eastAsia="宋体"/>
                      <w:color w:val="auto"/>
                      <w:kern w:val="0"/>
                      <w:sz w:val="21"/>
                      <w:highlight w:val="none"/>
                    </w:rPr>
                    <w:t>/</w:t>
                  </w:r>
                </w:p>
              </w:tc>
              <w:tc>
                <w:tcPr>
                  <w:tcW w:w="905" w:type="dxa"/>
                  <w:vAlign w:val="center"/>
                </w:tcPr>
                <w:p w14:paraId="0C2FF49C">
                  <w:pPr>
                    <w:autoSpaceDE w:val="0"/>
                    <w:autoSpaceDN w:val="0"/>
                    <w:adjustRightInd w:val="0"/>
                    <w:jc w:val="center"/>
                    <w:rPr>
                      <w:rFonts w:ascii="Times New Roman" w:hAnsi="Times New Roman" w:eastAsia="宋体"/>
                      <w:color w:val="auto"/>
                      <w:kern w:val="0"/>
                      <w:sz w:val="21"/>
                      <w:highlight w:val="none"/>
                    </w:rPr>
                  </w:pPr>
                  <w:r>
                    <w:rPr>
                      <w:rFonts w:ascii="Times New Roman" w:hAnsi="Times New Roman" w:eastAsia="宋体"/>
                      <w:color w:val="auto"/>
                      <w:kern w:val="0"/>
                      <w:sz w:val="21"/>
                      <w:highlight w:val="none"/>
                    </w:rPr>
                    <w:t>/</w:t>
                  </w:r>
                </w:p>
              </w:tc>
              <w:tc>
                <w:tcPr>
                  <w:tcW w:w="896" w:type="dxa"/>
                  <w:vAlign w:val="center"/>
                </w:tcPr>
                <w:p w14:paraId="26C7CDF4">
                  <w:pPr>
                    <w:autoSpaceDE w:val="0"/>
                    <w:autoSpaceDN w:val="0"/>
                    <w:adjustRightInd w:val="0"/>
                    <w:jc w:val="center"/>
                    <w:rPr>
                      <w:rFonts w:ascii="Times New Roman" w:hAnsi="Times New Roman" w:eastAsia="宋体"/>
                      <w:color w:val="auto"/>
                      <w:kern w:val="0"/>
                      <w:sz w:val="21"/>
                      <w:highlight w:val="none"/>
                    </w:rPr>
                  </w:pPr>
                  <w:r>
                    <w:rPr>
                      <w:rFonts w:ascii="Times New Roman" w:hAnsi="Times New Roman" w:eastAsia="宋体"/>
                      <w:color w:val="auto"/>
                      <w:kern w:val="0"/>
                      <w:sz w:val="21"/>
                      <w:highlight w:val="none"/>
                    </w:rPr>
                    <w:t>≤500</w:t>
                  </w:r>
                </w:p>
              </w:tc>
              <w:tc>
                <w:tcPr>
                  <w:tcW w:w="895" w:type="dxa"/>
                  <w:vAlign w:val="center"/>
                </w:tcPr>
                <w:p w14:paraId="5A34D5D7">
                  <w:pPr>
                    <w:autoSpaceDE w:val="0"/>
                    <w:autoSpaceDN w:val="0"/>
                    <w:adjustRightInd w:val="0"/>
                    <w:jc w:val="center"/>
                    <w:rPr>
                      <w:rFonts w:ascii="Times New Roman" w:hAnsi="Times New Roman" w:eastAsia="宋体"/>
                      <w:color w:val="auto"/>
                      <w:kern w:val="0"/>
                      <w:sz w:val="21"/>
                      <w:highlight w:val="none"/>
                    </w:rPr>
                  </w:pPr>
                  <w:r>
                    <w:rPr>
                      <w:rFonts w:ascii="Times New Roman" w:hAnsi="Times New Roman" w:eastAsia="宋体"/>
                      <w:color w:val="auto"/>
                      <w:kern w:val="0"/>
                      <w:sz w:val="21"/>
                      <w:highlight w:val="none"/>
                    </w:rPr>
                    <w:t>≤30</w:t>
                  </w:r>
                </w:p>
              </w:tc>
              <w:tc>
                <w:tcPr>
                  <w:tcW w:w="816" w:type="dxa"/>
                  <w:vAlign w:val="center"/>
                </w:tcPr>
                <w:p w14:paraId="37FC8EE5">
                  <w:pPr>
                    <w:autoSpaceDE w:val="0"/>
                    <w:autoSpaceDN w:val="0"/>
                    <w:adjustRightInd w:val="0"/>
                    <w:jc w:val="center"/>
                    <w:rPr>
                      <w:rFonts w:ascii="Times New Roman" w:hAnsi="Times New Roman" w:eastAsia="宋体"/>
                      <w:color w:val="auto"/>
                      <w:kern w:val="0"/>
                      <w:sz w:val="21"/>
                      <w:highlight w:val="none"/>
                    </w:rPr>
                  </w:pPr>
                  <w:r>
                    <w:rPr>
                      <w:rFonts w:ascii="Times New Roman" w:hAnsi="Times New Roman" w:eastAsia="宋体"/>
                      <w:color w:val="auto"/>
                      <w:kern w:val="0"/>
                      <w:sz w:val="21"/>
                      <w:highlight w:val="none"/>
                    </w:rPr>
                    <w:t>≤10</w:t>
                  </w:r>
                </w:p>
              </w:tc>
            </w:tr>
          </w:tbl>
          <w:p w14:paraId="550DC019">
            <w:pPr>
              <w:pStyle w:val="72"/>
              <w:keepNext w:val="0"/>
              <w:keepLines w:val="0"/>
              <w:framePr w:hSpace="0" w:wrap="auto" w:vAnchor="margin" w:hAnchor="text" w:xAlign="left" w:yAlign="inline"/>
              <w:suppressLineNumbers w:val="0"/>
              <w:spacing w:before="0" w:beforeAutospacing="0" w:after="0" w:afterAutospacing="0"/>
              <w:ind w:left="0" w:right="0" w:firstLine="420" w:firstLineChars="200"/>
              <w:jc w:val="both"/>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对比</w:t>
            </w:r>
            <w:r>
              <w:rPr>
                <w:rFonts w:hint="default" w:ascii="Times New Roman" w:hAnsi="Times New Roman" w:eastAsia="宋体"/>
                <w:color w:val="auto"/>
                <w:kern w:val="0"/>
                <w:sz w:val="21"/>
                <w:highlight w:val="none"/>
              </w:rPr>
              <w:t>中山市中丽环境服务有限公司</w:t>
            </w:r>
            <w:r>
              <w:rPr>
                <w:rFonts w:hint="default" w:ascii="Times New Roman" w:hAnsi="Times New Roman" w:eastAsia="宋体"/>
                <w:color w:val="auto"/>
                <w:sz w:val="21"/>
                <w:highlight w:val="none"/>
              </w:rPr>
              <w:t>接纳废水水质，项目生产废水水质满足其接纳要求，因此，项目生产废水转移给有处理能力的废水处理机构处理具有可依托性。</w:t>
            </w:r>
          </w:p>
          <w:p w14:paraId="0B8F661D">
            <w:pPr>
              <w:pStyle w:val="72"/>
              <w:keepNext w:val="0"/>
              <w:keepLines w:val="0"/>
              <w:framePr w:hSpace="0" w:wrap="auto" w:vAnchor="margin" w:hAnchor="text" w:xAlign="left" w:yAlign="inline"/>
              <w:numPr>
                <w:ilvl w:val="0"/>
                <w:numId w:val="30"/>
              </w:numPr>
              <w:suppressLineNumbers w:val="0"/>
              <w:spacing w:before="0" w:beforeAutospacing="0" w:after="0" w:afterAutospacing="0"/>
              <w:ind w:left="0" w:right="0" w:firstLine="422" w:firstLineChars="200"/>
              <w:jc w:val="both"/>
              <w:rPr>
                <w:rFonts w:hint="default" w:ascii="Times New Roman" w:hAnsi="Times New Roman" w:eastAsia="宋体"/>
                <w:b/>
                <w:color w:val="auto"/>
                <w:sz w:val="21"/>
                <w:highlight w:val="none"/>
              </w:rPr>
            </w:pPr>
            <w:r>
              <w:rPr>
                <w:rFonts w:hint="default" w:ascii="Times New Roman" w:hAnsi="Times New Roman" w:eastAsia="宋体"/>
                <w:b/>
                <w:color w:val="auto"/>
                <w:sz w:val="21"/>
                <w:highlight w:val="none"/>
              </w:rPr>
              <w:t>与《中山市零散工业废水管理工作指引》相符性分析</w:t>
            </w:r>
          </w:p>
          <w:p w14:paraId="64CE6C46">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color w:val="auto"/>
              </w:rPr>
            </w:pPr>
            <w:r>
              <w:rPr>
                <w:rFonts w:hint="eastAsia" w:ascii="Times New Roman" w:hAnsi="Times New Roman" w:eastAsia="宋体" w:cs="Times New Roman"/>
                <w:b/>
                <w:color w:val="auto"/>
                <w:sz w:val="21"/>
                <w:szCs w:val="24"/>
                <w:lang w:val="en-US" w:eastAsia="zh-CN"/>
              </w:rPr>
              <w:t>与《中山市零散工业废水管理工作指引》（</w:t>
            </w:r>
            <w:r>
              <w:rPr>
                <w:rFonts w:hint="default" w:ascii="Times New Roman" w:hAnsi="Times New Roman" w:eastAsia="宋体" w:cs="Times New Roman"/>
                <w:b/>
                <w:color w:val="auto"/>
                <w:sz w:val="21"/>
                <w:szCs w:val="24"/>
                <w:lang w:val="en-US" w:eastAsia="zh-CN"/>
              </w:rPr>
              <w:t>2023</w:t>
            </w:r>
            <w:r>
              <w:rPr>
                <w:rFonts w:hint="eastAsia" w:ascii="Times New Roman" w:hAnsi="Times New Roman" w:eastAsia="宋体" w:cs="Times New Roman"/>
                <w:b/>
                <w:color w:val="auto"/>
                <w:sz w:val="21"/>
                <w:szCs w:val="24"/>
                <w:lang w:val="en-US" w:eastAsia="zh-CN"/>
              </w:rPr>
              <w:t>年）相符性分析</w:t>
            </w:r>
          </w:p>
          <w:tbl>
            <w:tblPr>
              <w:tblStyle w:val="49"/>
              <w:tblW w:w="9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4931"/>
              <w:gridCol w:w="3628"/>
              <w:gridCol w:w="721"/>
            </w:tblGrid>
            <w:tr w14:paraId="7914A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637" w:type="dxa"/>
                  <w:vAlign w:val="center"/>
                </w:tcPr>
                <w:p w14:paraId="174D10A6">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序号</w:t>
                  </w:r>
                </w:p>
              </w:tc>
              <w:tc>
                <w:tcPr>
                  <w:tcW w:w="4931" w:type="dxa"/>
                  <w:vAlign w:val="center"/>
                </w:tcPr>
                <w:p w14:paraId="028466EE">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文件要求</w:t>
                  </w:r>
                </w:p>
              </w:tc>
              <w:tc>
                <w:tcPr>
                  <w:tcW w:w="3628" w:type="dxa"/>
                  <w:vAlign w:val="center"/>
                </w:tcPr>
                <w:p w14:paraId="2C6D7BE6">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本项目情况</w:t>
                  </w:r>
                </w:p>
              </w:tc>
              <w:tc>
                <w:tcPr>
                  <w:tcW w:w="721" w:type="dxa"/>
                  <w:vAlign w:val="center"/>
                </w:tcPr>
                <w:p w14:paraId="7F36EC50">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是否符合</w:t>
                  </w:r>
                </w:p>
              </w:tc>
            </w:tr>
            <w:tr w14:paraId="34C1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637" w:type="dxa"/>
                  <w:vAlign w:val="center"/>
                </w:tcPr>
                <w:p w14:paraId="29650ADA">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1</w:t>
                  </w:r>
                </w:p>
              </w:tc>
              <w:tc>
                <w:tcPr>
                  <w:tcW w:w="4931" w:type="dxa"/>
                  <w:vAlign w:val="center"/>
                </w:tcPr>
                <w:p w14:paraId="245E0B9D">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2.1污染防治要求</w:t>
                  </w:r>
                </w:p>
                <w:p w14:paraId="46F04546">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零散工业废水的收集、储存设施不得存在滴、漏、渗、溢现象，不得与生活用水、雨水或者</w:t>
                  </w:r>
                  <w:r>
                    <w:rPr>
                      <w:rFonts w:hint="eastAsia"/>
                      <w:color w:val="auto"/>
                      <w:kern w:val="0"/>
                      <w:sz w:val="21"/>
                      <w:highlight w:val="none"/>
                      <w:lang w:eastAsia="zh-CN"/>
                    </w:rPr>
                    <w:t>其他</w:t>
                  </w:r>
                  <w:r>
                    <w:rPr>
                      <w:rFonts w:hint="default" w:ascii="Times New Roman" w:hAnsi="Times New Roman" w:eastAsia="宋体"/>
                      <w:color w:val="auto"/>
                      <w:kern w:val="0"/>
                      <w:sz w:val="21"/>
                      <w:highlight w:val="none"/>
                    </w:rPr>
                    <w:t>液体的收集、储存设施相连通。</w:t>
                  </w:r>
                </w:p>
                <w:p w14:paraId="0A9E73F6">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禁止将其他危险废物、杂物注入零散工业废水中，禁止在零散工业废水收集、储存设施内预设暗口或者安装旁通阀门，禁止在地下铺埋偷排暗管或者铺设偷排暗渠。</w:t>
                  </w:r>
                </w:p>
                <w:p w14:paraId="7BD35C8F">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零散工业废水产生单位应定期检查收集及储存设备运行情况，及时排查零散工业废水污染风险。</w:t>
                  </w:r>
                </w:p>
              </w:tc>
              <w:tc>
                <w:tcPr>
                  <w:tcW w:w="3628" w:type="dxa"/>
                  <w:vAlign w:val="center"/>
                </w:tcPr>
                <w:p w14:paraId="7692E2FD">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项目车间地面硬化防渗；生产废水采用单独的废水桶收集储存；禁止将其他危险废物、杂物注入生产废水中，地面防渗，并在生产废水桶周边设置围堰；定期对废水桶、清洗槽进行检查，防治废水滴、漏、渗、溢；不在地下铺埋偷排暗管或者铺设偷排暗渠。</w:t>
                  </w:r>
                </w:p>
              </w:tc>
              <w:tc>
                <w:tcPr>
                  <w:tcW w:w="721" w:type="dxa"/>
                  <w:vAlign w:val="center"/>
                </w:tcPr>
                <w:p w14:paraId="7C1B0CA7">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是</w:t>
                  </w:r>
                </w:p>
              </w:tc>
            </w:tr>
            <w:tr w14:paraId="42628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8" w:hRule="atLeast"/>
                <w:jc w:val="center"/>
              </w:trPr>
              <w:tc>
                <w:tcPr>
                  <w:tcW w:w="637" w:type="dxa"/>
                  <w:vAlign w:val="center"/>
                </w:tcPr>
                <w:p w14:paraId="7715381F">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2</w:t>
                  </w:r>
                </w:p>
              </w:tc>
              <w:tc>
                <w:tcPr>
                  <w:tcW w:w="4931" w:type="dxa"/>
                  <w:vAlign w:val="center"/>
                </w:tcPr>
                <w:p w14:paraId="0416F90C">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2.2管道、储存设施建设要求</w:t>
                  </w:r>
                </w:p>
                <w:p w14:paraId="005CF789">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零散工业废水的储存设施的建造位置应当便于转移运输和观察水位，设施底部和外围及四周应当做好防渗漏、防溢出措施，储存容积原则上不得小于满负荷生产时连续5日的废水产生量；废水收集管道应当以明管的形式与零散工业废水储存设施直接连通；若部分零散工业废水需回用的，应另行设置回用水暂存设施，不得与零散工业废水储存设施连通。</w:t>
                  </w:r>
                </w:p>
              </w:tc>
              <w:tc>
                <w:tcPr>
                  <w:tcW w:w="3628" w:type="dxa"/>
                  <w:vAlign w:val="center"/>
                </w:tcPr>
                <w:p w14:paraId="099102C3">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项目设置一个总容量为</w:t>
                  </w:r>
                  <w:r>
                    <w:rPr>
                      <w:rFonts w:hint="eastAsia"/>
                      <w:color w:val="auto"/>
                      <w:kern w:val="0"/>
                      <w:sz w:val="21"/>
                      <w:highlight w:val="none"/>
                      <w:lang w:val="en-US" w:eastAsia="zh-CN"/>
                    </w:rPr>
                    <w:t>5</w:t>
                  </w:r>
                  <w:r>
                    <w:rPr>
                      <w:rFonts w:hint="default" w:ascii="Times New Roman" w:hAnsi="Times New Roman" w:eastAsia="宋体"/>
                      <w:color w:val="auto"/>
                      <w:kern w:val="0"/>
                      <w:sz w:val="21"/>
                      <w:highlight w:val="none"/>
                    </w:rPr>
                    <w:t>m³，有效储存量为</w:t>
                  </w:r>
                  <w:r>
                    <w:rPr>
                      <w:rFonts w:hint="eastAsia"/>
                      <w:color w:val="auto"/>
                      <w:kern w:val="0"/>
                      <w:sz w:val="21"/>
                      <w:highlight w:val="none"/>
                      <w:lang w:val="en-US" w:eastAsia="zh-CN"/>
                    </w:rPr>
                    <w:t>4.0</w:t>
                  </w:r>
                  <w:r>
                    <w:rPr>
                      <w:rFonts w:hint="eastAsia" w:ascii="Times New Roman" w:hAnsi="Times New Roman" w:eastAsia="宋体"/>
                      <w:color w:val="auto"/>
                      <w:kern w:val="0"/>
                      <w:sz w:val="21"/>
                      <w:highlight w:val="none"/>
                    </w:rPr>
                    <w:t>m</w:t>
                  </w:r>
                  <w:r>
                    <w:rPr>
                      <w:rFonts w:hint="default" w:ascii="Times New Roman" w:hAnsi="Times New Roman" w:eastAsia="宋体"/>
                      <w:color w:val="auto"/>
                      <w:kern w:val="0"/>
                      <w:sz w:val="21"/>
                      <w:highlight w:val="none"/>
                    </w:rPr>
                    <w:t>³的废水收集桶，项目</w:t>
                  </w:r>
                  <w:r>
                    <w:rPr>
                      <w:rFonts w:hint="eastAsia" w:ascii="Times New Roman" w:hAnsi="Times New Roman" w:eastAsia="宋体"/>
                      <w:color w:val="auto"/>
                      <w:kern w:val="0"/>
                      <w:sz w:val="21"/>
                      <w:highlight w:val="none"/>
                    </w:rPr>
                    <w:t>生产</w:t>
                  </w:r>
                  <w:r>
                    <w:rPr>
                      <w:rFonts w:hint="default" w:ascii="Times New Roman" w:hAnsi="Times New Roman" w:eastAsia="宋体"/>
                      <w:color w:val="auto"/>
                      <w:kern w:val="0"/>
                      <w:sz w:val="21"/>
                      <w:highlight w:val="none"/>
                    </w:rPr>
                    <w:t>废水产生量为</w:t>
                  </w:r>
                  <w:r>
                    <w:rPr>
                      <w:rFonts w:hint="eastAsia"/>
                      <w:color w:val="auto"/>
                      <w:kern w:val="0"/>
                      <w:sz w:val="21"/>
                      <w:highlight w:val="none"/>
                      <w:lang w:val="en-US" w:eastAsia="zh-CN"/>
                    </w:rPr>
                    <w:t>135</w:t>
                  </w:r>
                  <w:r>
                    <w:rPr>
                      <w:rFonts w:hint="default" w:ascii="Times New Roman" w:hAnsi="Times New Roman" w:eastAsia="宋体"/>
                      <w:color w:val="auto"/>
                      <w:kern w:val="0"/>
                      <w:sz w:val="21"/>
                      <w:highlight w:val="none"/>
                    </w:rPr>
                    <w:t>t/a，每</w:t>
                  </w:r>
                  <w:r>
                    <w:rPr>
                      <w:rFonts w:hint="eastAsia"/>
                      <w:color w:val="auto"/>
                      <w:kern w:val="0"/>
                      <w:sz w:val="21"/>
                      <w:highlight w:val="none"/>
                      <w:lang w:val="en-US" w:eastAsia="zh-CN"/>
                    </w:rPr>
                    <w:t>月</w:t>
                  </w:r>
                  <w:r>
                    <w:rPr>
                      <w:rFonts w:hint="eastAsia" w:ascii="Times New Roman" w:hAnsi="Times New Roman" w:eastAsia="宋体"/>
                      <w:color w:val="auto"/>
                      <w:kern w:val="0"/>
                      <w:sz w:val="21"/>
                      <w:highlight w:val="none"/>
                    </w:rPr>
                    <w:t>转移</w:t>
                  </w:r>
                  <w:r>
                    <w:rPr>
                      <w:rFonts w:hint="eastAsia"/>
                      <w:color w:val="auto"/>
                      <w:kern w:val="0"/>
                      <w:sz w:val="21"/>
                      <w:highlight w:val="none"/>
                      <w:lang w:val="en-US" w:eastAsia="zh-CN"/>
                    </w:rPr>
                    <w:t>3</w:t>
                  </w:r>
                  <w:r>
                    <w:rPr>
                      <w:rFonts w:hint="default" w:ascii="Times New Roman" w:hAnsi="Times New Roman" w:eastAsia="宋体"/>
                      <w:color w:val="auto"/>
                      <w:kern w:val="0"/>
                      <w:sz w:val="21"/>
                      <w:highlight w:val="none"/>
                    </w:rPr>
                    <w:t>次，每次废水量约</w:t>
                  </w:r>
                  <w:r>
                    <w:rPr>
                      <w:rFonts w:hint="eastAsia"/>
                      <w:color w:val="auto"/>
                      <w:kern w:val="0"/>
                      <w:sz w:val="21"/>
                      <w:highlight w:val="none"/>
                      <w:lang w:val="en-US" w:eastAsia="zh-CN"/>
                    </w:rPr>
                    <w:t>3.75</w:t>
                  </w:r>
                  <w:r>
                    <w:rPr>
                      <w:rFonts w:hint="default" w:ascii="Times New Roman" w:hAnsi="Times New Roman" w:eastAsia="宋体"/>
                      <w:color w:val="auto"/>
                      <w:kern w:val="0"/>
                      <w:sz w:val="21"/>
                      <w:highlight w:val="none"/>
                    </w:rPr>
                    <w:t>t，可满足储存量需求；废水收集桶带有刻度线，方便观察废水收集桶废水储存量，地面防渗，并在废水桶周边设置围堰，定期对废水桶进行检查，防止废水滴、漏、渗、溢；项目废水通过固定明管泵入废水桶储存；项目无废水回用。</w:t>
                  </w:r>
                </w:p>
              </w:tc>
              <w:tc>
                <w:tcPr>
                  <w:tcW w:w="721" w:type="dxa"/>
                  <w:vAlign w:val="center"/>
                </w:tcPr>
                <w:p w14:paraId="1B23AAF7">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是</w:t>
                  </w:r>
                </w:p>
              </w:tc>
            </w:tr>
            <w:tr w14:paraId="096B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0" w:hRule="atLeast"/>
                <w:jc w:val="center"/>
              </w:trPr>
              <w:tc>
                <w:tcPr>
                  <w:tcW w:w="637" w:type="dxa"/>
                  <w:vAlign w:val="center"/>
                </w:tcPr>
                <w:p w14:paraId="59401FE3">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3</w:t>
                  </w:r>
                </w:p>
              </w:tc>
              <w:tc>
                <w:tcPr>
                  <w:tcW w:w="4931" w:type="dxa"/>
                  <w:vAlign w:val="center"/>
                </w:tcPr>
                <w:p w14:paraId="0C142979">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2.3计量设备安装要求</w:t>
                  </w:r>
                </w:p>
                <w:p w14:paraId="7C87D0E8">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零散工业废水产生单位应对产生零散废水的工序安装独立的工业用水水表，不与生活用水水表混合使用；在储存设施中安装水量计量装置，监控储存设施的液位情况，如有多个储存设施，每个设施均需安装水量计量装置；在适当位置安装视频监控，要求可以清</w:t>
                  </w:r>
                  <w:r>
                    <w:rPr>
                      <w:rFonts w:hint="eastAsia"/>
                      <w:color w:val="auto"/>
                      <w:kern w:val="0"/>
                      <w:sz w:val="21"/>
                      <w:highlight w:val="none"/>
                      <w:lang w:eastAsia="zh-CN"/>
                    </w:rPr>
                    <w:t>晰地</w:t>
                  </w:r>
                  <w:r>
                    <w:rPr>
                      <w:rFonts w:hint="default" w:ascii="Times New Roman" w:hAnsi="Times New Roman" w:eastAsia="宋体"/>
                      <w:color w:val="auto"/>
                      <w:kern w:val="0"/>
                      <w:sz w:val="21"/>
                      <w:highlight w:val="none"/>
                    </w:rPr>
                    <w:t>看出储存设施及其周边环境情况。所有计量监控设施预留与生态环境部门进行数据联网的接口，计量设备及联网应满足中山市生态环境局关于印发《2023年中山市重点单位非浓度自动监控设备安装联网工作方案》的通知中技术指南的要求。</w:t>
                  </w:r>
                </w:p>
              </w:tc>
              <w:tc>
                <w:tcPr>
                  <w:tcW w:w="3628" w:type="dxa"/>
                  <w:vAlign w:val="center"/>
                </w:tcPr>
                <w:p w14:paraId="01665F34">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企业安装有单独的生产用水表，废水桶均有液位刻度线，企业在废水桶储存区安装摄像头对废水桶进行监控，并预留与生态环境部门进行数据联网的接口。</w:t>
                  </w:r>
                </w:p>
              </w:tc>
              <w:tc>
                <w:tcPr>
                  <w:tcW w:w="721" w:type="dxa"/>
                  <w:vAlign w:val="center"/>
                </w:tcPr>
                <w:p w14:paraId="4F5EF860">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是</w:t>
                  </w:r>
                </w:p>
              </w:tc>
            </w:tr>
            <w:tr w14:paraId="04388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1" w:hRule="atLeast"/>
                <w:jc w:val="center"/>
              </w:trPr>
              <w:tc>
                <w:tcPr>
                  <w:tcW w:w="637" w:type="dxa"/>
                  <w:vAlign w:val="center"/>
                </w:tcPr>
                <w:p w14:paraId="758F6E43">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4</w:t>
                  </w:r>
                </w:p>
              </w:tc>
              <w:tc>
                <w:tcPr>
                  <w:tcW w:w="4931" w:type="dxa"/>
                  <w:vAlign w:val="center"/>
                </w:tcPr>
                <w:p w14:paraId="1A85E652">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2.4废水储存管理要求</w:t>
                  </w:r>
                </w:p>
                <w:p w14:paraId="1DE19382">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零散工业废水产生单位应定期观察储存设施的水位情况，当储存水量超过最大容积量80%或剩余储存量不足2天正常生产产水量时，需及时联系零散工业废水接收单位转移。如遇零散工业废水接收单位无故拒绝收运的，应及时向属地生态环境部门反馈。</w:t>
                  </w:r>
                </w:p>
              </w:tc>
              <w:tc>
                <w:tcPr>
                  <w:tcW w:w="3628" w:type="dxa"/>
                  <w:vAlign w:val="center"/>
                </w:tcPr>
                <w:p w14:paraId="71E4B325">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定期观察废水桶储存水量情况，当储存水量超过</w:t>
                  </w:r>
                  <w:r>
                    <w:rPr>
                      <w:rFonts w:hint="eastAsia"/>
                      <w:color w:val="auto"/>
                      <w:kern w:val="0"/>
                      <w:sz w:val="21"/>
                      <w:highlight w:val="none"/>
                      <w:lang w:val="en-US" w:eastAsia="zh-CN"/>
                    </w:rPr>
                    <w:t>4.0</w:t>
                  </w:r>
                  <w:r>
                    <w:rPr>
                      <w:rFonts w:hint="default" w:ascii="Times New Roman" w:hAnsi="Times New Roman" w:eastAsia="宋体"/>
                      <w:color w:val="auto"/>
                      <w:kern w:val="0"/>
                      <w:sz w:val="21"/>
                      <w:highlight w:val="none"/>
                    </w:rPr>
                    <w:t>t时，联系有废水处理能力的单位进行转移处理，约每</w:t>
                  </w:r>
                  <w:r>
                    <w:rPr>
                      <w:rFonts w:hint="eastAsia" w:ascii="Times New Roman" w:hAnsi="Times New Roman" w:eastAsia="宋体"/>
                      <w:color w:val="auto"/>
                      <w:kern w:val="0"/>
                      <w:sz w:val="21"/>
                      <w:highlight w:val="none"/>
                    </w:rPr>
                    <w:t>个月</w:t>
                  </w:r>
                  <w:r>
                    <w:rPr>
                      <w:rFonts w:hint="default" w:ascii="Times New Roman" w:hAnsi="Times New Roman" w:eastAsia="宋体"/>
                      <w:color w:val="auto"/>
                      <w:kern w:val="0"/>
                      <w:sz w:val="21"/>
                      <w:highlight w:val="none"/>
                    </w:rPr>
                    <w:t>转移</w:t>
                  </w:r>
                  <w:r>
                    <w:rPr>
                      <w:rFonts w:hint="eastAsia"/>
                      <w:color w:val="auto"/>
                      <w:kern w:val="0"/>
                      <w:sz w:val="21"/>
                      <w:highlight w:val="none"/>
                      <w:lang w:val="en-US" w:eastAsia="zh-CN"/>
                    </w:rPr>
                    <w:t>3</w:t>
                  </w:r>
                  <w:r>
                    <w:rPr>
                      <w:rFonts w:hint="default" w:ascii="Times New Roman" w:hAnsi="Times New Roman" w:eastAsia="宋体"/>
                      <w:color w:val="auto"/>
                      <w:kern w:val="0"/>
                      <w:sz w:val="21"/>
                      <w:highlight w:val="none"/>
                    </w:rPr>
                    <w:t>次。</w:t>
                  </w:r>
                </w:p>
              </w:tc>
              <w:tc>
                <w:tcPr>
                  <w:tcW w:w="721" w:type="dxa"/>
                  <w:vAlign w:val="center"/>
                </w:tcPr>
                <w:p w14:paraId="6DB9993C">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是</w:t>
                  </w:r>
                </w:p>
              </w:tc>
            </w:tr>
            <w:tr w14:paraId="1FEBA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3" w:hRule="atLeast"/>
                <w:jc w:val="center"/>
              </w:trPr>
              <w:tc>
                <w:tcPr>
                  <w:tcW w:w="637" w:type="dxa"/>
                  <w:vAlign w:val="center"/>
                </w:tcPr>
                <w:p w14:paraId="081EC7C1">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5</w:t>
                  </w:r>
                </w:p>
              </w:tc>
              <w:tc>
                <w:tcPr>
                  <w:tcW w:w="4931" w:type="dxa"/>
                  <w:vAlign w:val="center"/>
                </w:tcPr>
                <w:p w14:paraId="1FE1DC6E">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4.1转移联单管理制度</w:t>
                  </w:r>
                </w:p>
                <w:p w14:paraId="36D22CF9">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零散工业废水接收单位和产生单位应建立转移联单管理制度。零散工业废水接收单位根据联单模板制作《零散工业废水转移联单》，原件一式两份，在接收零散工业废水时，与零散工业废水产生单位核对转移量、转移时间等，填写转移联单。转移联单第一联和第二联副联由零散工业废水产生单位和接收单位分别自留存档。</w:t>
                  </w:r>
                </w:p>
              </w:tc>
              <w:tc>
                <w:tcPr>
                  <w:tcW w:w="3628" w:type="dxa"/>
                  <w:vAlign w:val="center"/>
                </w:tcPr>
                <w:p w14:paraId="73FA9239">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废水转移单位在转移废水时根据要求出具《零散工业废水转移联单》，并按要求填写相关信息，一式两份，企业和转移单位各自保留存档。</w:t>
                  </w:r>
                </w:p>
              </w:tc>
              <w:tc>
                <w:tcPr>
                  <w:tcW w:w="721" w:type="dxa"/>
                  <w:vAlign w:val="center"/>
                </w:tcPr>
                <w:p w14:paraId="6EC8943C">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是</w:t>
                  </w:r>
                </w:p>
              </w:tc>
            </w:tr>
            <w:tr w14:paraId="36DAF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8" w:hRule="atLeast"/>
                <w:jc w:val="center"/>
              </w:trPr>
              <w:tc>
                <w:tcPr>
                  <w:tcW w:w="637" w:type="dxa"/>
                  <w:vAlign w:val="center"/>
                </w:tcPr>
                <w:p w14:paraId="2DA4839E">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6</w:t>
                  </w:r>
                </w:p>
              </w:tc>
              <w:tc>
                <w:tcPr>
                  <w:tcW w:w="4931" w:type="dxa"/>
                  <w:vAlign w:val="center"/>
                </w:tcPr>
                <w:p w14:paraId="1B5A0DFB">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4.2废水管理台账</w:t>
                  </w:r>
                </w:p>
                <w:p w14:paraId="68D717E5">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零散工业废水接收单位和产生单位应建立零散工业废水管理台账。其中，接收单位应建立零散工业废水管理台账，如实、完整、准确记录废水产生单位名称、废水类型、收运人员、收运水量、运输车辆等台账信息，并每月汇总情况填写《零散工业废水接收单位废水接收台账月报表》；产生单位应建立零散工业废水管理台账，如实记录日生产用水量、日废水产生量、日存储废水量与转移量和转移时间等台账信息，并每月汇总情况填写《零散工业废水产生单位废水产生转移台账月报表》。</w:t>
                  </w:r>
                </w:p>
              </w:tc>
              <w:tc>
                <w:tcPr>
                  <w:tcW w:w="3628" w:type="dxa"/>
                  <w:vAlign w:val="center"/>
                </w:tcPr>
                <w:p w14:paraId="1EBC917F">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企业建立生产废水管理台账、对每天生产用水量、废水产生量、废水储存量和转移量、转移时间进行记录。并每月填写《零散工业废水接收单位管理台账月报表》，报表企业存档保留。</w:t>
                  </w:r>
                </w:p>
              </w:tc>
              <w:tc>
                <w:tcPr>
                  <w:tcW w:w="721" w:type="dxa"/>
                  <w:vAlign w:val="center"/>
                </w:tcPr>
                <w:p w14:paraId="43267ECB">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是</w:t>
                  </w:r>
                </w:p>
              </w:tc>
            </w:tr>
            <w:tr w14:paraId="1E75B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7" w:hRule="atLeast"/>
                <w:jc w:val="center"/>
              </w:trPr>
              <w:tc>
                <w:tcPr>
                  <w:tcW w:w="637" w:type="dxa"/>
                  <w:vAlign w:val="center"/>
                </w:tcPr>
                <w:p w14:paraId="09C608C9">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7</w:t>
                  </w:r>
                </w:p>
              </w:tc>
              <w:tc>
                <w:tcPr>
                  <w:tcW w:w="4931" w:type="dxa"/>
                  <w:vAlign w:val="center"/>
                </w:tcPr>
                <w:p w14:paraId="0D4BAAB0">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五、应急管理</w:t>
                  </w:r>
                </w:p>
                <w:p w14:paraId="2ADFE719">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零散工业废水接收单位应编制、备案突发环境事件应急预案，建立环境风险隐患排查制度，落实环境风险防范措施，建立完善的生产管理体系，做好零散工业废水收集处理的运营、应急和安全等管理工作。</w:t>
                  </w:r>
                </w:p>
                <w:p w14:paraId="6AB176A8">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零散工业废水产生单位应将零散工业废水收集、储存的运营、应急和安全等管理工作纳入企业突发环境事件应急预案，建立环境风险隐患排查制度，落实环境风险防范措施，建立完善的生产管理体系。</w:t>
                  </w:r>
                </w:p>
              </w:tc>
              <w:tc>
                <w:tcPr>
                  <w:tcW w:w="3628" w:type="dxa"/>
                  <w:vAlign w:val="center"/>
                </w:tcPr>
                <w:p w14:paraId="3521FD4C">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企业建立生产废水泄漏环境风险隐患排查制度，落实环境风险防范措施，建立完善的生产管理体系。</w:t>
                  </w:r>
                </w:p>
              </w:tc>
              <w:tc>
                <w:tcPr>
                  <w:tcW w:w="721" w:type="dxa"/>
                  <w:vAlign w:val="center"/>
                </w:tcPr>
                <w:p w14:paraId="73FF2685">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是</w:t>
                  </w:r>
                </w:p>
              </w:tc>
            </w:tr>
            <w:tr w14:paraId="57AA9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8" w:hRule="atLeast"/>
                <w:jc w:val="center"/>
              </w:trPr>
              <w:tc>
                <w:tcPr>
                  <w:tcW w:w="637" w:type="dxa"/>
                  <w:vAlign w:val="center"/>
                </w:tcPr>
                <w:p w14:paraId="25A00E22">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8</w:t>
                  </w:r>
                </w:p>
              </w:tc>
              <w:tc>
                <w:tcPr>
                  <w:tcW w:w="4931" w:type="dxa"/>
                  <w:vAlign w:val="center"/>
                </w:tcPr>
                <w:p w14:paraId="084B03EC">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六、信息报送</w:t>
                  </w:r>
                </w:p>
                <w:p w14:paraId="40E238D8">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零散工业废水产生单位每月10日前将上月的《零散工业废水产生单位废水产生转移台账月报表》报送所在镇街生态环境部门。</w:t>
                  </w:r>
                </w:p>
                <w:p w14:paraId="41AB9494">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零散工业废水接收单位每月10日前将上月的《零散工业废水接收单位废水接收台账月报表》报送所在镇街生态环境部门，并抄报市生态环境局。</w:t>
                  </w:r>
                </w:p>
                <w:p w14:paraId="6E6FD0FF">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市生态环境局按信息化建设要求推进零散工业废水监管平台的建设，待监管平台建成启用后，相应信息报送要求按照平台管理要求进行。</w:t>
                  </w:r>
                </w:p>
              </w:tc>
              <w:tc>
                <w:tcPr>
                  <w:tcW w:w="3628" w:type="dxa"/>
                  <w:vAlign w:val="center"/>
                </w:tcPr>
                <w:p w14:paraId="52B1C1AB">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企业每月10日前将上月的《零散工业废水产生单位废水转移台账月报表》报送所在镇街生态环境部门。</w:t>
                  </w:r>
                </w:p>
              </w:tc>
              <w:tc>
                <w:tcPr>
                  <w:tcW w:w="721" w:type="dxa"/>
                  <w:vAlign w:val="center"/>
                </w:tcPr>
                <w:p w14:paraId="085FA0DB">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kern w:val="0"/>
                      <w:sz w:val="21"/>
                      <w:highlight w:val="none"/>
                    </w:rPr>
                  </w:pPr>
                  <w:r>
                    <w:rPr>
                      <w:rFonts w:hint="default" w:ascii="Times New Roman" w:hAnsi="Times New Roman" w:eastAsia="宋体"/>
                      <w:color w:val="auto"/>
                      <w:kern w:val="0"/>
                      <w:sz w:val="21"/>
                      <w:highlight w:val="none"/>
                    </w:rPr>
                    <w:t>是</w:t>
                  </w:r>
                </w:p>
              </w:tc>
            </w:tr>
          </w:tbl>
          <w:p w14:paraId="472E4B97">
            <w:pPr>
              <w:pStyle w:val="74"/>
              <w:keepNext w:val="0"/>
              <w:keepLines w:val="0"/>
              <w:suppressLineNumbers w:val="0"/>
              <w:spacing w:before="0" w:beforeAutospacing="0" w:after="0" w:afterAutospacing="0"/>
              <w:ind w:left="0" w:leftChars="0" w:right="0" w:firstLine="420" w:firstLineChars="200"/>
              <w:rPr>
                <w:rFonts w:hint="eastAsia" w:ascii="Times New Roman" w:hAnsi="Times New Roman" w:eastAsia="宋体"/>
                <w:color w:val="auto"/>
                <w:sz w:val="21"/>
                <w:highlight w:val="none"/>
              </w:rPr>
            </w:pPr>
            <w:r>
              <w:rPr>
                <w:rFonts w:hint="default" w:ascii="Times New Roman" w:hAnsi="Times New Roman" w:eastAsia="宋体"/>
                <w:color w:val="auto"/>
                <w:sz w:val="21"/>
                <w:szCs w:val="24"/>
                <w:highlight w:val="none"/>
                <w:lang w:bidi="ar"/>
              </w:rPr>
              <w:t>项目设置一个总容量为</w:t>
            </w:r>
            <w:r>
              <w:rPr>
                <w:rFonts w:hint="eastAsia" w:ascii="Times New Roman" w:hAnsi="Times New Roman"/>
                <w:color w:val="auto"/>
                <w:sz w:val="21"/>
                <w:szCs w:val="24"/>
                <w:highlight w:val="none"/>
                <w:lang w:val="en-US" w:eastAsia="zh-CN" w:bidi="ar"/>
              </w:rPr>
              <w:t>5</w:t>
            </w:r>
            <w:r>
              <w:rPr>
                <w:rFonts w:hint="default" w:ascii="Times New Roman" w:hAnsi="Times New Roman" w:eastAsia="宋体"/>
                <w:color w:val="auto"/>
                <w:sz w:val="21"/>
                <w:szCs w:val="24"/>
                <w:highlight w:val="none"/>
                <w:lang w:bidi="ar"/>
              </w:rPr>
              <w:t>m³，有效储存量为</w:t>
            </w:r>
            <w:r>
              <w:rPr>
                <w:rFonts w:hint="eastAsia" w:ascii="Times New Roman" w:hAnsi="Times New Roman"/>
                <w:color w:val="auto"/>
                <w:sz w:val="21"/>
                <w:szCs w:val="24"/>
                <w:highlight w:val="none"/>
                <w:lang w:val="en-US" w:eastAsia="zh-CN" w:bidi="ar"/>
              </w:rPr>
              <w:t>4</w:t>
            </w:r>
            <w:r>
              <w:rPr>
                <w:rFonts w:hint="default" w:ascii="Times New Roman" w:hAnsi="Times New Roman" w:eastAsia="宋体"/>
                <w:color w:val="auto"/>
                <w:sz w:val="21"/>
                <w:szCs w:val="24"/>
                <w:highlight w:val="none"/>
                <w:lang w:bidi="ar"/>
              </w:rPr>
              <w:t>m³的废水收集桶，项目生产废水产生量为</w:t>
            </w:r>
            <w:r>
              <w:rPr>
                <w:rFonts w:hint="eastAsia" w:ascii="Times New Roman" w:hAnsi="Times New Roman"/>
                <w:color w:val="auto"/>
                <w:sz w:val="21"/>
                <w:szCs w:val="24"/>
                <w:highlight w:val="none"/>
                <w:lang w:val="en-US" w:eastAsia="zh-CN" w:bidi="ar"/>
              </w:rPr>
              <w:t>135</w:t>
            </w:r>
            <w:r>
              <w:rPr>
                <w:rFonts w:hint="default" w:ascii="Times New Roman" w:hAnsi="Times New Roman" w:eastAsia="宋体"/>
                <w:color w:val="auto"/>
                <w:sz w:val="21"/>
                <w:szCs w:val="24"/>
                <w:highlight w:val="none"/>
                <w:lang w:bidi="ar"/>
              </w:rPr>
              <w:t>t/a，每</w:t>
            </w:r>
            <w:r>
              <w:rPr>
                <w:rFonts w:hint="eastAsia" w:ascii="Times New Roman" w:hAnsi="Times New Roman" w:eastAsia="宋体"/>
                <w:color w:val="auto"/>
                <w:sz w:val="21"/>
                <w:szCs w:val="24"/>
                <w:highlight w:val="none"/>
                <w:lang w:bidi="ar"/>
              </w:rPr>
              <w:t>个月转移</w:t>
            </w:r>
            <w:r>
              <w:rPr>
                <w:rFonts w:hint="eastAsia" w:ascii="Times New Roman" w:hAnsi="Times New Roman"/>
                <w:color w:val="auto"/>
                <w:sz w:val="21"/>
                <w:szCs w:val="24"/>
                <w:highlight w:val="none"/>
                <w:lang w:val="en-US" w:eastAsia="zh-CN" w:bidi="ar"/>
              </w:rPr>
              <w:t>3</w:t>
            </w:r>
            <w:r>
              <w:rPr>
                <w:rFonts w:hint="default" w:ascii="Times New Roman" w:hAnsi="Times New Roman" w:eastAsia="宋体"/>
                <w:color w:val="auto"/>
                <w:sz w:val="21"/>
                <w:szCs w:val="24"/>
                <w:highlight w:val="none"/>
                <w:lang w:bidi="ar"/>
              </w:rPr>
              <w:t>次，每次废水量约</w:t>
            </w:r>
            <w:r>
              <w:rPr>
                <w:rFonts w:hint="eastAsia" w:ascii="Times New Roman" w:hAnsi="Times New Roman"/>
                <w:color w:val="auto"/>
                <w:sz w:val="21"/>
                <w:szCs w:val="24"/>
                <w:highlight w:val="none"/>
                <w:lang w:val="en-US" w:eastAsia="zh-CN" w:bidi="ar"/>
              </w:rPr>
              <w:t>3.75</w:t>
            </w:r>
            <w:r>
              <w:rPr>
                <w:rFonts w:hint="default" w:ascii="Times New Roman" w:hAnsi="Times New Roman" w:eastAsia="宋体"/>
                <w:color w:val="auto"/>
                <w:sz w:val="21"/>
                <w:szCs w:val="24"/>
                <w:highlight w:val="none"/>
                <w:lang w:bidi="ar"/>
              </w:rPr>
              <w:t>t，项目废水收集桶有效储存量满足一次最大转移水量的储存要求，废水收集桶暂存区的底部为水泥硬化地面及罐区四周设置围堰，并安装视频监控及水量计量装置。因此，项目生产废水储存管理与《中山市零散工业废水管理工作指引》具有相符性。</w:t>
            </w:r>
          </w:p>
          <w:p w14:paraId="5616B92B">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sz w:val="21"/>
                <w:szCs w:val="24"/>
                <w:lang w:val="zh-CN" w:eastAsia="zh-CN"/>
              </w:rPr>
            </w:pPr>
            <w:r>
              <w:rPr>
                <w:rFonts w:hint="default" w:ascii="Times New Roman" w:hAnsi="Times New Roman" w:eastAsia="宋体" w:cs="Times New Roman"/>
                <w:b/>
                <w:color w:val="auto"/>
                <w:sz w:val="21"/>
                <w:szCs w:val="24"/>
                <w:lang w:val="zh-CN" w:eastAsia="zh-CN"/>
              </w:rPr>
              <w:t>废水类别、污染物及污染治理设施信息表</w:t>
            </w:r>
          </w:p>
          <w:tbl>
            <w:tblPr>
              <w:tblStyle w:val="48"/>
              <w:tblW w:w="10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
              <w:gridCol w:w="543"/>
              <w:gridCol w:w="1062"/>
              <w:gridCol w:w="1469"/>
              <w:gridCol w:w="866"/>
              <w:gridCol w:w="945"/>
              <w:gridCol w:w="945"/>
              <w:gridCol w:w="746"/>
              <w:gridCol w:w="625"/>
              <w:gridCol w:w="932"/>
              <w:gridCol w:w="1474"/>
            </w:tblGrid>
            <w:tr w14:paraId="19C86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407" w:type="dxa"/>
                  <w:vMerge w:val="restart"/>
                  <w:shd w:val="clear" w:color="auto" w:fill="BEBEBE"/>
                  <w:vAlign w:val="center"/>
                </w:tcPr>
                <w:p w14:paraId="40CA943E">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序号</w:t>
                  </w:r>
                </w:p>
              </w:tc>
              <w:tc>
                <w:tcPr>
                  <w:tcW w:w="543" w:type="dxa"/>
                  <w:vMerge w:val="restart"/>
                  <w:shd w:val="clear" w:color="auto" w:fill="BEBEBE"/>
                  <w:vAlign w:val="center"/>
                </w:tcPr>
                <w:p w14:paraId="36A5DE66">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废水类别</w:t>
                  </w:r>
                </w:p>
              </w:tc>
              <w:tc>
                <w:tcPr>
                  <w:tcW w:w="1062" w:type="dxa"/>
                  <w:vMerge w:val="restart"/>
                  <w:shd w:val="clear" w:color="auto" w:fill="BEBEBE"/>
                  <w:vAlign w:val="center"/>
                </w:tcPr>
                <w:p w14:paraId="1451BAA9">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污染物种类</w:t>
                  </w:r>
                </w:p>
              </w:tc>
              <w:tc>
                <w:tcPr>
                  <w:tcW w:w="1469" w:type="dxa"/>
                  <w:vMerge w:val="restart"/>
                  <w:shd w:val="clear" w:color="auto" w:fill="BEBEBE"/>
                  <w:vAlign w:val="center"/>
                </w:tcPr>
                <w:p w14:paraId="1E72A370">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排放去向</w:t>
                  </w:r>
                </w:p>
              </w:tc>
              <w:tc>
                <w:tcPr>
                  <w:tcW w:w="866" w:type="dxa"/>
                  <w:vMerge w:val="restart"/>
                  <w:shd w:val="clear" w:color="auto" w:fill="BEBEBE"/>
                  <w:vAlign w:val="center"/>
                </w:tcPr>
                <w:p w14:paraId="2EF4C273">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排放规律</w:t>
                  </w:r>
                </w:p>
              </w:tc>
              <w:tc>
                <w:tcPr>
                  <w:tcW w:w="2636" w:type="dxa"/>
                  <w:gridSpan w:val="3"/>
                  <w:shd w:val="clear" w:color="auto" w:fill="BEBEBE"/>
                  <w:vAlign w:val="center"/>
                </w:tcPr>
                <w:p w14:paraId="7ED4898B">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污染治理设施</w:t>
                  </w:r>
                </w:p>
              </w:tc>
              <w:tc>
                <w:tcPr>
                  <w:tcW w:w="625" w:type="dxa"/>
                  <w:vMerge w:val="restart"/>
                  <w:shd w:val="clear" w:color="auto" w:fill="BEBEBE"/>
                  <w:vAlign w:val="center"/>
                </w:tcPr>
                <w:p w14:paraId="3AAD9C8C">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排放口编号</w:t>
                  </w:r>
                </w:p>
              </w:tc>
              <w:tc>
                <w:tcPr>
                  <w:tcW w:w="932" w:type="dxa"/>
                  <w:vMerge w:val="restart"/>
                  <w:shd w:val="clear" w:color="auto" w:fill="BEBEBE"/>
                  <w:vAlign w:val="center"/>
                </w:tcPr>
                <w:p w14:paraId="315B74DC">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排放口设置是否符合要求</w:t>
                  </w:r>
                </w:p>
              </w:tc>
              <w:tc>
                <w:tcPr>
                  <w:tcW w:w="1474" w:type="dxa"/>
                  <w:vMerge w:val="restart"/>
                  <w:shd w:val="clear" w:color="auto" w:fill="BEBEBE"/>
                  <w:vAlign w:val="center"/>
                </w:tcPr>
                <w:p w14:paraId="1C9EF923">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排放口类型</w:t>
                  </w:r>
                </w:p>
              </w:tc>
            </w:tr>
            <w:tr w14:paraId="2222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407" w:type="dxa"/>
                  <w:vMerge w:val="continue"/>
                  <w:vAlign w:val="center"/>
                </w:tcPr>
                <w:p w14:paraId="37F2170F">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bCs/>
                      <w:color w:val="auto"/>
                      <w:sz w:val="21"/>
                      <w:szCs w:val="21"/>
                      <w:highlight w:val="none"/>
                    </w:rPr>
                  </w:pPr>
                </w:p>
              </w:tc>
              <w:tc>
                <w:tcPr>
                  <w:tcW w:w="543" w:type="dxa"/>
                  <w:vMerge w:val="continue"/>
                  <w:vAlign w:val="center"/>
                </w:tcPr>
                <w:p w14:paraId="5D6B7988">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bCs/>
                      <w:color w:val="auto"/>
                      <w:sz w:val="21"/>
                      <w:szCs w:val="21"/>
                      <w:highlight w:val="none"/>
                    </w:rPr>
                  </w:pPr>
                </w:p>
              </w:tc>
              <w:tc>
                <w:tcPr>
                  <w:tcW w:w="1062" w:type="dxa"/>
                  <w:vMerge w:val="continue"/>
                  <w:vAlign w:val="center"/>
                </w:tcPr>
                <w:p w14:paraId="7F224380">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bCs/>
                      <w:color w:val="auto"/>
                      <w:sz w:val="21"/>
                      <w:szCs w:val="21"/>
                      <w:highlight w:val="none"/>
                    </w:rPr>
                  </w:pPr>
                </w:p>
              </w:tc>
              <w:tc>
                <w:tcPr>
                  <w:tcW w:w="1469" w:type="dxa"/>
                  <w:vMerge w:val="continue"/>
                  <w:vAlign w:val="center"/>
                </w:tcPr>
                <w:p w14:paraId="60847152">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bCs/>
                      <w:color w:val="auto"/>
                      <w:sz w:val="21"/>
                      <w:szCs w:val="21"/>
                      <w:highlight w:val="none"/>
                    </w:rPr>
                  </w:pPr>
                </w:p>
              </w:tc>
              <w:tc>
                <w:tcPr>
                  <w:tcW w:w="866" w:type="dxa"/>
                  <w:vMerge w:val="continue"/>
                  <w:vAlign w:val="center"/>
                </w:tcPr>
                <w:p w14:paraId="53FC3F50">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bCs/>
                      <w:color w:val="auto"/>
                      <w:sz w:val="21"/>
                      <w:szCs w:val="21"/>
                      <w:highlight w:val="none"/>
                    </w:rPr>
                  </w:pPr>
                </w:p>
              </w:tc>
              <w:tc>
                <w:tcPr>
                  <w:tcW w:w="945" w:type="dxa"/>
                  <w:shd w:val="clear" w:color="auto" w:fill="BEBEBE"/>
                  <w:vAlign w:val="center"/>
                </w:tcPr>
                <w:p w14:paraId="0F15C8D1">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污染治理设施编号</w:t>
                  </w:r>
                </w:p>
              </w:tc>
              <w:tc>
                <w:tcPr>
                  <w:tcW w:w="945" w:type="dxa"/>
                  <w:shd w:val="clear" w:color="auto" w:fill="BEBEBE"/>
                  <w:vAlign w:val="center"/>
                </w:tcPr>
                <w:p w14:paraId="51C5AADA">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污染治理设施名称</w:t>
                  </w:r>
                </w:p>
              </w:tc>
              <w:tc>
                <w:tcPr>
                  <w:tcW w:w="746" w:type="dxa"/>
                  <w:shd w:val="clear" w:color="auto" w:fill="BEBEBE"/>
                  <w:vAlign w:val="center"/>
                </w:tcPr>
                <w:p w14:paraId="27385E7D">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污染治理设施工艺</w:t>
                  </w:r>
                </w:p>
              </w:tc>
              <w:tc>
                <w:tcPr>
                  <w:tcW w:w="625" w:type="dxa"/>
                  <w:vMerge w:val="continue"/>
                  <w:vAlign w:val="center"/>
                </w:tcPr>
                <w:p w14:paraId="388DAD77">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b/>
                      <w:bCs/>
                      <w:color w:val="auto"/>
                      <w:sz w:val="21"/>
                      <w:szCs w:val="21"/>
                      <w:highlight w:val="none"/>
                    </w:rPr>
                  </w:pPr>
                </w:p>
              </w:tc>
              <w:tc>
                <w:tcPr>
                  <w:tcW w:w="932" w:type="dxa"/>
                  <w:vMerge w:val="continue"/>
                  <w:vAlign w:val="center"/>
                </w:tcPr>
                <w:p w14:paraId="2E446FB8">
                  <w:pPr>
                    <w:keepNext w:val="0"/>
                    <w:keepLines w:val="0"/>
                    <w:suppressLineNumbers w:val="0"/>
                    <w:wordWrap w:val="0"/>
                    <w:overflowPunct w:val="0"/>
                    <w:topLinePunct/>
                    <w:spacing w:before="0" w:beforeAutospacing="0" w:after="0" w:afterAutospacing="0"/>
                    <w:ind w:left="0" w:right="0" w:firstLine="482"/>
                    <w:jc w:val="center"/>
                    <w:rPr>
                      <w:rFonts w:hint="default" w:ascii="Times New Roman" w:hAnsi="Times New Roman" w:eastAsia="宋体"/>
                      <w:b/>
                      <w:bCs/>
                      <w:color w:val="auto"/>
                      <w:sz w:val="21"/>
                      <w:szCs w:val="21"/>
                      <w:highlight w:val="none"/>
                    </w:rPr>
                  </w:pPr>
                </w:p>
              </w:tc>
              <w:tc>
                <w:tcPr>
                  <w:tcW w:w="1474" w:type="dxa"/>
                  <w:vMerge w:val="continue"/>
                  <w:vAlign w:val="center"/>
                </w:tcPr>
                <w:p w14:paraId="127EB63F">
                  <w:pPr>
                    <w:keepNext w:val="0"/>
                    <w:keepLines w:val="0"/>
                    <w:suppressLineNumbers w:val="0"/>
                    <w:wordWrap w:val="0"/>
                    <w:overflowPunct w:val="0"/>
                    <w:topLinePunct/>
                    <w:spacing w:before="0" w:beforeAutospacing="0" w:after="0" w:afterAutospacing="0"/>
                    <w:ind w:left="0" w:right="0" w:firstLine="482"/>
                    <w:jc w:val="center"/>
                    <w:rPr>
                      <w:rFonts w:hint="default" w:ascii="Times New Roman" w:hAnsi="Times New Roman" w:eastAsia="宋体"/>
                      <w:b/>
                      <w:bCs/>
                      <w:color w:val="auto"/>
                      <w:sz w:val="21"/>
                      <w:szCs w:val="21"/>
                      <w:highlight w:val="none"/>
                    </w:rPr>
                  </w:pPr>
                </w:p>
              </w:tc>
            </w:tr>
            <w:tr w14:paraId="3846E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82" w:hRule="atLeast"/>
                <w:jc w:val="center"/>
              </w:trPr>
              <w:tc>
                <w:tcPr>
                  <w:tcW w:w="407" w:type="dxa"/>
                  <w:vAlign w:val="center"/>
                </w:tcPr>
                <w:p w14:paraId="16C6220E">
                  <w:pPr>
                    <w:pStyle w:val="134"/>
                    <w:keepNext w:val="0"/>
                    <w:keepLines w:val="0"/>
                    <w:suppressLineNumbers w:val="0"/>
                    <w:spacing w:before="48" w:beforeAutospacing="0" w:after="48" w:afterAutospacing="0"/>
                    <w:ind w:left="0" w:right="0"/>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1</w:t>
                  </w:r>
                </w:p>
              </w:tc>
              <w:tc>
                <w:tcPr>
                  <w:tcW w:w="543" w:type="dxa"/>
                  <w:vAlign w:val="center"/>
                </w:tcPr>
                <w:p w14:paraId="4A153878">
                  <w:pPr>
                    <w:pStyle w:val="134"/>
                    <w:keepNext w:val="0"/>
                    <w:keepLines w:val="0"/>
                    <w:suppressLineNumbers w:val="0"/>
                    <w:spacing w:before="48" w:beforeAutospacing="0" w:after="48" w:afterAutospacing="0"/>
                    <w:ind w:left="0" w:right="0"/>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生活污水</w:t>
                  </w:r>
                </w:p>
              </w:tc>
              <w:tc>
                <w:tcPr>
                  <w:tcW w:w="1062" w:type="dxa"/>
                  <w:vAlign w:val="center"/>
                </w:tcPr>
                <w:p w14:paraId="2B243514">
                  <w:pPr>
                    <w:keepNext w:val="0"/>
                    <w:keepLines w:val="0"/>
                    <w:widowControl/>
                    <w:suppressLineNumbers w:val="0"/>
                    <w:spacing w:before="0" w:beforeAutospacing="0" w:after="0" w:afterAutospacing="0"/>
                    <w:ind w:left="0" w:right="0"/>
                    <w:contextualSpacing/>
                    <w:jc w:val="center"/>
                    <w:rPr>
                      <w:rFonts w:hint="default" w:ascii="Times New Roman" w:hAnsi="Times New Roman" w:eastAsia="宋体"/>
                      <w:bCs/>
                      <w:color w:val="auto"/>
                      <w:kern w:val="0"/>
                      <w:sz w:val="21"/>
                      <w:szCs w:val="21"/>
                      <w:highlight w:val="none"/>
                    </w:rPr>
                  </w:pPr>
                  <w:r>
                    <w:rPr>
                      <w:rFonts w:hint="default" w:ascii="Times New Roman" w:hAnsi="Times New Roman" w:eastAsia="宋体"/>
                      <w:bCs/>
                      <w:color w:val="auto"/>
                      <w:kern w:val="0"/>
                      <w:sz w:val="21"/>
                      <w:szCs w:val="21"/>
                      <w:highlight w:val="none"/>
                    </w:rPr>
                    <w:t>pH</w:t>
                  </w:r>
                </w:p>
                <w:p w14:paraId="2714FFCF">
                  <w:pPr>
                    <w:keepNext w:val="0"/>
                    <w:keepLines w:val="0"/>
                    <w:widowControl/>
                    <w:suppressLineNumbers w:val="0"/>
                    <w:spacing w:before="0" w:beforeAutospacing="0" w:after="0" w:afterAutospacing="0"/>
                    <w:ind w:left="0" w:right="0"/>
                    <w:contextualSpacing/>
                    <w:jc w:val="center"/>
                    <w:rPr>
                      <w:rFonts w:hint="default" w:ascii="Times New Roman" w:hAnsi="Times New Roman" w:eastAsia="宋体"/>
                      <w:bCs/>
                      <w:color w:val="auto"/>
                      <w:kern w:val="0"/>
                      <w:sz w:val="21"/>
                      <w:szCs w:val="21"/>
                      <w:highlight w:val="none"/>
                    </w:rPr>
                  </w:pPr>
                  <w:r>
                    <w:rPr>
                      <w:rFonts w:hint="default" w:ascii="Times New Roman" w:hAnsi="Times New Roman" w:eastAsia="宋体"/>
                      <w:bCs/>
                      <w:color w:val="auto"/>
                      <w:kern w:val="0"/>
                      <w:sz w:val="21"/>
                      <w:szCs w:val="21"/>
                      <w:highlight w:val="none"/>
                    </w:rPr>
                    <w:t>COD</w:t>
                  </w:r>
                  <w:r>
                    <w:rPr>
                      <w:rFonts w:hint="default" w:ascii="Times New Roman" w:hAnsi="Times New Roman" w:eastAsia="宋体"/>
                      <w:bCs/>
                      <w:color w:val="auto"/>
                      <w:kern w:val="0"/>
                      <w:sz w:val="21"/>
                      <w:szCs w:val="21"/>
                      <w:highlight w:val="none"/>
                      <w:vertAlign w:val="subscript"/>
                    </w:rPr>
                    <w:t>Cr</w:t>
                  </w:r>
                </w:p>
                <w:p w14:paraId="6BA65CDF">
                  <w:pPr>
                    <w:keepNext w:val="0"/>
                    <w:keepLines w:val="0"/>
                    <w:widowControl/>
                    <w:suppressLineNumbers w:val="0"/>
                    <w:spacing w:before="0" w:beforeAutospacing="0" w:after="0" w:afterAutospacing="0"/>
                    <w:ind w:left="0" w:right="0"/>
                    <w:contextualSpacing/>
                    <w:jc w:val="center"/>
                    <w:rPr>
                      <w:rFonts w:hint="default" w:ascii="Times New Roman" w:hAnsi="Times New Roman" w:eastAsia="宋体"/>
                      <w:bCs/>
                      <w:color w:val="auto"/>
                      <w:kern w:val="0"/>
                      <w:sz w:val="21"/>
                      <w:szCs w:val="21"/>
                      <w:highlight w:val="none"/>
                    </w:rPr>
                  </w:pPr>
                  <w:r>
                    <w:rPr>
                      <w:rFonts w:hint="default" w:ascii="Times New Roman" w:hAnsi="Times New Roman" w:eastAsia="宋体"/>
                      <w:bCs/>
                      <w:color w:val="auto"/>
                      <w:kern w:val="0"/>
                      <w:sz w:val="21"/>
                      <w:szCs w:val="21"/>
                      <w:highlight w:val="none"/>
                    </w:rPr>
                    <w:t>BOD</w:t>
                  </w:r>
                  <w:r>
                    <w:rPr>
                      <w:rFonts w:hint="default" w:ascii="Times New Roman" w:hAnsi="Times New Roman" w:eastAsia="宋体"/>
                      <w:bCs/>
                      <w:color w:val="auto"/>
                      <w:kern w:val="0"/>
                      <w:sz w:val="21"/>
                      <w:szCs w:val="21"/>
                      <w:highlight w:val="none"/>
                      <w:vertAlign w:val="subscript"/>
                    </w:rPr>
                    <w:t>5</w:t>
                  </w:r>
                </w:p>
                <w:p w14:paraId="6845CB73">
                  <w:pPr>
                    <w:keepNext w:val="0"/>
                    <w:keepLines w:val="0"/>
                    <w:widowControl/>
                    <w:suppressLineNumbers w:val="0"/>
                    <w:spacing w:before="0" w:beforeAutospacing="0" w:after="0" w:afterAutospacing="0"/>
                    <w:ind w:left="0" w:right="0"/>
                    <w:contextualSpacing/>
                    <w:jc w:val="center"/>
                    <w:rPr>
                      <w:rFonts w:hint="default" w:ascii="Times New Roman" w:hAnsi="Times New Roman" w:eastAsia="宋体"/>
                      <w:bCs/>
                      <w:color w:val="auto"/>
                      <w:kern w:val="0"/>
                      <w:sz w:val="21"/>
                      <w:szCs w:val="21"/>
                      <w:highlight w:val="none"/>
                    </w:rPr>
                  </w:pPr>
                  <w:r>
                    <w:rPr>
                      <w:rFonts w:hint="default" w:ascii="Times New Roman" w:hAnsi="Times New Roman" w:eastAsia="宋体"/>
                      <w:bCs/>
                      <w:color w:val="auto"/>
                      <w:kern w:val="0"/>
                      <w:sz w:val="21"/>
                      <w:szCs w:val="21"/>
                      <w:highlight w:val="none"/>
                    </w:rPr>
                    <w:t>SS</w:t>
                  </w:r>
                </w:p>
                <w:p w14:paraId="589ADF1B">
                  <w:pPr>
                    <w:keepNext w:val="0"/>
                    <w:keepLines w:val="0"/>
                    <w:widowControl/>
                    <w:suppressLineNumbers w:val="0"/>
                    <w:spacing w:before="0" w:beforeAutospacing="0" w:after="0" w:afterAutospacing="0"/>
                    <w:ind w:left="0" w:right="0"/>
                    <w:contextualSpacing/>
                    <w:jc w:val="center"/>
                    <w:rPr>
                      <w:rFonts w:hint="default"/>
                    </w:rPr>
                  </w:pPr>
                  <w:r>
                    <w:rPr>
                      <w:rFonts w:hint="default" w:ascii="Times New Roman" w:hAnsi="Times New Roman" w:eastAsia="宋体"/>
                      <w:bCs/>
                      <w:color w:val="auto"/>
                      <w:kern w:val="0"/>
                      <w:sz w:val="21"/>
                      <w:szCs w:val="21"/>
                      <w:highlight w:val="none"/>
                    </w:rPr>
                    <w:t>NH</w:t>
                  </w:r>
                  <w:r>
                    <w:rPr>
                      <w:rFonts w:hint="default" w:ascii="Times New Roman" w:hAnsi="Times New Roman" w:eastAsia="宋体"/>
                      <w:bCs/>
                      <w:color w:val="auto"/>
                      <w:kern w:val="0"/>
                      <w:sz w:val="21"/>
                      <w:szCs w:val="21"/>
                      <w:highlight w:val="none"/>
                      <w:vertAlign w:val="subscript"/>
                    </w:rPr>
                    <w:t>3</w:t>
                  </w:r>
                  <w:r>
                    <w:rPr>
                      <w:rFonts w:hint="eastAsia"/>
                      <w:bCs/>
                      <w:color w:val="auto"/>
                      <w:kern w:val="0"/>
                      <w:sz w:val="21"/>
                      <w:szCs w:val="21"/>
                      <w:highlight w:val="none"/>
                      <w:lang w:eastAsia="zh-CN"/>
                    </w:rPr>
                    <w:t xml:space="preserve"> </w:t>
                  </w:r>
                  <w:r>
                    <w:rPr>
                      <w:rFonts w:hint="default" w:ascii="Times New Roman" w:hAnsi="Times New Roman" w:eastAsia="宋体"/>
                      <w:bCs/>
                      <w:color w:val="auto"/>
                      <w:kern w:val="0"/>
                      <w:sz w:val="21"/>
                      <w:szCs w:val="21"/>
                      <w:highlight w:val="none"/>
                    </w:rPr>
                    <w:t>N</w:t>
                  </w:r>
                </w:p>
                <w:p w14:paraId="7C2B98D4">
                  <w:pPr>
                    <w:keepNext w:val="0"/>
                    <w:keepLines w:val="0"/>
                    <w:widowControl/>
                    <w:suppressLineNumbers w:val="0"/>
                    <w:spacing w:before="0" w:beforeAutospacing="0" w:after="0" w:afterAutospacing="0"/>
                    <w:ind w:left="0" w:right="0"/>
                    <w:contextualSpacing/>
                    <w:jc w:val="center"/>
                    <w:rPr>
                      <w:rFonts w:hint="eastAsia" w:eastAsia="宋体"/>
                      <w:lang w:val="en-US" w:eastAsia="zh-CN"/>
                    </w:rPr>
                  </w:pPr>
                  <w:r>
                    <w:rPr>
                      <w:rFonts w:hint="eastAsia"/>
                      <w:lang w:val="en-US" w:eastAsia="zh-CN"/>
                    </w:rPr>
                    <w:t>总磷</w:t>
                  </w:r>
                </w:p>
              </w:tc>
              <w:tc>
                <w:tcPr>
                  <w:tcW w:w="1469" w:type="dxa"/>
                  <w:vAlign w:val="center"/>
                </w:tcPr>
                <w:p w14:paraId="486DF0F7">
                  <w:pPr>
                    <w:pStyle w:val="134"/>
                    <w:keepNext w:val="0"/>
                    <w:keepLines w:val="0"/>
                    <w:suppressLineNumbers w:val="0"/>
                    <w:spacing w:before="48" w:beforeAutospacing="0" w:after="48" w:afterAutospacing="0"/>
                    <w:ind w:left="0" w:right="0"/>
                    <w:rPr>
                      <w:rFonts w:hint="default"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中山市污水处理有限公司</w:t>
                  </w:r>
                </w:p>
              </w:tc>
              <w:tc>
                <w:tcPr>
                  <w:tcW w:w="866" w:type="dxa"/>
                  <w:vAlign w:val="center"/>
                </w:tcPr>
                <w:p w14:paraId="3CC20B9F">
                  <w:pPr>
                    <w:pStyle w:val="134"/>
                    <w:keepNext w:val="0"/>
                    <w:keepLines w:val="0"/>
                    <w:suppressLineNumbers w:val="0"/>
                    <w:spacing w:before="48" w:beforeAutospacing="0" w:after="48" w:afterAutospacing="0"/>
                    <w:ind w:left="0" w:right="0"/>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间接排放，排放期间流量稳定</w:t>
                  </w:r>
                </w:p>
              </w:tc>
              <w:tc>
                <w:tcPr>
                  <w:tcW w:w="945" w:type="dxa"/>
                  <w:vAlign w:val="center"/>
                </w:tcPr>
                <w:p w14:paraId="7B44AF12">
                  <w:pPr>
                    <w:pStyle w:val="134"/>
                    <w:keepNext w:val="0"/>
                    <w:keepLines w:val="0"/>
                    <w:suppressLineNumbers w:val="0"/>
                    <w:spacing w:before="48" w:beforeAutospacing="0" w:after="48" w:afterAutospacing="0"/>
                    <w:ind w:left="0" w:right="0"/>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01</w:t>
                  </w:r>
                </w:p>
              </w:tc>
              <w:tc>
                <w:tcPr>
                  <w:tcW w:w="945" w:type="dxa"/>
                  <w:vAlign w:val="center"/>
                </w:tcPr>
                <w:p w14:paraId="14FD3D5A">
                  <w:pPr>
                    <w:pStyle w:val="134"/>
                    <w:keepNext w:val="0"/>
                    <w:keepLines w:val="0"/>
                    <w:suppressLineNumbers w:val="0"/>
                    <w:spacing w:before="48" w:beforeAutospacing="0" w:after="48" w:afterAutospacing="0"/>
                    <w:ind w:left="0" w:right="0"/>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三级化粪池</w:t>
                  </w:r>
                </w:p>
              </w:tc>
              <w:tc>
                <w:tcPr>
                  <w:tcW w:w="746" w:type="dxa"/>
                  <w:vAlign w:val="center"/>
                </w:tcPr>
                <w:p w14:paraId="52276A41">
                  <w:pPr>
                    <w:pStyle w:val="134"/>
                    <w:keepNext w:val="0"/>
                    <w:keepLines w:val="0"/>
                    <w:suppressLineNumbers w:val="0"/>
                    <w:spacing w:before="48" w:beforeAutospacing="0" w:after="48" w:afterAutospacing="0"/>
                    <w:ind w:left="0" w:right="0"/>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三级化粪池</w:t>
                  </w:r>
                </w:p>
              </w:tc>
              <w:tc>
                <w:tcPr>
                  <w:tcW w:w="625" w:type="dxa"/>
                  <w:vAlign w:val="center"/>
                </w:tcPr>
                <w:p w14:paraId="4D24212B">
                  <w:pPr>
                    <w:pStyle w:val="134"/>
                    <w:keepNext w:val="0"/>
                    <w:keepLines w:val="0"/>
                    <w:suppressLineNumbers w:val="0"/>
                    <w:spacing w:before="48" w:beforeAutospacing="0" w:after="48" w:afterAutospacing="0"/>
                    <w:ind w:left="0" w:right="0"/>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WS</w:t>
                  </w:r>
                  <w:r>
                    <w:rPr>
                      <w:rFonts w:hint="eastAsia"/>
                      <w:color w:val="auto"/>
                      <w:sz w:val="21"/>
                      <w:szCs w:val="21"/>
                      <w:highlight w:val="none"/>
                      <w:lang w:eastAsia="zh-CN"/>
                    </w:rPr>
                    <w:t xml:space="preserve"> </w:t>
                  </w:r>
                  <w:r>
                    <w:rPr>
                      <w:rFonts w:hint="default" w:ascii="Times New Roman" w:hAnsi="Times New Roman" w:eastAsia="宋体"/>
                      <w:color w:val="auto"/>
                      <w:sz w:val="21"/>
                      <w:szCs w:val="21"/>
                      <w:highlight w:val="none"/>
                    </w:rPr>
                    <w:t>001</w:t>
                  </w:r>
                </w:p>
              </w:tc>
              <w:tc>
                <w:tcPr>
                  <w:tcW w:w="932" w:type="dxa"/>
                  <w:vAlign w:val="center"/>
                </w:tcPr>
                <w:p w14:paraId="7E195B7D">
                  <w:pPr>
                    <w:pStyle w:val="64"/>
                    <w:keepNext w:val="0"/>
                    <w:keepLines w:val="0"/>
                    <w:suppressLineNumbers w:val="0"/>
                    <w:spacing w:before="0" w:beforeAutospacing="0" w:after="0" w:afterAutospacing="0" w:line="240" w:lineRule="auto"/>
                    <w:ind w:left="0" w:right="0" w:firstLine="420"/>
                    <w:jc w:val="center"/>
                    <w:rPr>
                      <w:rFonts w:hint="default" w:ascii="Times New Roman" w:hAnsi="Times New Roman" w:eastAsia="宋体"/>
                      <w:bCs/>
                      <w:color w:val="auto"/>
                      <w:sz w:val="21"/>
                      <w:szCs w:val="21"/>
                      <w:highlight w:val="none"/>
                    </w:rPr>
                  </w:pPr>
                </w:p>
                <w:p w14:paraId="2DD7C7B1">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kern w:val="0"/>
                      <w:sz w:val="21"/>
                      <w:szCs w:val="21"/>
                      <w:highlight w:val="none"/>
                    </w:rPr>
                  </w:pPr>
                  <w:r>
                    <w:rPr>
                      <w:rFonts w:hint="default" w:ascii="Times New Roman" w:hAnsi="Times New Roman" w:eastAsia="宋体"/>
                      <w:color w:val="auto"/>
                      <w:kern w:val="0"/>
                      <w:sz w:val="21"/>
                      <w:szCs w:val="21"/>
                      <w:highlight w:val="none"/>
                    </w:rPr>
                    <w:sym w:font="Wingdings 2" w:char="00A3"/>
                  </w:r>
                  <w:r>
                    <w:rPr>
                      <w:rFonts w:hint="default" w:ascii="Times New Roman" w:hAnsi="Times New Roman" w:eastAsia="宋体"/>
                      <w:color w:val="auto"/>
                      <w:kern w:val="0"/>
                      <w:sz w:val="21"/>
                      <w:szCs w:val="21"/>
                      <w:highlight w:val="none"/>
                    </w:rPr>
                    <w:t>是</w:t>
                  </w:r>
                </w:p>
                <w:p w14:paraId="4A149FC0">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bCs/>
                      <w:color w:val="auto"/>
                      <w:sz w:val="21"/>
                      <w:szCs w:val="21"/>
                      <w:highlight w:val="none"/>
                    </w:rPr>
                  </w:pPr>
                  <w:r>
                    <w:rPr>
                      <w:rFonts w:hint="default" w:ascii="Times New Roman" w:hAnsi="Times New Roman" w:eastAsia="宋体"/>
                      <w:color w:val="auto"/>
                      <w:kern w:val="0"/>
                      <w:sz w:val="21"/>
                      <w:szCs w:val="21"/>
                      <w:highlight w:val="none"/>
                    </w:rPr>
                    <w:t>□否</w:t>
                  </w:r>
                </w:p>
              </w:tc>
              <w:tc>
                <w:tcPr>
                  <w:tcW w:w="1474" w:type="dxa"/>
                  <w:vAlign w:val="center"/>
                </w:tcPr>
                <w:p w14:paraId="14416969">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szCs w:val="21"/>
                      <w:highlight w:val="none"/>
                    </w:rPr>
                  </w:pPr>
                  <w:r>
                    <w:rPr>
                      <w:rFonts w:hint="default" w:ascii="Times New Roman" w:hAnsi="Times New Roman" w:eastAsia="宋体" w:cs="Segoe UI Symbol"/>
                      <w:bCs/>
                      <w:color w:val="auto"/>
                      <w:sz w:val="21"/>
                      <w:szCs w:val="21"/>
                      <w:highlight w:val="none"/>
                    </w:rPr>
                    <w:t>☑</w:t>
                  </w:r>
                  <w:r>
                    <w:rPr>
                      <w:rFonts w:hint="default" w:ascii="Times New Roman" w:hAnsi="Times New Roman" w:eastAsia="宋体"/>
                      <w:color w:val="auto"/>
                      <w:kern w:val="0"/>
                      <w:sz w:val="21"/>
                      <w:szCs w:val="21"/>
                      <w:highlight w:val="none"/>
                    </w:rPr>
                    <w:t>企业总排</w:t>
                  </w:r>
                </w:p>
                <w:p w14:paraId="2C75A0C3">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szCs w:val="21"/>
                      <w:highlight w:val="none"/>
                    </w:rPr>
                  </w:pPr>
                  <w:r>
                    <w:rPr>
                      <w:rFonts w:hint="default" w:ascii="Times New Roman" w:hAnsi="Times New Roman" w:eastAsia="宋体"/>
                      <w:color w:val="auto"/>
                      <w:kern w:val="0"/>
                      <w:sz w:val="21"/>
                      <w:szCs w:val="21"/>
                      <w:highlight w:val="none"/>
                    </w:rPr>
                    <w:t>□雨水排放</w:t>
                  </w:r>
                </w:p>
                <w:p w14:paraId="37A5147C">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szCs w:val="21"/>
                      <w:highlight w:val="none"/>
                    </w:rPr>
                  </w:pPr>
                  <w:r>
                    <w:rPr>
                      <w:rFonts w:hint="default" w:ascii="Times New Roman" w:hAnsi="Times New Roman" w:eastAsia="宋体"/>
                      <w:color w:val="auto"/>
                      <w:kern w:val="0"/>
                      <w:sz w:val="21"/>
                      <w:szCs w:val="21"/>
                      <w:highlight w:val="none"/>
                    </w:rPr>
                    <w:t>□清净下水排放</w:t>
                  </w:r>
                </w:p>
                <w:p w14:paraId="530FA300">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color w:val="auto"/>
                      <w:kern w:val="0"/>
                      <w:sz w:val="21"/>
                      <w:szCs w:val="21"/>
                      <w:highlight w:val="none"/>
                    </w:rPr>
                  </w:pPr>
                  <w:r>
                    <w:rPr>
                      <w:rFonts w:hint="default" w:ascii="Times New Roman" w:hAnsi="Times New Roman" w:eastAsia="宋体"/>
                      <w:color w:val="auto"/>
                      <w:kern w:val="0"/>
                      <w:sz w:val="21"/>
                      <w:szCs w:val="21"/>
                      <w:highlight w:val="none"/>
                    </w:rPr>
                    <w:t>□温排水排放</w:t>
                  </w:r>
                </w:p>
                <w:p w14:paraId="19ED1B8E">
                  <w:pPr>
                    <w:keepNext w:val="0"/>
                    <w:keepLines w:val="0"/>
                    <w:suppressLineNumbers w:val="0"/>
                    <w:wordWrap w:val="0"/>
                    <w:overflowPunct w:val="0"/>
                    <w:topLinePunct/>
                    <w:spacing w:before="0" w:beforeAutospacing="0" w:after="0" w:afterAutospacing="0"/>
                    <w:ind w:left="0" w:right="0"/>
                    <w:rPr>
                      <w:rFonts w:hint="default" w:ascii="Times New Roman" w:hAnsi="Times New Roman" w:eastAsia="宋体"/>
                      <w:bCs/>
                      <w:color w:val="auto"/>
                      <w:sz w:val="21"/>
                      <w:szCs w:val="21"/>
                      <w:highlight w:val="none"/>
                    </w:rPr>
                  </w:pPr>
                  <w:r>
                    <w:rPr>
                      <w:rFonts w:hint="default" w:ascii="Times New Roman" w:hAnsi="Times New Roman" w:eastAsia="宋体"/>
                      <w:color w:val="auto"/>
                      <w:kern w:val="0"/>
                      <w:sz w:val="21"/>
                      <w:szCs w:val="21"/>
                      <w:highlight w:val="none"/>
                    </w:rPr>
                    <w:t>□车间或车间处理设施排放口</w:t>
                  </w:r>
                </w:p>
              </w:tc>
            </w:tr>
            <w:tr w14:paraId="2EEB1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jc w:val="center"/>
              </w:trPr>
              <w:tc>
                <w:tcPr>
                  <w:tcW w:w="407" w:type="dxa"/>
                  <w:vAlign w:val="center"/>
                </w:tcPr>
                <w:p w14:paraId="1323A70D">
                  <w:pPr>
                    <w:pStyle w:val="134"/>
                    <w:keepNext w:val="0"/>
                    <w:keepLines w:val="0"/>
                    <w:suppressLineNumbers w:val="0"/>
                    <w:spacing w:before="48" w:beforeAutospacing="0" w:after="48" w:afterAutospacing="0"/>
                    <w:ind w:left="0" w:right="0"/>
                    <w:rPr>
                      <w:rFonts w:hint="default"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w:t>
                  </w:r>
                </w:p>
              </w:tc>
              <w:tc>
                <w:tcPr>
                  <w:tcW w:w="543" w:type="dxa"/>
                  <w:vAlign w:val="center"/>
                </w:tcPr>
                <w:p w14:paraId="59CC54CB">
                  <w:pPr>
                    <w:pStyle w:val="134"/>
                    <w:keepNext w:val="0"/>
                    <w:keepLines w:val="0"/>
                    <w:suppressLineNumbers w:val="0"/>
                    <w:spacing w:before="48" w:beforeAutospacing="0" w:after="48" w:afterAutospacing="0"/>
                    <w:ind w:left="0" w:right="0"/>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生产废水</w:t>
                  </w:r>
                </w:p>
              </w:tc>
              <w:tc>
                <w:tcPr>
                  <w:tcW w:w="1062" w:type="dxa"/>
                  <w:vAlign w:val="center"/>
                </w:tcPr>
                <w:p w14:paraId="0EDDDCFF">
                  <w:pPr>
                    <w:keepNext w:val="0"/>
                    <w:keepLines w:val="0"/>
                    <w:widowControl/>
                    <w:suppressLineNumbers w:val="0"/>
                    <w:spacing w:before="0" w:beforeAutospacing="0" w:after="0" w:afterAutospacing="0"/>
                    <w:ind w:left="0" w:right="0"/>
                    <w:contextualSpacing/>
                    <w:jc w:val="center"/>
                    <w:rPr>
                      <w:rFonts w:hint="default" w:ascii="Times New Roman" w:hAnsi="Times New Roman" w:eastAsia="宋体"/>
                      <w:bCs/>
                      <w:color w:val="auto"/>
                      <w:kern w:val="0"/>
                      <w:sz w:val="21"/>
                      <w:szCs w:val="21"/>
                      <w:highlight w:val="none"/>
                    </w:rPr>
                  </w:pPr>
                  <w:r>
                    <w:rPr>
                      <w:rFonts w:hint="default" w:ascii="Times New Roman" w:hAnsi="Times New Roman" w:eastAsia="宋体"/>
                      <w:bCs/>
                      <w:color w:val="auto"/>
                      <w:kern w:val="0"/>
                      <w:sz w:val="21"/>
                      <w:szCs w:val="21"/>
                      <w:highlight w:val="none"/>
                    </w:rPr>
                    <w:t>pH</w:t>
                  </w:r>
                </w:p>
                <w:p w14:paraId="7073CFAA">
                  <w:pPr>
                    <w:keepNext w:val="0"/>
                    <w:keepLines w:val="0"/>
                    <w:widowControl/>
                    <w:suppressLineNumbers w:val="0"/>
                    <w:spacing w:before="0" w:beforeAutospacing="0" w:after="0" w:afterAutospacing="0"/>
                    <w:ind w:left="0" w:right="0"/>
                    <w:contextualSpacing/>
                    <w:jc w:val="center"/>
                    <w:rPr>
                      <w:rFonts w:hint="default" w:ascii="Times New Roman" w:hAnsi="Times New Roman" w:eastAsia="宋体"/>
                      <w:bCs/>
                      <w:color w:val="auto"/>
                      <w:kern w:val="0"/>
                      <w:sz w:val="21"/>
                      <w:szCs w:val="21"/>
                      <w:highlight w:val="none"/>
                      <w:vertAlign w:val="subscript"/>
                    </w:rPr>
                  </w:pPr>
                  <w:r>
                    <w:rPr>
                      <w:rFonts w:hint="default" w:ascii="Times New Roman" w:hAnsi="Times New Roman" w:eastAsia="宋体"/>
                      <w:bCs/>
                      <w:color w:val="auto"/>
                      <w:kern w:val="0"/>
                      <w:sz w:val="21"/>
                      <w:szCs w:val="21"/>
                      <w:highlight w:val="none"/>
                    </w:rPr>
                    <w:t>COD</w:t>
                  </w:r>
                  <w:r>
                    <w:rPr>
                      <w:rFonts w:hint="default" w:ascii="Times New Roman" w:hAnsi="Times New Roman" w:eastAsia="宋体"/>
                      <w:bCs/>
                      <w:color w:val="auto"/>
                      <w:kern w:val="0"/>
                      <w:sz w:val="21"/>
                      <w:szCs w:val="21"/>
                      <w:highlight w:val="none"/>
                      <w:vertAlign w:val="subscript"/>
                    </w:rPr>
                    <w:t>Cr</w:t>
                  </w:r>
                </w:p>
                <w:p w14:paraId="25F2B355">
                  <w:pPr>
                    <w:keepNext w:val="0"/>
                    <w:keepLines w:val="0"/>
                    <w:widowControl/>
                    <w:suppressLineNumbers w:val="0"/>
                    <w:spacing w:before="0" w:beforeAutospacing="0" w:after="0" w:afterAutospacing="0"/>
                    <w:ind w:left="0" w:right="0"/>
                    <w:contextualSpacing/>
                    <w:jc w:val="center"/>
                    <w:rPr>
                      <w:rFonts w:hint="default" w:ascii="Times New Roman" w:hAnsi="Times New Roman" w:eastAsia="宋体"/>
                      <w:bCs/>
                      <w:color w:val="auto"/>
                      <w:kern w:val="0"/>
                      <w:sz w:val="21"/>
                      <w:szCs w:val="21"/>
                      <w:highlight w:val="none"/>
                      <w:vertAlign w:val="subscript"/>
                    </w:rPr>
                  </w:pPr>
                  <w:r>
                    <w:rPr>
                      <w:rFonts w:hint="default" w:ascii="Times New Roman" w:hAnsi="Times New Roman" w:eastAsia="宋体"/>
                      <w:bCs/>
                      <w:color w:val="auto"/>
                      <w:kern w:val="0"/>
                      <w:sz w:val="21"/>
                      <w:szCs w:val="21"/>
                      <w:highlight w:val="none"/>
                    </w:rPr>
                    <w:t>BOD</w:t>
                  </w:r>
                  <w:r>
                    <w:rPr>
                      <w:rFonts w:hint="default" w:ascii="Times New Roman" w:hAnsi="Times New Roman" w:eastAsia="宋体"/>
                      <w:bCs/>
                      <w:color w:val="auto"/>
                      <w:kern w:val="0"/>
                      <w:sz w:val="21"/>
                      <w:szCs w:val="21"/>
                      <w:highlight w:val="none"/>
                      <w:vertAlign w:val="subscript"/>
                    </w:rPr>
                    <w:t>5</w:t>
                  </w:r>
                </w:p>
                <w:p w14:paraId="6AD6800B">
                  <w:pPr>
                    <w:keepNext w:val="0"/>
                    <w:keepLines w:val="0"/>
                    <w:widowControl/>
                    <w:suppressLineNumbers w:val="0"/>
                    <w:spacing w:before="0" w:beforeAutospacing="0" w:after="0" w:afterAutospacing="0"/>
                    <w:ind w:left="0" w:right="0"/>
                    <w:contextualSpacing/>
                    <w:jc w:val="center"/>
                    <w:rPr>
                      <w:rFonts w:hint="default" w:ascii="Times New Roman" w:hAnsi="Times New Roman" w:eastAsia="宋体"/>
                      <w:bCs/>
                      <w:color w:val="auto"/>
                      <w:kern w:val="0"/>
                      <w:sz w:val="21"/>
                      <w:szCs w:val="21"/>
                      <w:highlight w:val="none"/>
                    </w:rPr>
                  </w:pPr>
                  <w:r>
                    <w:rPr>
                      <w:rFonts w:hint="default" w:ascii="Times New Roman" w:hAnsi="Times New Roman" w:eastAsia="宋体"/>
                      <w:bCs/>
                      <w:color w:val="auto"/>
                      <w:kern w:val="0"/>
                      <w:sz w:val="21"/>
                      <w:szCs w:val="21"/>
                      <w:highlight w:val="none"/>
                    </w:rPr>
                    <w:t>SS</w:t>
                  </w:r>
                </w:p>
                <w:p w14:paraId="41FB20BB">
                  <w:pPr>
                    <w:keepNext w:val="0"/>
                    <w:keepLines w:val="0"/>
                    <w:widowControl/>
                    <w:suppressLineNumbers w:val="0"/>
                    <w:spacing w:before="0" w:beforeAutospacing="0" w:after="0" w:afterAutospacing="0"/>
                    <w:ind w:left="0" w:right="0"/>
                    <w:contextualSpacing/>
                    <w:jc w:val="center"/>
                    <w:rPr>
                      <w:rFonts w:hint="default" w:ascii="Times New Roman" w:hAnsi="Times New Roman" w:eastAsia="宋体"/>
                      <w:bCs/>
                      <w:color w:val="auto"/>
                      <w:kern w:val="0"/>
                      <w:sz w:val="21"/>
                      <w:szCs w:val="21"/>
                      <w:highlight w:val="none"/>
                    </w:rPr>
                  </w:pPr>
                  <w:r>
                    <w:rPr>
                      <w:rFonts w:hint="default" w:ascii="Times New Roman" w:hAnsi="Times New Roman" w:eastAsia="宋体"/>
                      <w:bCs/>
                      <w:color w:val="auto"/>
                      <w:kern w:val="0"/>
                      <w:sz w:val="21"/>
                      <w:szCs w:val="21"/>
                      <w:highlight w:val="none"/>
                    </w:rPr>
                    <w:t>NH</w:t>
                  </w:r>
                  <w:r>
                    <w:rPr>
                      <w:rFonts w:hint="default" w:ascii="Times New Roman" w:hAnsi="Times New Roman" w:eastAsia="宋体"/>
                      <w:bCs/>
                      <w:color w:val="auto"/>
                      <w:kern w:val="0"/>
                      <w:sz w:val="21"/>
                      <w:szCs w:val="21"/>
                      <w:highlight w:val="none"/>
                      <w:vertAlign w:val="subscript"/>
                    </w:rPr>
                    <w:t>3</w:t>
                  </w:r>
                  <w:r>
                    <w:rPr>
                      <w:rFonts w:hint="eastAsia"/>
                      <w:bCs/>
                      <w:color w:val="auto"/>
                      <w:kern w:val="0"/>
                      <w:sz w:val="21"/>
                      <w:szCs w:val="21"/>
                      <w:highlight w:val="none"/>
                      <w:lang w:eastAsia="zh-CN"/>
                    </w:rPr>
                    <w:t xml:space="preserve"> </w:t>
                  </w:r>
                  <w:r>
                    <w:rPr>
                      <w:rFonts w:hint="default" w:ascii="Times New Roman" w:hAnsi="Times New Roman" w:eastAsia="宋体"/>
                      <w:bCs/>
                      <w:color w:val="auto"/>
                      <w:kern w:val="0"/>
                      <w:sz w:val="21"/>
                      <w:szCs w:val="21"/>
                      <w:highlight w:val="none"/>
                    </w:rPr>
                    <w:t>N</w:t>
                  </w:r>
                </w:p>
                <w:p w14:paraId="5A236DCA">
                  <w:pPr>
                    <w:keepNext w:val="0"/>
                    <w:keepLines w:val="0"/>
                    <w:widowControl/>
                    <w:suppressLineNumbers w:val="0"/>
                    <w:spacing w:before="0" w:beforeAutospacing="0" w:after="0" w:afterAutospacing="0"/>
                    <w:ind w:left="0" w:right="0"/>
                    <w:contextualSpacing/>
                    <w:jc w:val="center"/>
                    <w:rPr>
                      <w:rFonts w:hint="default" w:ascii="Times New Roman" w:hAnsi="Times New Roman" w:eastAsia="宋体"/>
                      <w:bCs/>
                      <w:color w:val="auto"/>
                      <w:kern w:val="0"/>
                      <w:sz w:val="21"/>
                      <w:szCs w:val="21"/>
                      <w:highlight w:val="none"/>
                    </w:rPr>
                  </w:pPr>
                  <w:r>
                    <w:rPr>
                      <w:rFonts w:hint="eastAsia" w:ascii="Times New Roman" w:hAnsi="Times New Roman" w:eastAsia="宋体"/>
                      <w:bCs/>
                      <w:color w:val="auto"/>
                      <w:kern w:val="0"/>
                      <w:sz w:val="21"/>
                      <w:szCs w:val="21"/>
                      <w:highlight w:val="none"/>
                    </w:rPr>
                    <w:t>色度</w:t>
                  </w:r>
                </w:p>
                <w:p w14:paraId="1C37BFA4">
                  <w:pPr>
                    <w:keepNext w:val="0"/>
                    <w:keepLines w:val="0"/>
                    <w:widowControl/>
                    <w:suppressLineNumbers w:val="0"/>
                    <w:spacing w:before="0" w:beforeAutospacing="0" w:after="0" w:afterAutospacing="0"/>
                    <w:ind w:left="0" w:right="0"/>
                    <w:contextualSpacing/>
                    <w:jc w:val="center"/>
                    <w:rPr>
                      <w:rFonts w:hint="default" w:ascii="Times New Roman" w:hAnsi="Times New Roman" w:eastAsia="宋体"/>
                      <w:bCs/>
                      <w:color w:val="auto"/>
                      <w:kern w:val="0"/>
                      <w:sz w:val="21"/>
                      <w:szCs w:val="21"/>
                      <w:highlight w:val="none"/>
                    </w:rPr>
                  </w:pPr>
                  <w:r>
                    <w:rPr>
                      <w:rFonts w:hint="eastAsia" w:ascii="Times New Roman" w:hAnsi="Times New Roman" w:eastAsia="宋体"/>
                      <w:bCs/>
                      <w:color w:val="auto"/>
                      <w:kern w:val="0"/>
                      <w:sz w:val="21"/>
                      <w:szCs w:val="21"/>
                      <w:highlight w:val="none"/>
                    </w:rPr>
                    <w:t>总磷</w:t>
                  </w:r>
                </w:p>
              </w:tc>
              <w:tc>
                <w:tcPr>
                  <w:tcW w:w="1469" w:type="dxa"/>
                  <w:vAlign w:val="center"/>
                </w:tcPr>
                <w:p w14:paraId="21BFC794">
                  <w:pPr>
                    <w:keepNext w:val="0"/>
                    <w:keepLines w:val="0"/>
                    <w:widowControl/>
                    <w:suppressLineNumbers w:val="0"/>
                    <w:spacing w:before="0" w:beforeAutospacing="0" w:after="0" w:afterAutospacing="0"/>
                    <w:ind w:left="0" w:right="0"/>
                    <w:contextualSpacing/>
                    <w:jc w:val="center"/>
                    <w:rPr>
                      <w:rFonts w:hint="default" w:ascii="Times New Roman" w:hAnsi="Times New Roman" w:eastAsia="宋体"/>
                      <w:bCs/>
                      <w:color w:val="auto"/>
                      <w:kern w:val="0"/>
                      <w:sz w:val="21"/>
                      <w:szCs w:val="21"/>
                      <w:highlight w:val="none"/>
                    </w:rPr>
                  </w:pPr>
                  <w:r>
                    <w:rPr>
                      <w:rFonts w:hint="default" w:ascii="Times New Roman" w:hAnsi="Times New Roman" w:eastAsia="宋体"/>
                      <w:bCs/>
                      <w:color w:val="auto"/>
                      <w:kern w:val="0"/>
                      <w:sz w:val="21"/>
                      <w:szCs w:val="21"/>
                      <w:highlight w:val="none"/>
                    </w:rPr>
                    <w:t>委托具有生产废水处理能力的废水处理机构处理</w:t>
                  </w:r>
                </w:p>
              </w:tc>
              <w:tc>
                <w:tcPr>
                  <w:tcW w:w="866" w:type="dxa"/>
                  <w:vAlign w:val="center"/>
                </w:tcPr>
                <w:p w14:paraId="555839CD">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间断排放，排放期间流量稳定</w:t>
                  </w:r>
                </w:p>
              </w:tc>
              <w:tc>
                <w:tcPr>
                  <w:tcW w:w="945" w:type="dxa"/>
                  <w:vAlign w:val="center"/>
                </w:tcPr>
                <w:p w14:paraId="34AE60CA">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w:t>
                  </w:r>
                </w:p>
              </w:tc>
              <w:tc>
                <w:tcPr>
                  <w:tcW w:w="945" w:type="dxa"/>
                  <w:vAlign w:val="center"/>
                </w:tcPr>
                <w:p w14:paraId="20C3EDC4">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w:t>
                  </w:r>
                </w:p>
              </w:tc>
              <w:tc>
                <w:tcPr>
                  <w:tcW w:w="746" w:type="dxa"/>
                  <w:vAlign w:val="center"/>
                </w:tcPr>
                <w:p w14:paraId="17853D84">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w:t>
                  </w:r>
                </w:p>
              </w:tc>
              <w:tc>
                <w:tcPr>
                  <w:tcW w:w="625" w:type="dxa"/>
                  <w:vAlign w:val="center"/>
                </w:tcPr>
                <w:p w14:paraId="6D95A51A">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w:t>
                  </w:r>
                </w:p>
              </w:tc>
              <w:tc>
                <w:tcPr>
                  <w:tcW w:w="932" w:type="dxa"/>
                  <w:vAlign w:val="center"/>
                </w:tcPr>
                <w:p w14:paraId="20EBC079">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w:t>
                  </w:r>
                </w:p>
              </w:tc>
              <w:tc>
                <w:tcPr>
                  <w:tcW w:w="1474" w:type="dxa"/>
                  <w:vAlign w:val="center"/>
                </w:tcPr>
                <w:p w14:paraId="0F439656">
                  <w:pPr>
                    <w:keepNext w:val="0"/>
                    <w:keepLines w:val="0"/>
                    <w:suppressLineNumbers w:val="0"/>
                    <w:wordWrap w:val="0"/>
                    <w:overflowPunct w:val="0"/>
                    <w:topLinePunct/>
                    <w:spacing w:before="0" w:beforeAutospacing="0" w:after="0" w:afterAutospacing="0"/>
                    <w:ind w:left="0" w:right="0"/>
                    <w:jc w:val="center"/>
                    <w:rPr>
                      <w:rFonts w:hint="default" w:ascii="Times New Roman" w:hAnsi="Times New Roman" w:eastAsia="宋体"/>
                      <w:color w:val="auto"/>
                      <w:sz w:val="21"/>
                      <w:highlight w:val="none"/>
                    </w:rPr>
                  </w:pPr>
                  <w:r>
                    <w:rPr>
                      <w:rFonts w:hint="default" w:ascii="Times New Roman" w:hAnsi="Times New Roman" w:eastAsia="宋体"/>
                      <w:color w:val="auto"/>
                      <w:sz w:val="21"/>
                      <w:highlight w:val="none"/>
                    </w:rPr>
                    <w:t>/</w:t>
                  </w:r>
                </w:p>
              </w:tc>
            </w:tr>
          </w:tbl>
          <w:p w14:paraId="0B55CAB8">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sz w:val="21"/>
                <w:szCs w:val="24"/>
                <w:lang w:val="zh-CN" w:eastAsia="zh-CN"/>
              </w:rPr>
            </w:pPr>
            <w:r>
              <w:rPr>
                <w:rFonts w:hint="default" w:ascii="Times New Roman" w:hAnsi="Times New Roman" w:eastAsia="宋体" w:cs="Times New Roman"/>
                <w:b/>
                <w:color w:val="auto"/>
                <w:sz w:val="21"/>
                <w:szCs w:val="24"/>
                <w:lang w:val="zh-CN" w:eastAsia="zh-CN"/>
              </w:rPr>
              <w:t>废水间接排放口基本情况表</w:t>
            </w:r>
          </w:p>
          <w:tbl>
            <w:tblPr>
              <w:tblStyle w:val="48"/>
              <w:tblW w:w="99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853"/>
              <w:gridCol w:w="671"/>
              <w:gridCol w:w="559"/>
              <w:gridCol w:w="897"/>
              <w:gridCol w:w="927"/>
              <w:gridCol w:w="1360"/>
              <w:gridCol w:w="618"/>
              <w:gridCol w:w="843"/>
              <w:gridCol w:w="1321"/>
              <w:gridCol w:w="1342"/>
            </w:tblGrid>
            <w:tr w14:paraId="679CD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545" w:type="dxa"/>
                  <w:vMerge w:val="restart"/>
                  <w:shd w:val="clear" w:color="auto" w:fill="BEBEBE"/>
                  <w:vAlign w:val="center"/>
                </w:tcPr>
                <w:p w14:paraId="754EA133">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序号</w:t>
                  </w:r>
                </w:p>
              </w:tc>
              <w:tc>
                <w:tcPr>
                  <w:tcW w:w="853" w:type="dxa"/>
                  <w:vMerge w:val="restart"/>
                  <w:shd w:val="clear" w:color="auto" w:fill="BEBEBE"/>
                  <w:vAlign w:val="center"/>
                </w:tcPr>
                <w:p w14:paraId="648B0FBF">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排放口编号</w:t>
                  </w:r>
                </w:p>
              </w:tc>
              <w:tc>
                <w:tcPr>
                  <w:tcW w:w="1230" w:type="dxa"/>
                  <w:gridSpan w:val="2"/>
                  <w:shd w:val="clear" w:color="auto" w:fill="BEBEBE"/>
                  <w:vAlign w:val="center"/>
                </w:tcPr>
                <w:p w14:paraId="45E7F3B8">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排放口地理坐标/m</w:t>
                  </w:r>
                </w:p>
              </w:tc>
              <w:tc>
                <w:tcPr>
                  <w:tcW w:w="897" w:type="dxa"/>
                  <w:vMerge w:val="restart"/>
                  <w:shd w:val="clear" w:color="auto" w:fill="BEBEBE"/>
                  <w:vAlign w:val="center"/>
                </w:tcPr>
                <w:p w14:paraId="6E7DB1CF">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废水排放量/（万t/a）</w:t>
                  </w:r>
                </w:p>
              </w:tc>
              <w:tc>
                <w:tcPr>
                  <w:tcW w:w="927" w:type="dxa"/>
                  <w:vMerge w:val="restart"/>
                  <w:shd w:val="clear" w:color="auto" w:fill="BEBEBE"/>
                  <w:vAlign w:val="center"/>
                </w:tcPr>
                <w:p w14:paraId="671B357A">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排放去向</w:t>
                  </w:r>
                </w:p>
              </w:tc>
              <w:tc>
                <w:tcPr>
                  <w:tcW w:w="1360" w:type="dxa"/>
                  <w:vMerge w:val="restart"/>
                  <w:shd w:val="clear" w:color="auto" w:fill="BEBEBE"/>
                  <w:vAlign w:val="center"/>
                </w:tcPr>
                <w:p w14:paraId="19DF7D16">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排放</w:t>
                  </w:r>
                </w:p>
                <w:p w14:paraId="2DCE80D2">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规律</w:t>
                  </w:r>
                </w:p>
              </w:tc>
              <w:tc>
                <w:tcPr>
                  <w:tcW w:w="618" w:type="dxa"/>
                  <w:vMerge w:val="restart"/>
                  <w:shd w:val="clear" w:color="auto" w:fill="BEBEBE"/>
                  <w:vAlign w:val="center"/>
                </w:tcPr>
                <w:p w14:paraId="6630CB3C">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间歇排放时段</w:t>
                  </w:r>
                </w:p>
              </w:tc>
              <w:tc>
                <w:tcPr>
                  <w:tcW w:w="3506" w:type="dxa"/>
                  <w:gridSpan w:val="3"/>
                  <w:shd w:val="clear" w:color="auto" w:fill="BEBEBE"/>
                  <w:vAlign w:val="center"/>
                </w:tcPr>
                <w:p w14:paraId="78F1998E">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受纳污水处理厂信息</w:t>
                  </w:r>
                </w:p>
              </w:tc>
            </w:tr>
            <w:tr w14:paraId="3FA86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545" w:type="dxa"/>
                  <w:vMerge w:val="continue"/>
                  <w:shd w:val="clear" w:color="auto" w:fill="BEBEBE"/>
                  <w:vAlign w:val="center"/>
                </w:tcPr>
                <w:p w14:paraId="07114BAB">
                  <w:pPr>
                    <w:keepNext w:val="0"/>
                    <w:keepLines w:val="0"/>
                    <w:suppressLineNumbers w:val="0"/>
                    <w:snapToGrid w:val="0"/>
                    <w:spacing w:before="0" w:beforeAutospacing="0" w:after="0" w:afterAutospacing="0"/>
                    <w:ind w:left="0" w:right="0" w:firstLine="482"/>
                    <w:jc w:val="center"/>
                    <w:rPr>
                      <w:rFonts w:hint="default" w:ascii="Times New Roman" w:hAnsi="Times New Roman" w:eastAsia="宋体"/>
                      <w:b/>
                      <w:bCs/>
                      <w:color w:val="auto"/>
                      <w:sz w:val="21"/>
                      <w:szCs w:val="21"/>
                      <w:highlight w:val="none"/>
                    </w:rPr>
                  </w:pPr>
                </w:p>
              </w:tc>
              <w:tc>
                <w:tcPr>
                  <w:tcW w:w="853" w:type="dxa"/>
                  <w:vMerge w:val="continue"/>
                  <w:shd w:val="clear" w:color="auto" w:fill="BEBEBE"/>
                  <w:vAlign w:val="center"/>
                </w:tcPr>
                <w:p w14:paraId="3D909C90">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p>
              </w:tc>
              <w:tc>
                <w:tcPr>
                  <w:tcW w:w="671" w:type="dxa"/>
                  <w:shd w:val="clear" w:color="auto" w:fill="BEBEBE"/>
                  <w:vAlign w:val="center"/>
                </w:tcPr>
                <w:p w14:paraId="6FD3180D">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经度</w:t>
                  </w:r>
                </w:p>
              </w:tc>
              <w:tc>
                <w:tcPr>
                  <w:tcW w:w="559" w:type="dxa"/>
                  <w:shd w:val="clear" w:color="auto" w:fill="BEBEBE"/>
                  <w:vAlign w:val="center"/>
                </w:tcPr>
                <w:p w14:paraId="104E9F77">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纬度</w:t>
                  </w:r>
                </w:p>
              </w:tc>
              <w:tc>
                <w:tcPr>
                  <w:tcW w:w="897" w:type="dxa"/>
                  <w:vMerge w:val="continue"/>
                  <w:shd w:val="clear" w:color="auto" w:fill="BEBEBE"/>
                  <w:vAlign w:val="center"/>
                </w:tcPr>
                <w:p w14:paraId="33484BB5">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p>
              </w:tc>
              <w:tc>
                <w:tcPr>
                  <w:tcW w:w="927" w:type="dxa"/>
                  <w:vMerge w:val="continue"/>
                  <w:shd w:val="clear" w:color="auto" w:fill="BEBEBE"/>
                  <w:vAlign w:val="center"/>
                </w:tcPr>
                <w:p w14:paraId="778D306C">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p>
              </w:tc>
              <w:tc>
                <w:tcPr>
                  <w:tcW w:w="1360" w:type="dxa"/>
                  <w:vMerge w:val="continue"/>
                  <w:shd w:val="clear" w:color="auto" w:fill="BEBEBE"/>
                  <w:vAlign w:val="center"/>
                </w:tcPr>
                <w:p w14:paraId="7E879EFC">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p>
              </w:tc>
              <w:tc>
                <w:tcPr>
                  <w:tcW w:w="618" w:type="dxa"/>
                  <w:vMerge w:val="continue"/>
                  <w:shd w:val="clear" w:color="auto" w:fill="BEBEBE"/>
                  <w:vAlign w:val="center"/>
                </w:tcPr>
                <w:p w14:paraId="33EB1E36">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p>
              </w:tc>
              <w:tc>
                <w:tcPr>
                  <w:tcW w:w="843" w:type="dxa"/>
                  <w:shd w:val="clear" w:color="auto" w:fill="BEBEBE"/>
                  <w:vAlign w:val="center"/>
                </w:tcPr>
                <w:p w14:paraId="5DF2D069">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名称</w:t>
                  </w:r>
                </w:p>
              </w:tc>
              <w:tc>
                <w:tcPr>
                  <w:tcW w:w="1321" w:type="dxa"/>
                  <w:shd w:val="clear" w:color="auto" w:fill="BEBEBE"/>
                  <w:vAlign w:val="center"/>
                </w:tcPr>
                <w:p w14:paraId="47324155">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污染物种类</w:t>
                  </w:r>
                </w:p>
              </w:tc>
              <w:tc>
                <w:tcPr>
                  <w:tcW w:w="1342" w:type="dxa"/>
                  <w:shd w:val="clear" w:color="auto" w:fill="BEBEBE"/>
                  <w:vAlign w:val="center"/>
                </w:tcPr>
                <w:p w14:paraId="6E013703">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国家或地方污染物排放标准浓度限值/(mg/L)</w:t>
                  </w:r>
                </w:p>
              </w:tc>
            </w:tr>
            <w:tr w14:paraId="32C6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45" w:type="dxa"/>
                  <w:vMerge w:val="restart"/>
                  <w:vAlign w:val="center"/>
                </w:tcPr>
                <w:p w14:paraId="3A5733AF">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1</w:t>
                  </w:r>
                </w:p>
              </w:tc>
              <w:tc>
                <w:tcPr>
                  <w:tcW w:w="853" w:type="dxa"/>
                  <w:vMerge w:val="restart"/>
                  <w:vAlign w:val="center"/>
                </w:tcPr>
                <w:p w14:paraId="3E6686DB">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生活污水排放口</w:t>
                  </w:r>
                </w:p>
              </w:tc>
              <w:tc>
                <w:tcPr>
                  <w:tcW w:w="671" w:type="dxa"/>
                  <w:vMerge w:val="restart"/>
                  <w:vAlign w:val="center"/>
                </w:tcPr>
                <w:p w14:paraId="7E5067EE">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w:t>
                  </w:r>
                </w:p>
              </w:tc>
              <w:tc>
                <w:tcPr>
                  <w:tcW w:w="559" w:type="dxa"/>
                  <w:vMerge w:val="restart"/>
                  <w:vAlign w:val="center"/>
                </w:tcPr>
                <w:p w14:paraId="6DB016A3">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w:t>
                  </w:r>
                </w:p>
              </w:tc>
              <w:tc>
                <w:tcPr>
                  <w:tcW w:w="897" w:type="dxa"/>
                  <w:vMerge w:val="restart"/>
                  <w:vAlign w:val="center"/>
                </w:tcPr>
                <w:p w14:paraId="17614AC0">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lang w:val="en-US" w:eastAsia="zh-CN"/>
                    </w:rPr>
                  </w:pPr>
                  <w:r>
                    <w:rPr>
                      <w:rFonts w:hint="default" w:ascii="Times New Roman" w:hAnsi="Times New Roman" w:eastAsia="宋体"/>
                      <w:color w:val="auto"/>
                      <w:sz w:val="21"/>
                      <w:szCs w:val="21"/>
                      <w:highlight w:val="none"/>
                    </w:rPr>
                    <w:t>0.</w:t>
                  </w:r>
                  <w:r>
                    <w:rPr>
                      <w:rFonts w:hint="eastAsia"/>
                      <w:color w:val="auto"/>
                      <w:sz w:val="21"/>
                      <w:szCs w:val="21"/>
                      <w:highlight w:val="none"/>
                      <w:lang w:val="en-US" w:eastAsia="zh-CN"/>
                    </w:rPr>
                    <w:t>6750</w:t>
                  </w:r>
                </w:p>
              </w:tc>
              <w:tc>
                <w:tcPr>
                  <w:tcW w:w="927" w:type="dxa"/>
                  <w:vMerge w:val="restart"/>
                  <w:vAlign w:val="center"/>
                </w:tcPr>
                <w:p w14:paraId="0A7D7202">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中山市污水处理有限公司</w:t>
                  </w:r>
                </w:p>
              </w:tc>
              <w:tc>
                <w:tcPr>
                  <w:tcW w:w="1360" w:type="dxa"/>
                  <w:vMerge w:val="restart"/>
                  <w:vAlign w:val="center"/>
                </w:tcPr>
                <w:p w14:paraId="098B6A6E">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间断排放，期间流量不稳定，但有周期性</w:t>
                  </w:r>
                </w:p>
              </w:tc>
              <w:tc>
                <w:tcPr>
                  <w:tcW w:w="618" w:type="dxa"/>
                  <w:vMerge w:val="restart"/>
                  <w:vAlign w:val="center"/>
                </w:tcPr>
                <w:p w14:paraId="447EBE2D">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工作时段</w:t>
                  </w:r>
                </w:p>
              </w:tc>
              <w:tc>
                <w:tcPr>
                  <w:tcW w:w="843" w:type="dxa"/>
                  <w:vMerge w:val="restart"/>
                  <w:vAlign w:val="center"/>
                </w:tcPr>
                <w:p w14:paraId="4D529160">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中山市污水处理有限公司</w:t>
                  </w:r>
                </w:p>
              </w:tc>
              <w:tc>
                <w:tcPr>
                  <w:tcW w:w="1321" w:type="dxa"/>
                  <w:vAlign w:val="center"/>
                </w:tcPr>
                <w:p w14:paraId="53E1CA39">
                  <w:pPr>
                    <w:keepNext w:val="0"/>
                    <w:keepLines w:val="0"/>
                    <w:widowControl/>
                    <w:suppressLineNumbers w:val="0"/>
                    <w:spacing w:before="0" w:beforeAutospacing="0" w:after="0" w:afterAutospacing="0"/>
                    <w:ind w:left="0" w:right="0"/>
                    <w:contextualSpacing/>
                    <w:jc w:val="center"/>
                    <w:rPr>
                      <w:rFonts w:hint="default" w:ascii="Times New Roman" w:hAnsi="Times New Roman" w:eastAsia="宋体"/>
                      <w:color w:val="auto"/>
                      <w:sz w:val="21"/>
                      <w:szCs w:val="21"/>
                      <w:highlight w:val="none"/>
                    </w:rPr>
                  </w:pPr>
                  <w:r>
                    <w:rPr>
                      <w:rFonts w:hint="default" w:ascii="Times New Roman" w:hAnsi="Times New Roman" w:eastAsia="宋体"/>
                      <w:bCs/>
                      <w:color w:val="auto"/>
                      <w:kern w:val="0"/>
                      <w:sz w:val="21"/>
                      <w:szCs w:val="21"/>
                      <w:highlight w:val="none"/>
                    </w:rPr>
                    <w:t>pH</w:t>
                  </w:r>
                </w:p>
              </w:tc>
              <w:tc>
                <w:tcPr>
                  <w:tcW w:w="1342" w:type="dxa"/>
                  <w:vAlign w:val="center"/>
                </w:tcPr>
                <w:p w14:paraId="29A179B1">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6~9</w:t>
                  </w:r>
                </w:p>
              </w:tc>
            </w:tr>
            <w:tr w14:paraId="2664F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45" w:type="dxa"/>
                  <w:vMerge w:val="continue"/>
                  <w:vAlign w:val="center"/>
                </w:tcPr>
                <w:p w14:paraId="7F763AD4">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853" w:type="dxa"/>
                  <w:vMerge w:val="continue"/>
                  <w:vAlign w:val="center"/>
                </w:tcPr>
                <w:p w14:paraId="4C599D5A">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671" w:type="dxa"/>
                  <w:vMerge w:val="continue"/>
                  <w:vAlign w:val="center"/>
                </w:tcPr>
                <w:p w14:paraId="06862B63">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559" w:type="dxa"/>
                  <w:vMerge w:val="continue"/>
                  <w:vAlign w:val="center"/>
                </w:tcPr>
                <w:p w14:paraId="794E552F">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897" w:type="dxa"/>
                  <w:vMerge w:val="continue"/>
                  <w:vAlign w:val="center"/>
                </w:tcPr>
                <w:p w14:paraId="58E906D1">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927" w:type="dxa"/>
                  <w:vMerge w:val="continue"/>
                  <w:vAlign w:val="center"/>
                </w:tcPr>
                <w:p w14:paraId="73207A7E">
                  <w:pPr>
                    <w:keepNext w:val="0"/>
                    <w:keepLines w:val="0"/>
                    <w:suppressLineNumbers w:val="0"/>
                    <w:spacing w:before="0" w:beforeAutospacing="0" w:after="0" w:afterAutospacing="0"/>
                    <w:ind w:left="0" w:right="0"/>
                    <w:jc w:val="center"/>
                    <w:rPr>
                      <w:rFonts w:hint="eastAsia" w:ascii="Times New Roman" w:hAnsi="Times New Roman" w:eastAsia="宋体"/>
                      <w:color w:val="auto"/>
                      <w:sz w:val="21"/>
                      <w:szCs w:val="21"/>
                      <w:highlight w:val="none"/>
                    </w:rPr>
                  </w:pPr>
                </w:p>
              </w:tc>
              <w:tc>
                <w:tcPr>
                  <w:tcW w:w="1360" w:type="dxa"/>
                  <w:vMerge w:val="continue"/>
                  <w:vAlign w:val="center"/>
                </w:tcPr>
                <w:p w14:paraId="55038ADC">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618" w:type="dxa"/>
                  <w:vMerge w:val="continue"/>
                  <w:vAlign w:val="center"/>
                </w:tcPr>
                <w:p w14:paraId="59E488A6">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843" w:type="dxa"/>
                  <w:vMerge w:val="continue"/>
                  <w:vAlign w:val="center"/>
                </w:tcPr>
                <w:p w14:paraId="02118D6C">
                  <w:pPr>
                    <w:keepNext w:val="0"/>
                    <w:keepLines w:val="0"/>
                    <w:suppressLineNumbers w:val="0"/>
                    <w:spacing w:before="0" w:beforeAutospacing="0" w:after="0" w:afterAutospacing="0"/>
                    <w:ind w:left="0" w:right="0"/>
                    <w:jc w:val="center"/>
                    <w:rPr>
                      <w:rFonts w:hint="eastAsia" w:ascii="Times New Roman" w:hAnsi="Times New Roman" w:eastAsia="宋体"/>
                      <w:color w:val="auto"/>
                      <w:sz w:val="21"/>
                      <w:szCs w:val="21"/>
                      <w:highlight w:val="none"/>
                    </w:rPr>
                  </w:pPr>
                </w:p>
              </w:tc>
              <w:tc>
                <w:tcPr>
                  <w:tcW w:w="1321" w:type="dxa"/>
                  <w:vAlign w:val="center"/>
                </w:tcPr>
                <w:p w14:paraId="6B1A8539">
                  <w:pPr>
                    <w:keepNext w:val="0"/>
                    <w:keepLines w:val="0"/>
                    <w:widowControl/>
                    <w:suppressLineNumbers w:val="0"/>
                    <w:spacing w:before="0" w:beforeAutospacing="0" w:after="0" w:afterAutospacing="0"/>
                    <w:ind w:left="0" w:right="0"/>
                    <w:contextualSpacing/>
                    <w:jc w:val="center"/>
                    <w:rPr>
                      <w:rFonts w:hint="default" w:ascii="Times New Roman" w:hAnsi="Times New Roman" w:eastAsia="宋体"/>
                      <w:bCs/>
                      <w:color w:val="auto"/>
                      <w:kern w:val="0"/>
                      <w:sz w:val="21"/>
                      <w:szCs w:val="21"/>
                      <w:highlight w:val="none"/>
                    </w:rPr>
                  </w:pPr>
                  <w:r>
                    <w:rPr>
                      <w:rFonts w:hint="default" w:ascii="Times New Roman" w:hAnsi="Times New Roman" w:eastAsia="宋体"/>
                      <w:bCs/>
                      <w:color w:val="auto"/>
                      <w:kern w:val="0"/>
                      <w:sz w:val="21"/>
                      <w:szCs w:val="21"/>
                      <w:highlight w:val="none"/>
                    </w:rPr>
                    <w:t>COD</w:t>
                  </w:r>
                  <w:r>
                    <w:rPr>
                      <w:rFonts w:hint="default" w:ascii="Times New Roman" w:hAnsi="Times New Roman" w:eastAsia="宋体"/>
                      <w:bCs/>
                      <w:color w:val="auto"/>
                      <w:kern w:val="0"/>
                      <w:sz w:val="21"/>
                      <w:szCs w:val="21"/>
                      <w:highlight w:val="none"/>
                      <w:vertAlign w:val="subscript"/>
                    </w:rPr>
                    <w:t>Cr</w:t>
                  </w:r>
                </w:p>
              </w:tc>
              <w:tc>
                <w:tcPr>
                  <w:tcW w:w="1342" w:type="dxa"/>
                  <w:vAlign w:val="center"/>
                </w:tcPr>
                <w:p w14:paraId="069389C7">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≤40</w:t>
                  </w:r>
                </w:p>
              </w:tc>
            </w:tr>
            <w:tr w14:paraId="3B11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45" w:type="dxa"/>
                  <w:vMerge w:val="continue"/>
                  <w:vAlign w:val="center"/>
                </w:tcPr>
                <w:p w14:paraId="3C9EFA27">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853" w:type="dxa"/>
                  <w:vMerge w:val="continue"/>
                  <w:vAlign w:val="center"/>
                </w:tcPr>
                <w:p w14:paraId="0F2D60FE">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671" w:type="dxa"/>
                  <w:vMerge w:val="continue"/>
                  <w:vAlign w:val="center"/>
                </w:tcPr>
                <w:p w14:paraId="5C00A7ED">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559" w:type="dxa"/>
                  <w:vMerge w:val="continue"/>
                  <w:vAlign w:val="center"/>
                </w:tcPr>
                <w:p w14:paraId="71E6625B">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897" w:type="dxa"/>
                  <w:vMerge w:val="continue"/>
                  <w:vAlign w:val="center"/>
                </w:tcPr>
                <w:p w14:paraId="7481A62C">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927" w:type="dxa"/>
                  <w:vMerge w:val="continue"/>
                  <w:vAlign w:val="center"/>
                </w:tcPr>
                <w:p w14:paraId="51F8D075">
                  <w:pPr>
                    <w:keepNext w:val="0"/>
                    <w:keepLines w:val="0"/>
                    <w:suppressLineNumbers w:val="0"/>
                    <w:spacing w:before="0" w:beforeAutospacing="0" w:after="0" w:afterAutospacing="0"/>
                    <w:ind w:left="0" w:right="0"/>
                    <w:jc w:val="center"/>
                    <w:rPr>
                      <w:rFonts w:hint="eastAsia" w:ascii="Times New Roman" w:hAnsi="Times New Roman" w:eastAsia="宋体"/>
                      <w:color w:val="auto"/>
                      <w:sz w:val="21"/>
                      <w:szCs w:val="21"/>
                      <w:highlight w:val="none"/>
                    </w:rPr>
                  </w:pPr>
                </w:p>
              </w:tc>
              <w:tc>
                <w:tcPr>
                  <w:tcW w:w="1360" w:type="dxa"/>
                  <w:vMerge w:val="continue"/>
                  <w:vAlign w:val="center"/>
                </w:tcPr>
                <w:p w14:paraId="53E2E12D">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618" w:type="dxa"/>
                  <w:vMerge w:val="continue"/>
                  <w:vAlign w:val="center"/>
                </w:tcPr>
                <w:p w14:paraId="763BF88E">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843" w:type="dxa"/>
                  <w:vMerge w:val="continue"/>
                  <w:vAlign w:val="center"/>
                </w:tcPr>
                <w:p w14:paraId="574AB9BA">
                  <w:pPr>
                    <w:keepNext w:val="0"/>
                    <w:keepLines w:val="0"/>
                    <w:suppressLineNumbers w:val="0"/>
                    <w:spacing w:before="0" w:beforeAutospacing="0" w:after="0" w:afterAutospacing="0"/>
                    <w:ind w:left="0" w:right="0"/>
                    <w:jc w:val="center"/>
                    <w:rPr>
                      <w:rFonts w:hint="eastAsia" w:ascii="Times New Roman" w:hAnsi="Times New Roman" w:eastAsia="宋体"/>
                      <w:color w:val="auto"/>
                      <w:sz w:val="21"/>
                      <w:szCs w:val="21"/>
                      <w:highlight w:val="none"/>
                    </w:rPr>
                  </w:pPr>
                </w:p>
              </w:tc>
              <w:tc>
                <w:tcPr>
                  <w:tcW w:w="1321" w:type="dxa"/>
                  <w:vAlign w:val="center"/>
                </w:tcPr>
                <w:p w14:paraId="760C5285">
                  <w:pPr>
                    <w:keepNext w:val="0"/>
                    <w:keepLines w:val="0"/>
                    <w:widowControl/>
                    <w:suppressLineNumbers w:val="0"/>
                    <w:spacing w:before="0" w:beforeAutospacing="0" w:after="0" w:afterAutospacing="0"/>
                    <w:ind w:left="0" w:right="0"/>
                    <w:contextualSpacing/>
                    <w:jc w:val="center"/>
                    <w:rPr>
                      <w:rFonts w:hint="default" w:ascii="Times New Roman" w:hAnsi="Times New Roman" w:eastAsia="宋体"/>
                      <w:bCs/>
                      <w:color w:val="auto"/>
                      <w:kern w:val="0"/>
                      <w:sz w:val="21"/>
                      <w:szCs w:val="21"/>
                      <w:highlight w:val="none"/>
                    </w:rPr>
                  </w:pPr>
                  <w:r>
                    <w:rPr>
                      <w:rFonts w:hint="default" w:ascii="Times New Roman" w:hAnsi="Times New Roman" w:eastAsia="宋体"/>
                      <w:bCs/>
                      <w:color w:val="auto"/>
                      <w:kern w:val="0"/>
                      <w:sz w:val="21"/>
                      <w:szCs w:val="21"/>
                      <w:highlight w:val="none"/>
                    </w:rPr>
                    <w:t>BOD</w:t>
                  </w:r>
                  <w:r>
                    <w:rPr>
                      <w:rFonts w:hint="default" w:ascii="Times New Roman" w:hAnsi="Times New Roman" w:eastAsia="宋体"/>
                      <w:bCs/>
                      <w:color w:val="auto"/>
                      <w:kern w:val="0"/>
                      <w:sz w:val="21"/>
                      <w:szCs w:val="21"/>
                      <w:highlight w:val="none"/>
                      <w:vertAlign w:val="subscript"/>
                    </w:rPr>
                    <w:t>5</w:t>
                  </w:r>
                </w:p>
              </w:tc>
              <w:tc>
                <w:tcPr>
                  <w:tcW w:w="1342" w:type="dxa"/>
                  <w:vAlign w:val="center"/>
                </w:tcPr>
                <w:p w14:paraId="2F6A8623">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≤10</w:t>
                  </w:r>
                </w:p>
              </w:tc>
            </w:tr>
            <w:tr w14:paraId="00689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45" w:type="dxa"/>
                  <w:vMerge w:val="continue"/>
                  <w:vAlign w:val="center"/>
                </w:tcPr>
                <w:p w14:paraId="1886AC6A">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853" w:type="dxa"/>
                  <w:vMerge w:val="continue"/>
                  <w:vAlign w:val="center"/>
                </w:tcPr>
                <w:p w14:paraId="7C43C7CA">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671" w:type="dxa"/>
                  <w:vMerge w:val="continue"/>
                  <w:vAlign w:val="center"/>
                </w:tcPr>
                <w:p w14:paraId="63105779">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559" w:type="dxa"/>
                  <w:vMerge w:val="continue"/>
                  <w:vAlign w:val="center"/>
                </w:tcPr>
                <w:p w14:paraId="261C25C8">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897" w:type="dxa"/>
                  <w:vMerge w:val="continue"/>
                  <w:vAlign w:val="center"/>
                </w:tcPr>
                <w:p w14:paraId="31FEDD1E">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927" w:type="dxa"/>
                  <w:vMerge w:val="continue"/>
                  <w:vAlign w:val="center"/>
                </w:tcPr>
                <w:p w14:paraId="64E0B815">
                  <w:pPr>
                    <w:keepNext w:val="0"/>
                    <w:keepLines w:val="0"/>
                    <w:suppressLineNumbers w:val="0"/>
                    <w:spacing w:before="0" w:beforeAutospacing="0" w:after="0" w:afterAutospacing="0"/>
                    <w:ind w:left="0" w:right="0"/>
                    <w:jc w:val="center"/>
                    <w:rPr>
                      <w:rFonts w:hint="eastAsia" w:ascii="Times New Roman" w:hAnsi="Times New Roman" w:eastAsia="宋体"/>
                      <w:color w:val="auto"/>
                      <w:sz w:val="21"/>
                      <w:szCs w:val="21"/>
                      <w:highlight w:val="none"/>
                    </w:rPr>
                  </w:pPr>
                </w:p>
              </w:tc>
              <w:tc>
                <w:tcPr>
                  <w:tcW w:w="1360" w:type="dxa"/>
                  <w:vMerge w:val="continue"/>
                  <w:vAlign w:val="center"/>
                </w:tcPr>
                <w:p w14:paraId="39BC1221">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618" w:type="dxa"/>
                  <w:vMerge w:val="continue"/>
                  <w:vAlign w:val="center"/>
                </w:tcPr>
                <w:p w14:paraId="78A85D2F">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843" w:type="dxa"/>
                  <w:vMerge w:val="continue"/>
                  <w:vAlign w:val="center"/>
                </w:tcPr>
                <w:p w14:paraId="3615A01B">
                  <w:pPr>
                    <w:keepNext w:val="0"/>
                    <w:keepLines w:val="0"/>
                    <w:suppressLineNumbers w:val="0"/>
                    <w:spacing w:before="0" w:beforeAutospacing="0" w:after="0" w:afterAutospacing="0"/>
                    <w:ind w:left="0" w:right="0"/>
                    <w:jc w:val="center"/>
                    <w:rPr>
                      <w:rFonts w:hint="eastAsia" w:ascii="Times New Roman" w:hAnsi="Times New Roman" w:eastAsia="宋体"/>
                      <w:color w:val="auto"/>
                      <w:sz w:val="21"/>
                      <w:szCs w:val="21"/>
                      <w:highlight w:val="none"/>
                    </w:rPr>
                  </w:pPr>
                </w:p>
              </w:tc>
              <w:tc>
                <w:tcPr>
                  <w:tcW w:w="1321" w:type="dxa"/>
                  <w:vAlign w:val="center"/>
                </w:tcPr>
                <w:p w14:paraId="3DD479AA">
                  <w:pPr>
                    <w:keepNext w:val="0"/>
                    <w:keepLines w:val="0"/>
                    <w:widowControl/>
                    <w:suppressLineNumbers w:val="0"/>
                    <w:spacing w:before="0" w:beforeAutospacing="0" w:after="0" w:afterAutospacing="0"/>
                    <w:ind w:left="0" w:right="0"/>
                    <w:contextualSpacing/>
                    <w:jc w:val="center"/>
                    <w:rPr>
                      <w:rFonts w:hint="default" w:ascii="Times New Roman" w:hAnsi="Times New Roman" w:eastAsia="宋体"/>
                      <w:bCs/>
                      <w:color w:val="auto"/>
                      <w:kern w:val="0"/>
                      <w:sz w:val="21"/>
                      <w:szCs w:val="21"/>
                      <w:highlight w:val="none"/>
                    </w:rPr>
                  </w:pPr>
                  <w:r>
                    <w:rPr>
                      <w:rFonts w:hint="default" w:ascii="Times New Roman" w:hAnsi="Times New Roman" w:eastAsia="宋体"/>
                      <w:bCs/>
                      <w:color w:val="auto"/>
                      <w:kern w:val="0"/>
                      <w:sz w:val="21"/>
                      <w:szCs w:val="21"/>
                      <w:highlight w:val="none"/>
                    </w:rPr>
                    <w:t>SS</w:t>
                  </w:r>
                </w:p>
              </w:tc>
              <w:tc>
                <w:tcPr>
                  <w:tcW w:w="1342" w:type="dxa"/>
                  <w:vAlign w:val="center"/>
                </w:tcPr>
                <w:p w14:paraId="04A49D7A">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≤10</w:t>
                  </w:r>
                </w:p>
              </w:tc>
            </w:tr>
            <w:tr w14:paraId="6DF2A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545" w:type="dxa"/>
                  <w:vMerge w:val="continue"/>
                  <w:vAlign w:val="center"/>
                </w:tcPr>
                <w:p w14:paraId="506F0275">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853" w:type="dxa"/>
                  <w:vMerge w:val="continue"/>
                  <w:vAlign w:val="center"/>
                </w:tcPr>
                <w:p w14:paraId="5955BC6B">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671" w:type="dxa"/>
                  <w:vMerge w:val="continue"/>
                  <w:vAlign w:val="center"/>
                </w:tcPr>
                <w:p w14:paraId="599891D5">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559" w:type="dxa"/>
                  <w:vMerge w:val="continue"/>
                  <w:vAlign w:val="center"/>
                </w:tcPr>
                <w:p w14:paraId="69856CFD">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897" w:type="dxa"/>
                  <w:vMerge w:val="continue"/>
                  <w:vAlign w:val="center"/>
                </w:tcPr>
                <w:p w14:paraId="1CB60AF4">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927" w:type="dxa"/>
                  <w:vMerge w:val="continue"/>
                  <w:vAlign w:val="center"/>
                </w:tcPr>
                <w:p w14:paraId="0DB2825F">
                  <w:pPr>
                    <w:keepNext w:val="0"/>
                    <w:keepLines w:val="0"/>
                    <w:suppressLineNumbers w:val="0"/>
                    <w:spacing w:before="0" w:beforeAutospacing="0" w:after="0" w:afterAutospacing="0"/>
                    <w:ind w:left="0" w:right="0"/>
                    <w:jc w:val="center"/>
                    <w:rPr>
                      <w:rFonts w:hint="eastAsia" w:ascii="Times New Roman" w:hAnsi="Times New Roman" w:eastAsia="宋体"/>
                      <w:color w:val="auto"/>
                      <w:sz w:val="21"/>
                      <w:szCs w:val="21"/>
                      <w:highlight w:val="none"/>
                    </w:rPr>
                  </w:pPr>
                </w:p>
              </w:tc>
              <w:tc>
                <w:tcPr>
                  <w:tcW w:w="1360" w:type="dxa"/>
                  <w:vMerge w:val="continue"/>
                  <w:vAlign w:val="center"/>
                </w:tcPr>
                <w:p w14:paraId="060B33C2">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618" w:type="dxa"/>
                  <w:vMerge w:val="continue"/>
                  <w:vAlign w:val="center"/>
                </w:tcPr>
                <w:p w14:paraId="68AFEFC5">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843" w:type="dxa"/>
                  <w:vMerge w:val="continue"/>
                  <w:vAlign w:val="center"/>
                </w:tcPr>
                <w:p w14:paraId="7939116D">
                  <w:pPr>
                    <w:keepNext w:val="0"/>
                    <w:keepLines w:val="0"/>
                    <w:suppressLineNumbers w:val="0"/>
                    <w:spacing w:before="0" w:beforeAutospacing="0" w:after="0" w:afterAutospacing="0"/>
                    <w:ind w:left="0" w:right="0"/>
                    <w:jc w:val="center"/>
                    <w:rPr>
                      <w:rFonts w:hint="eastAsia" w:ascii="Times New Roman" w:hAnsi="Times New Roman" w:eastAsia="宋体"/>
                      <w:color w:val="auto"/>
                      <w:sz w:val="21"/>
                      <w:szCs w:val="21"/>
                      <w:highlight w:val="none"/>
                    </w:rPr>
                  </w:pPr>
                </w:p>
              </w:tc>
              <w:tc>
                <w:tcPr>
                  <w:tcW w:w="1321" w:type="dxa"/>
                  <w:vAlign w:val="center"/>
                </w:tcPr>
                <w:p w14:paraId="332C18DF">
                  <w:pPr>
                    <w:keepNext w:val="0"/>
                    <w:keepLines w:val="0"/>
                    <w:suppressLineNumbers w:val="0"/>
                    <w:spacing w:before="0" w:beforeAutospacing="0" w:after="0" w:afterAutospacing="0"/>
                    <w:ind w:left="0" w:right="0"/>
                    <w:jc w:val="center"/>
                    <w:rPr>
                      <w:rFonts w:hint="default" w:ascii="Times New Roman" w:hAnsi="Times New Roman" w:eastAsia="宋体"/>
                      <w:bCs/>
                      <w:color w:val="auto"/>
                      <w:kern w:val="0"/>
                      <w:sz w:val="21"/>
                      <w:szCs w:val="21"/>
                      <w:highlight w:val="none"/>
                    </w:rPr>
                  </w:pPr>
                  <w:r>
                    <w:rPr>
                      <w:rFonts w:hint="default" w:ascii="Times New Roman" w:hAnsi="Times New Roman" w:eastAsia="宋体"/>
                      <w:bCs/>
                      <w:color w:val="auto"/>
                      <w:kern w:val="0"/>
                      <w:sz w:val="21"/>
                      <w:szCs w:val="21"/>
                      <w:highlight w:val="none"/>
                    </w:rPr>
                    <w:t>NH</w:t>
                  </w:r>
                  <w:r>
                    <w:rPr>
                      <w:rFonts w:hint="default" w:ascii="Times New Roman" w:hAnsi="Times New Roman" w:eastAsia="宋体"/>
                      <w:bCs/>
                      <w:color w:val="auto"/>
                      <w:kern w:val="0"/>
                      <w:sz w:val="21"/>
                      <w:szCs w:val="21"/>
                      <w:highlight w:val="none"/>
                      <w:vertAlign w:val="subscript"/>
                    </w:rPr>
                    <w:t>3</w:t>
                  </w:r>
                  <w:r>
                    <w:rPr>
                      <w:rFonts w:hint="eastAsia"/>
                      <w:bCs/>
                      <w:color w:val="auto"/>
                      <w:kern w:val="0"/>
                      <w:sz w:val="21"/>
                      <w:szCs w:val="21"/>
                      <w:highlight w:val="none"/>
                      <w:lang w:eastAsia="zh-CN"/>
                    </w:rPr>
                    <w:t xml:space="preserve"> </w:t>
                  </w:r>
                  <w:r>
                    <w:rPr>
                      <w:rFonts w:hint="default" w:ascii="Times New Roman" w:hAnsi="Times New Roman" w:eastAsia="宋体"/>
                      <w:bCs/>
                      <w:color w:val="auto"/>
                      <w:kern w:val="0"/>
                      <w:sz w:val="21"/>
                      <w:szCs w:val="21"/>
                      <w:highlight w:val="none"/>
                    </w:rPr>
                    <w:t>N</w:t>
                  </w:r>
                </w:p>
              </w:tc>
              <w:tc>
                <w:tcPr>
                  <w:tcW w:w="1342" w:type="dxa"/>
                  <w:vAlign w:val="center"/>
                </w:tcPr>
                <w:p w14:paraId="555579D4">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≤5</w:t>
                  </w:r>
                </w:p>
              </w:tc>
            </w:tr>
            <w:tr w14:paraId="31277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545" w:type="dxa"/>
                  <w:vMerge w:val="continue"/>
                  <w:vAlign w:val="center"/>
                </w:tcPr>
                <w:p w14:paraId="27B2C563">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853" w:type="dxa"/>
                  <w:vMerge w:val="continue"/>
                  <w:vAlign w:val="center"/>
                </w:tcPr>
                <w:p w14:paraId="29F5A478">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671" w:type="dxa"/>
                  <w:vMerge w:val="continue"/>
                  <w:vAlign w:val="center"/>
                </w:tcPr>
                <w:p w14:paraId="3641F140">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559" w:type="dxa"/>
                  <w:vMerge w:val="continue"/>
                  <w:vAlign w:val="center"/>
                </w:tcPr>
                <w:p w14:paraId="1A1F7847">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897" w:type="dxa"/>
                  <w:vMerge w:val="continue"/>
                  <w:vAlign w:val="center"/>
                </w:tcPr>
                <w:p w14:paraId="788EF694">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927" w:type="dxa"/>
                  <w:vMerge w:val="continue"/>
                  <w:vAlign w:val="center"/>
                </w:tcPr>
                <w:p w14:paraId="66B28719">
                  <w:pPr>
                    <w:keepNext w:val="0"/>
                    <w:keepLines w:val="0"/>
                    <w:suppressLineNumbers w:val="0"/>
                    <w:spacing w:before="0" w:beforeAutospacing="0" w:after="0" w:afterAutospacing="0"/>
                    <w:ind w:left="0" w:right="0"/>
                    <w:jc w:val="center"/>
                    <w:rPr>
                      <w:rFonts w:hint="eastAsia" w:ascii="Times New Roman" w:hAnsi="Times New Roman" w:eastAsia="宋体"/>
                      <w:color w:val="auto"/>
                      <w:sz w:val="21"/>
                      <w:szCs w:val="21"/>
                      <w:highlight w:val="none"/>
                    </w:rPr>
                  </w:pPr>
                </w:p>
              </w:tc>
              <w:tc>
                <w:tcPr>
                  <w:tcW w:w="1360" w:type="dxa"/>
                  <w:vMerge w:val="continue"/>
                  <w:vAlign w:val="center"/>
                </w:tcPr>
                <w:p w14:paraId="56E12369">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618" w:type="dxa"/>
                  <w:vMerge w:val="continue"/>
                  <w:vAlign w:val="center"/>
                </w:tcPr>
                <w:p w14:paraId="498BA5CD">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843" w:type="dxa"/>
                  <w:vMerge w:val="continue"/>
                  <w:vAlign w:val="center"/>
                </w:tcPr>
                <w:p w14:paraId="61CE0CC5">
                  <w:pPr>
                    <w:keepNext w:val="0"/>
                    <w:keepLines w:val="0"/>
                    <w:suppressLineNumbers w:val="0"/>
                    <w:spacing w:before="0" w:beforeAutospacing="0" w:after="0" w:afterAutospacing="0"/>
                    <w:ind w:left="0" w:right="0"/>
                    <w:jc w:val="center"/>
                    <w:rPr>
                      <w:rFonts w:hint="eastAsia" w:ascii="Times New Roman" w:hAnsi="Times New Roman" w:eastAsia="宋体"/>
                      <w:color w:val="auto"/>
                      <w:sz w:val="21"/>
                      <w:szCs w:val="21"/>
                      <w:highlight w:val="none"/>
                    </w:rPr>
                  </w:pPr>
                </w:p>
              </w:tc>
              <w:tc>
                <w:tcPr>
                  <w:tcW w:w="1321" w:type="dxa"/>
                  <w:vAlign w:val="center"/>
                </w:tcPr>
                <w:p w14:paraId="2DD47B8B">
                  <w:pPr>
                    <w:keepNext w:val="0"/>
                    <w:keepLines w:val="0"/>
                    <w:suppressLineNumbers w:val="0"/>
                    <w:spacing w:before="0" w:beforeAutospacing="0" w:after="0" w:afterAutospacing="0"/>
                    <w:ind w:left="0" w:right="0"/>
                    <w:jc w:val="center"/>
                    <w:rPr>
                      <w:rFonts w:hint="eastAsia" w:ascii="Times New Roman" w:hAnsi="Times New Roman" w:eastAsia="宋体"/>
                      <w:bCs/>
                      <w:color w:val="auto"/>
                      <w:kern w:val="0"/>
                      <w:sz w:val="21"/>
                      <w:szCs w:val="21"/>
                      <w:highlight w:val="none"/>
                      <w:lang w:val="en-US" w:eastAsia="zh-CN"/>
                    </w:rPr>
                  </w:pPr>
                  <w:r>
                    <w:rPr>
                      <w:rFonts w:hint="eastAsia"/>
                      <w:bCs/>
                      <w:color w:val="auto"/>
                      <w:kern w:val="0"/>
                      <w:sz w:val="21"/>
                      <w:szCs w:val="21"/>
                      <w:highlight w:val="none"/>
                      <w:lang w:val="en-US" w:eastAsia="zh-CN"/>
                    </w:rPr>
                    <w:t>总磷</w:t>
                  </w:r>
                </w:p>
              </w:tc>
              <w:tc>
                <w:tcPr>
                  <w:tcW w:w="1342" w:type="dxa"/>
                  <w:vAlign w:val="center"/>
                </w:tcPr>
                <w:p w14:paraId="234A9A1C">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lang w:val="en-US" w:eastAsia="zh-CN"/>
                    </w:rPr>
                  </w:pPr>
                  <w:r>
                    <w:rPr>
                      <w:rFonts w:hint="default" w:ascii="Times New Roman" w:hAnsi="Times New Roman" w:eastAsia="宋体"/>
                      <w:color w:val="auto"/>
                      <w:sz w:val="21"/>
                      <w:szCs w:val="21"/>
                      <w:highlight w:val="none"/>
                    </w:rPr>
                    <w:t>≤</w:t>
                  </w:r>
                  <w:r>
                    <w:rPr>
                      <w:rFonts w:hint="eastAsia" w:ascii="Times New Roman" w:hAnsi="Times New Roman" w:eastAsia="宋体"/>
                      <w:color w:val="auto"/>
                      <w:sz w:val="21"/>
                      <w:szCs w:val="21"/>
                      <w:highlight w:val="none"/>
                      <w:lang w:val="en-US" w:eastAsia="zh-CN"/>
                    </w:rPr>
                    <w:t>0.5</w:t>
                  </w:r>
                </w:p>
              </w:tc>
            </w:tr>
          </w:tbl>
          <w:p w14:paraId="7A33A07C">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sz w:val="21"/>
                <w:szCs w:val="24"/>
                <w:lang w:val="zh-CN" w:eastAsia="zh-CN"/>
              </w:rPr>
            </w:pPr>
            <w:r>
              <w:rPr>
                <w:rFonts w:hint="default" w:ascii="Times New Roman" w:hAnsi="Times New Roman" w:eastAsia="宋体" w:cs="Times New Roman"/>
                <w:b/>
                <w:color w:val="auto"/>
                <w:sz w:val="21"/>
                <w:szCs w:val="24"/>
                <w:lang w:val="zh-CN" w:eastAsia="zh-CN"/>
              </w:rPr>
              <w:t>废水污染物排放执行标准</w:t>
            </w:r>
          </w:p>
          <w:tbl>
            <w:tblPr>
              <w:tblStyle w:val="48"/>
              <w:tblW w:w="100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1517"/>
              <w:gridCol w:w="1517"/>
              <w:gridCol w:w="4009"/>
              <w:gridCol w:w="2167"/>
            </w:tblGrid>
            <w:tr w14:paraId="4622C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848" w:type="dxa"/>
                  <w:vMerge w:val="restart"/>
                  <w:shd w:val="clear" w:color="auto" w:fill="BEBEBE"/>
                  <w:vAlign w:val="center"/>
                </w:tcPr>
                <w:p w14:paraId="29A0AE95">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序号</w:t>
                  </w:r>
                </w:p>
              </w:tc>
              <w:tc>
                <w:tcPr>
                  <w:tcW w:w="1517" w:type="dxa"/>
                  <w:vMerge w:val="restart"/>
                  <w:shd w:val="clear" w:color="auto" w:fill="BEBEBE"/>
                  <w:vAlign w:val="center"/>
                </w:tcPr>
                <w:p w14:paraId="14565596">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排放口编号</w:t>
                  </w:r>
                </w:p>
              </w:tc>
              <w:tc>
                <w:tcPr>
                  <w:tcW w:w="1517" w:type="dxa"/>
                  <w:vMerge w:val="restart"/>
                  <w:shd w:val="clear" w:color="auto" w:fill="BEBEBE"/>
                  <w:vAlign w:val="center"/>
                </w:tcPr>
                <w:p w14:paraId="4F1E0B98">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污染物种类</w:t>
                  </w:r>
                </w:p>
              </w:tc>
              <w:tc>
                <w:tcPr>
                  <w:tcW w:w="6176" w:type="dxa"/>
                  <w:gridSpan w:val="2"/>
                  <w:shd w:val="clear" w:color="auto" w:fill="BEBEBE"/>
                  <w:vAlign w:val="center"/>
                </w:tcPr>
                <w:p w14:paraId="4EAFB796">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国家或地方污染物排放标准及其他按规定商定的排放协议</w:t>
                  </w:r>
                </w:p>
              </w:tc>
            </w:tr>
            <w:tr w14:paraId="00770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848" w:type="dxa"/>
                  <w:vMerge w:val="continue"/>
                  <w:shd w:val="clear" w:color="auto" w:fill="BEBEBE"/>
                  <w:vAlign w:val="center"/>
                </w:tcPr>
                <w:p w14:paraId="3F732D52">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p>
              </w:tc>
              <w:tc>
                <w:tcPr>
                  <w:tcW w:w="1517" w:type="dxa"/>
                  <w:vMerge w:val="continue"/>
                  <w:shd w:val="clear" w:color="auto" w:fill="BEBEBE"/>
                  <w:vAlign w:val="center"/>
                </w:tcPr>
                <w:p w14:paraId="409E7390">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p>
              </w:tc>
              <w:tc>
                <w:tcPr>
                  <w:tcW w:w="1517" w:type="dxa"/>
                  <w:vMerge w:val="continue"/>
                  <w:shd w:val="clear" w:color="auto" w:fill="BEBEBE"/>
                  <w:vAlign w:val="center"/>
                </w:tcPr>
                <w:p w14:paraId="19C42DD0">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p>
              </w:tc>
              <w:tc>
                <w:tcPr>
                  <w:tcW w:w="4009" w:type="dxa"/>
                  <w:shd w:val="clear" w:color="auto" w:fill="BEBEBE"/>
                  <w:vAlign w:val="center"/>
                </w:tcPr>
                <w:p w14:paraId="161E3784">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名称</w:t>
                  </w:r>
                </w:p>
              </w:tc>
              <w:tc>
                <w:tcPr>
                  <w:tcW w:w="2167" w:type="dxa"/>
                  <w:shd w:val="clear" w:color="auto" w:fill="BEBEBE"/>
                  <w:vAlign w:val="center"/>
                </w:tcPr>
                <w:p w14:paraId="20448A36">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浓度限值（m/L）</w:t>
                  </w:r>
                </w:p>
              </w:tc>
            </w:tr>
            <w:tr w14:paraId="592C6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848" w:type="dxa"/>
                  <w:vMerge w:val="restart"/>
                  <w:vAlign w:val="center"/>
                </w:tcPr>
                <w:p w14:paraId="71B3F260">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1</w:t>
                  </w:r>
                </w:p>
              </w:tc>
              <w:tc>
                <w:tcPr>
                  <w:tcW w:w="1517" w:type="dxa"/>
                  <w:vMerge w:val="restart"/>
                  <w:vAlign w:val="center"/>
                </w:tcPr>
                <w:p w14:paraId="1F663148">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生活污水排放口</w:t>
                  </w:r>
                </w:p>
              </w:tc>
              <w:tc>
                <w:tcPr>
                  <w:tcW w:w="1517" w:type="dxa"/>
                  <w:vAlign w:val="center"/>
                </w:tcPr>
                <w:p w14:paraId="2E7D6575">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pH</w:t>
                  </w:r>
                </w:p>
              </w:tc>
              <w:tc>
                <w:tcPr>
                  <w:tcW w:w="4009" w:type="dxa"/>
                  <w:vMerge w:val="restart"/>
                  <w:vAlign w:val="center"/>
                </w:tcPr>
                <w:p w14:paraId="1BAA0C3A">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广东省地方标准《水污染物排放限值》</w:t>
                  </w:r>
                  <w:r>
                    <w:rPr>
                      <w:rFonts w:hint="eastAsia"/>
                      <w:color w:val="auto"/>
                      <w:sz w:val="21"/>
                      <w:szCs w:val="21"/>
                      <w:highlight w:val="none"/>
                      <w:lang w:eastAsia="zh-CN"/>
                    </w:rPr>
                    <w:t>（DB44/26- 2001）</w:t>
                  </w:r>
                  <w:r>
                    <w:rPr>
                      <w:rFonts w:hint="default" w:ascii="Times New Roman" w:hAnsi="Times New Roman" w:eastAsia="宋体"/>
                      <w:color w:val="auto"/>
                      <w:sz w:val="21"/>
                      <w:szCs w:val="21"/>
                      <w:highlight w:val="none"/>
                    </w:rPr>
                    <w:t>第二时段三级标准</w:t>
                  </w:r>
                </w:p>
              </w:tc>
              <w:tc>
                <w:tcPr>
                  <w:tcW w:w="2167" w:type="dxa"/>
                  <w:vAlign w:val="center"/>
                </w:tcPr>
                <w:p w14:paraId="65A3D4ED">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6~9</w:t>
                  </w:r>
                </w:p>
              </w:tc>
            </w:tr>
            <w:tr w14:paraId="2B77A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848" w:type="dxa"/>
                  <w:vMerge w:val="continue"/>
                  <w:vAlign w:val="center"/>
                </w:tcPr>
                <w:p w14:paraId="17D2990F">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1517" w:type="dxa"/>
                  <w:vMerge w:val="continue"/>
                  <w:vAlign w:val="center"/>
                </w:tcPr>
                <w:p w14:paraId="0546957E">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1517" w:type="dxa"/>
                  <w:vAlign w:val="center"/>
                </w:tcPr>
                <w:p w14:paraId="7FE1A95C">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COD</w:t>
                  </w:r>
                  <w:r>
                    <w:rPr>
                      <w:rFonts w:hint="default" w:ascii="Times New Roman" w:hAnsi="Times New Roman" w:eastAsia="宋体"/>
                      <w:color w:val="auto"/>
                      <w:sz w:val="21"/>
                      <w:szCs w:val="21"/>
                      <w:highlight w:val="none"/>
                      <w:vertAlign w:val="subscript"/>
                    </w:rPr>
                    <w:t>Cr</w:t>
                  </w:r>
                </w:p>
              </w:tc>
              <w:tc>
                <w:tcPr>
                  <w:tcW w:w="4009" w:type="dxa"/>
                  <w:vMerge w:val="continue"/>
                  <w:vAlign w:val="center"/>
                </w:tcPr>
                <w:p w14:paraId="0F2B1D2B">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2167" w:type="dxa"/>
                  <w:vAlign w:val="center"/>
                </w:tcPr>
                <w:p w14:paraId="040AC015">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≤500</w:t>
                  </w:r>
                </w:p>
              </w:tc>
            </w:tr>
            <w:tr w14:paraId="66BC4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848" w:type="dxa"/>
                  <w:vMerge w:val="continue"/>
                  <w:vAlign w:val="center"/>
                </w:tcPr>
                <w:p w14:paraId="2869F943">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1517" w:type="dxa"/>
                  <w:vMerge w:val="continue"/>
                  <w:vAlign w:val="center"/>
                </w:tcPr>
                <w:p w14:paraId="048C5AC2">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1517" w:type="dxa"/>
                  <w:vAlign w:val="center"/>
                </w:tcPr>
                <w:p w14:paraId="178268AB">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BOD</w:t>
                  </w:r>
                  <w:r>
                    <w:rPr>
                      <w:rFonts w:hint="default" w:ascii="Times New Roman" w:hAnsi="Times New Roman" w:eastAsia="宋体"/>
                      <w:color w:val="auto"/>
                      <w:sz w:val="21"/>
                      <w:szCs w:val="21"/>
                      <w:highlight w:val="none"/>
                      <w:vertAlign w:val="subscript"/>
                    </w:rPr>
                    <w:t>5</w:t>
                  </w:r>
                </w:p>
              </w:tc>
              <w:tc>
                <w:tcPr>
                  <w:tcW w:w="4009" w:type="dxa"/>
                  <w:vMerge w:val="continue"/>
                  <w:vAlign w:val="center"/>
                </w:tcPr>
                <w:p w14:paraId="00F637B3">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2167" w:type="dxa"/>
                  <w:vAlign w:val="center"/>
                </w:tcPr>
                <w:p w14:paraId="00C37DC3">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≤300</w:t>
                  </w:r>
                </w:p>
              </w:tc>
            </w:tr>
            <w:tr w14:paraId="7920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848" w:type="dxa"/>
                  <w:vMerge w:val="continue"/>
                  <w:vAlign w:val="center"/>
                </w:tcPr>
                <w:p w14:paraId="606FD520">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1517" w:type="dxa"/>
                  <w:vMerge w:val="continue"/>
                  <w:vAlign w:val="center"/>
                </w:tcPr>
                <w:p w14:paraId="3D50062A">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1517" w:type="dxa"/>
                  <w:vAlign w:val="center"/>
                </w:tcPr>
                <w:p w14:paraId="4209556B">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SS</w:t>
                  </w:r>
                </w:p>
              </w:tc>
              <w:tc>
                <w:tcPr>
                  <w:tcW w:w="4009" w:type="dxa"/>
                  <w:vMerge w:val="continue"/>
                  <w:vAlign w:val="center"/>
                </w:tcPr>
                <w:p w14:paraId="7B1ED3BE">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2167" w:type="dxa"/>
                  <w:vAlign w:val="center"/>
                </w:tcPr>
                <w:p w14:paraId="68AE131C">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≤400</w:t>
                  </w:r>
                </w:p>
              </w:tc>
            </w:tr>
            <w:tr w14:paraId="7D1A0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848" w:type="dxa"/>
                  <w:vMerge w:val="continue"/>
                  <w:vAlign w:val="center"/>
                </w:tcPr>
                <w:p w14:paraId="24C1D051">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1517" w:type="dxa"/>
                  <w:vMerge w:val="continue"/>
                  <w:vAlign w:val="center"/>
                </w:tcPr>
                <w:p w14:paraId="74E4D1B7">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1517" w:type="dxa"/>
                  <w:vAlign w:val="center"/>
                </w:tcPr>
                <w:p w14:paraId="2F789F0C">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NH</w:t>
                  </w:r>
                  <w:r>
                    <w:rPr>
                      <w:rFonts w:hint="default" w:ascii="Times New Roman" w:hAnsi="Times New Roman" w:eastAsia="宋体"/>
                      <w:color w:val="auto"/>
                      <w:sz w:val="21"/>
                      <w:szCs w:val="21"/>
                      <w:highlight w:val="none"/>
                      <w:vertAlign w:val="subscript"/>
                    </w:rPr>
                    <w:t>3</w:t>
                  </w:r>
                  <w:r>
                    <w:rPr>
                      <w:rFonts w:hint="eastAsia" w:ascii="Times New Roman" w:hAnsi="Times New Roman" w:eastAsia="宋体"/>
                      <w:color w:val="auto"/>
                      <w:sz w:val="21"/>
                      <w:szCs w:val="21"/>
                      <w:highlight w:val="none"/>
                      <w:lang w:eastAsia="zh-CN"/>
                    </w:rPr>
                    <w:t xml:space="preserve"> </w:t>
                  </w:r>
                  <w:r>
                    <w:rPr>
                      <w:rFonts w:hint="default" w:ascii="Times New Roman" w:hAnsi="Times New Roman" w:eastAsia="宋体"/>
                      <w:color w:val="auto"/>
                      <w:sz w:val="21"/>
                      <w:szCs w:val="21"/>
                      <w:highlight w:val="none"/>
                    </w:rPr>
                    <w:t>N</w:t>
                  </w:r>
                </w:p>
              </w:tc>
              <w:tc>
                <w:tcPr>
                  <w:tcW w:w="4009" w:type="dxa"/>
                  <w:vMerge w:val="continue"/>
                  <w:vAlign w:val="center"/>
                </w:tcPr>
                <w:p w14:paraId="48497333">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2167" w:type="dxa"/>
                  <w:vAlign w:val="center"/>
                </w:tcPr>
                <w:p w14:paraId="6653DCAE">
                  <w:pPr>
                    <w:keepNext w:val="0"/>
                    <w:keepLines w:val="0"/>
                    <w:suppressLineNumbers w:val="0"/>
                    <w:spacing w:before="0" w:beforeAutospacing="0" w:after="0" w:afterAutospacing="0"/>
                    <w:ind w:left="0" w:right="0"/>
                    <w:jc w:val="center"/>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lang w:eastAsia="zh-CN"/>
                    </w:rPr>
                    <w:t xml:space="preserve"> </w:t>
                  </w:r>
                </w:p>
              </w:tc>
            </w:tr>
            <w:tr w14:paraId="2D420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848" w:type="dxa"/>
                  <w:vMerge w:val="continue"/>
                  <w:vAlign w:val="center"/>
                </w:tcPr>
                <w:p w14:paraId="425D8F85">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1517" w:type="dxa"/>
                  <w:vMerge w:val="continue"/>
                  <w:vAlign w:val="center"/>
                </w:tcPr>
                <w:p w14:paraId="71645965">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1517" w:type="dxa"/>
                  <w:vAlign w:val="center"/>
                </w:tcPr>
                <w:p w14:paraId="31C67A38">
                  <w:pPr>
                    <w:keepNext w:val="0"/>
                    <w:keepLines w:val="0"/>
                    <w:suppressLineNumbers w:val="0"/>
                    <w:spacing w:before="0" w:beforeAutospacing="0" w:after="0" w:afterAutospacing="0"/>
                    <w:ind w:left="0" w:right="0"/>
                    <w:jc w:val="center"/>
                    <w:rPr>
                      <w:rFonts w:hint="eastAsia" w:ascii="Times New Roman" w:hAnsi="Times New Roman" w:eastAsia="宋体"/>
                      <w:color w:val="auto"/>
                      <w:sz w:val="21"/>
                      <w:szCs w:val="21"/>
                      <w:highlight w:val="none"/>
                      <w:lang w:eastAsia="zh-CN"/>
                    </w:rPr>
                  </w:pPr>
                  <w:r>
                    <w:rPr>
                      <w:rFonts w:hint="eastAsia"/>
                      <w:color w:val="auto"/>
                      <w:sz w:val="21"/>
                      <w:szCs w:val="21"/>
                      <w:highlight w:val="none"/>
                      <w:lang w:val="en-US" w:eastAsia="zh-CN"/>
                    </w:rPr>
                    <w:t>总磷</w:t>
                  </w:r>
                </w:p>
              </w:tc>
              <w:tc>
                <w:tcPr>
                  <w:tcW w:w="4009" w:type="dxa"/>
                  <w:vMerge w:val="continue"/>
                  <w:vAlign w:val="center"/>
                </w:tcPr>
                <w:p w14:paraId="264B7A02">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2167" w:type="dxa"/>
                  <w:vAlign w:val="center"/>
                </w:tcPr>
                <w:p w14:paraId="38945307">
                  <w:pPr>
                    <w:keepNext w:val="0"/>
                    <w:keepLines w:val="0"/>
                    <w:suppressLineNumbers w:val="0"/>
                    <w:spacing w:before="0" w:beforeAutospacing="0" w:after="0" w:afterAutospacing="0"/>
                    <w:ind w:left="0" w:right="0"/>
                    <w:jc w:val="center"/>
                    <w:rPr>
                      <w:rFonts w:hint="eastAsia" w:ascii="Times New Roman" w:hAnsi="Times New Roman" w:eastAsia="宋体"/>
                      <w:color w:val="auto"/>
                      <w:sz w:val="21"/>
                      <w:szCs w:val="21"/>
                      <w:highlight w:val="none"/>
                      <w:lang w:eastAsia="zh-CN"/>
                    </w:rPr>
                  </w:pPr>
                  <w:r>
                    <w:rPr>
                      <w:rFonts w:hint="eastAsia"/>
                      <w:color w:val="auto"/>
                      <w:sz w:val="21"/>
                      <w:szCs w:val="21"/>
                      <w:highlight w:val="none"/>
                      <w:lang w:eastAsia="zh-CN"/>
                    </w:rPr>
                    <w:t xml:space="preserve"> </w:t>
                  </w:r>
                </w:p>
              </w:tc>
            </w:tr>
          </w:tbl>
          <w:p w14:paraId="58CC0880">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sz w:val="21"/>
                <w:szCs w:val="24"/>
                <w:lang w:val="en-US" w:eastAsia="zh-CN"/>
              </w:rPr>
            </w:pPr>
            <w:r>
              <w:rPr>
                <w:rFonts w:hint="default" w:ascii="Times New Roman" w:hAnsi="Times New Roman" w:eastAsia="宋体" w:cs="Times New Roman"/>
                <w:b/>
                <w:color w:val="auto"/>
                <w:sz w:val="21"/>
                <w:szCs w:val="24"/>
                <w:lang w:val="zh-CN" w:eastAsia="zh-CN"/>
              </w:rPr>
              <w:t>废水污染物排放量信息表</w:t>
            </w:r>
            <w:r>
              <w:rPr>
                <w:rFonts w:hint="default" w:ascii="Times New Roman" w:hAnsi="Times New Roman" w:eastAsia="宋体" w:cs="Times New Roman"/>
                <w:b/>
                <w:color w:val="auto"/>
                <w:sz w:val="21"/>
                <w:szCs w:val="24"/>
                <w:lang w:val="en-US" w:eastAsia="zh-CN"/>
              </w:rPr>
              <w:t>（</w:t>
            </w:r>
            <w:r>
              <w:rPr>
                <w:rFonts w:hint="default" w:ascii="Times New Roman" w:hAnsi="Times New Roman" w:eastAsia="宋体" w:cs="Times New Roman"/>
                <w:b/>
                <w:color w:val="auto"/>
                <w:sz w:val="21"/>
                <w:szCs w:val="24"/>
                <w:lang w:val="zh-CN" w:eastAsia="zh-CN"/>
              </w:rPr>
              <w:t>新建项目</w:t>
            </w:r>
            <w:r>
              <w:rPr>
                <w:rFonts w:hint="default" w:ascii="Times New Roman" w:hAnsi="Times New Roman" w:eastAsia="宋体" w:cs="Times New Roman"/>
                <w:b/>
                <w:color w:val="auto"/>
                <w:sz w:val="21"/>
                <w:szCs w:val="24"/>
                <w:lang w:val="en-US" w:eastAsia="zh-CN"/>
              </w:rPr>
              <w:t>）</w:t>
            </w:r>
          </w:p>
          <w:tbl>
            <w:tblPr>
              <w:tblStyle w:val="48"/>
              <w:tblW w:w="101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2109"/>
              <w:gridCol w:w="2009"/>
              <w:gridCol w:w="1683"/>
              <w:gridCol w:w="1656"/>
              <w:gridCol w:w="1631"/>
            </w:tblGrid>
            <w:tr w14:paraId="059A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8" w:type="dxa"/>
                  <w:shd w:val="clear" w:color="auto" w:fill="BEBEBE"/>
                  <w:vAlign w:val="center"/>
                </w:tcPr>
                <w:p w14:paraId="266EE8D9">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序号</w:t>
                  </w:r>
                </w:p>
              </w:tc>
              <w:tc>
                <w:tcPr>
                  <w:tcW w:w="2109" w:type="dxa"/>
                  <w:shd w:val="clear" w:color="auto" w:fill="BEBEBE"/>
                  <w:vAlign w:val="center"/>
                </w:tcPr>
                <w:p w14:paraId="07E79837">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排放口编号</w:t>
                  </w:r>
                </w:p>
              </w:tc>
              <w:tc>
                <w:tcPr>
                  <w:tcW w:w="2009" w:type="dxa"/>
                  <w:shd w:val="clear" w:color="auto" w:fill="BEBEBE"/>
                  <w:vAlign w:val="center"/>
                </w:tcPr>
                <w:p w14:paraId="5AC71F1D">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污染物种类</w:t>
                  </w:r>
                </w:p>
              </w:tc>
              <w:tc>
                <w:tcPr>
                  <w:tcW w:w="1683" w:type="dxa"/>
                  <w:shd w:val="clear" w:color="auto" w:fill="BEBEBE"/>
                  <w:vAlign w:val="center"/>
                </w:tcPr>
                <w:p w14:paraId="24019106">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排放浓度/</w:t>
                  </w:r>
                </w:p>
                <w:p w14:paraId="6B2565D3">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eastAsia"/>
                      <w:b/>
                      <w:bCs/>
                      <w:color w:val="auto"/>
                      <w:sz w:val="21"/>
                      <w:szCs w:val="21"/>
                      <w:highlight w:val="none"/>
                      <w:lang w:eastAsia="zh-CN"/>
                    </w:rPr>
                    <w:t>(</w:t>
                  </w:r>
                  <w:r>
                    <w:rPr>
                      <w:rFonts w:hint="default" w:ascii="Times New Roman" w:hAnsi="Times New Roman" w:eastAsia="宋体"/>
                      <w:b/>
                      <w:bCs/>
                      <w:color w:val="auto"/>
                      <w:sz w:val="21"/>
                      <w:szCs w:val="21"/>
                      <w:highlight w:val="none"/>
                    </w:rPr>
                    <w:t>mg/L</w:t>
                  </w:r>
                  <w:r>
                    <w:rPr>
                      <w:rFonts w:hint="eastAsia"/>
                      <w:b/>
                      <w:bCs/>
                      <w:color w:val="auto"/>
                      <w:sz w:val="21"/>
                      <w:szCs w:val="21"/>
                      <w:highlight w:val="none"/>
                      <w:lang w:eastAsia="zh-CN"/>
                    </w:rPr>
                    <w:t>)</w:t>
                  </w:r>
                </w:p>
              </w:tc>
              <w:tc>
                <w:tcPr>
                  <w:tcW w:w="1656" w:type="dxa"/>
                  <w:shd w:val="clear" w:color="auto" w:fill="BEBEBE"/>
                  <w:vAlign w:val="center"/>
                </w:tcPr>
                <w:p w14:paraId="14C036E8">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日排放量/（t/d）</w:t>
                  </w:r>
                </w:p>
              </w:tc>
              <w:tc>
                <w:tcPr>
                  <w:tcW w:w="1631" w:type="dxa"/>
                  <w:shd w:val="clear" w:color="auto" w:fill="BEBEBE"/>
                  <w:vAlign w:val="center"/>
                </w:tcPr>
                <w:p w14:paraId="2D072173">
                  <w:pPr>
                    <w:keepNext w:val="0"/>
                    <w:keepLines w:val="0"/>
                    <w:suppressLineNumbers w:val="0"/>
                    <w:spacing w:before="0" w:beforeAutospacing="0" w:after="0" w:afterAutospacing="0"/>
                    <w:ind w:left="0" w:right="0"/>
                    <w:jc w:val="center"/>
                    <w:rPr>
                      <w:rFonts w:hint="default" w:ascii="Times New Roman" w:hAnsi="Times New Roman" w:eastAsia="宋体"/>
                      <w:b/>
                      <w:bCs/>
                      <w:color w:val="auto"/>
                      <w:sz w:val="21"/>
                      <w:szCs w:val="21"/>
                      <w:highlight w:val="none"/>
                    </w:rPr>
                  </w:pPr>
                  <w:r>
                    <w:rPr>
                      <w:rFonts w:hint="default" w:ascii="Times New Roman" w:hAnsi="Times New Roman" w:eastAsia="宋体"/>
                      <w:b/>
                      <w:bCs/>
                      <w:color w:val="auto"/>
                      <w:sz w:val="21"/>
                      <w:szCs w:val="21"/>
                      <w:highlight w:val="none"/>
                    </w:rPr>
                    <w:t>年排放量/（t/a）</w:t>
                  </w:r>
                </w:p>
              </w:tc>
            </w:tr>
            <w:tr w14:paraId="20EC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8" w:type="dxa"/>
                  <w:vMerge w:val="restart"/>
                  <w:vAlign w:val="center"/>
                </w:tcPr>
                <w:p w14:paraId="241B6324">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1</w:t>
                  </w:r>
                </w:p>
              </w:tc>
              <w:tc>
                <w:tcPr>
                  <w:tcW w:w="2109" w:type="dxa"/>
                  <w:vMerge w:val="restart"/>
                  <w:vAlign w:val="center"/>
                </w:tcPr>
                <w:p w14:paraId="49B71805">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生活污水排放口</w:t>
                  </w:r>
                </w:p>
              </w:tc>
              <w:tc>
                <w:tcPr>
                  <w:tcW w:w="2009" w:type="dxa"/>
                  <w:vAlign w:val="center"/>
                </w:tcPr>
                <w:p w14:paraId="10215DA6">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eastAsia"/>
                      <w:color w:val="auto"/>
                      <w:sz w:val="21"/>
                      <w:szCs w:val="21"/>
                      <w:highlight w:val="none"/>
                      <w:lang w:eastAsia="zh-CN"/>
                    </w:rPr>
                    <w:t>CODcr</w:t>
                  </w:r>
                </w:p>
              </w:tc>
              <w:tc>
                <w:tcPr>
                  <w:tcW w:w="1683" w:type="dxa"/>
                  <w:vAlign w:val="center"/>
                </w:tcPr>
                <w:p w14:paraId="6B125702">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lang w:val="en-US" w:eastAsia="zh-CN"/>
                    </w:rPr>
                  </w:pPr>
                  <w:r>
                    <w:rPr>
                      <w:rFonts w:hint="eastAsia"/>
                      <w:color w:val="auto"/>
                      <w:sz w:val="21"/>
                      <w:szCs w:val="21"/>
                      <w:highlight w:val="none"/>
                      <w:lang w:val="en-US" w:eastAsia="zh-CN"/>
                    </w:rPr>
                    <w:t>250</w:t>
                  </w:r>
                </w:p>
              </w:tc>
              <w:tc>
                <w:tcPr>
                  <w:tcW w:w="1656" w:type="dxa"/>
                  <w:vAlign w:val="center"/>
                </w:tcPr>
                <w:p w14:paraId="39A0E04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0.0056</w:t>
                  </w:r>
                </w:p>
              </w:tc>
              <w:tc>
                <w:tcPr>
                  <w:tcW w:w="1631" w:type="dxa"/>
                  <w:vAlign w:val="center"/>
                </w:tcPr>
                <w:p w14:paraId="6BC9346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1.688</w:t>
                  </w:r>
                </w:p>
              </w:tc>
            </w:tr>
            <w:tr w14:paraId="11EB3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8" w:type="dxa"/>
                  <w:vMerge w:val="continue"/>
                  <w:vAlign w:val="center"/>
                </w:tcPr>
                <w:p w14:paraId="1A8C2876">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2109" w:type="dxa"/>
                  <w:vMerge w:val="continue"/>
                  <w:vAlign w:val="center"/>
                </w:tcPr>
                <w:p w14:paraId="0DF8EA92">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2009" w:type="dxa"/>
                  <w:vAlign w:val="center"/>
                </w:tcPr>
                <w:p w14:paraId="214BA341">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BOD</w:t>
                  </w:r>
                  <w:r>
                    <w:rPr>
                      <w:rFonts w:hint="default" w:ascii="Times New Roman" w:hAnsi="Times New Roman" w:eastAsia="宋体"/>
                      <w:color w:val="auto"/>
                      <w:sz w:val="21"/>
                      <w:szCs w:val="21"/>
                      <w:highlight w:val="none"/>
                      <w:vertAlign w:val="subscript"/>
                    </w:rPr>
                    <w:t>5</w:t>
                  </w:r>
                </w:p>
              </w:tc>
              <w:tc>
                <w:tcPr>
                  <w:tcW w:w="1683" w:type="dxa"/>
                  <w:vAlign w:val="center"/>
                </w:tcPr>
                <w:p w14:paraId="6DC2C1A3">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lang w:val="en-US" w:eastAsia="zh-CN"/>
                    </w:rPr>
                  </w:pPr>
                  <w:r>
                    <w:rPr>
                      <w:rFonts w:hint="eastAsia"/>
                      <w:color w:val="auto"/>
                      <w:sz w:val="21"/>
                      <w:szCs w:val="21"/>
                      <w:highlight w:val="none"/>
                      <w:lang w:val="en-US" w:eastAsia="zh-CN"/>
                    </w:rPr>
                    <w:t>150</w:t>
                  </w:r>
                </w:p>
              </w:tc>
              <w:tc>
                <w:tcPr>
                  <w:tcW w:w="1656" w:type="dxa"/>
                  <w:vAlign w:val="center"/>
                </w:tcPr>
                <w:p w14:paraId="638B7FE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0.0034</w:t>
                  </w:r>
                </w:p>
              </w:tc>
              <w:tc>
                <w:tcPr>
                  <w:tcW w:w="1631" w:type="dxa"/>
                  <w:vAlign w:val="center"/>
                </w:tcPr>
                <w:p w14:paraId="79B78EB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1.013</w:t>
                  </w:r>
                </w:p>
              </w:tc>
            </w:tr>
            <w:tr w14:paraId="053B6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8" w:type="dxa"/>
                  <w:vMerge w:val="continue"/>
                  <w:vAlign w:val="center"/>
                </w:tcPr>
                <w:p w14:paraId="06C61559">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2109" w:type="dxa"/>
                  <w:vMerge w:val="continue"/>
                  <w:vAlign w:val="center"/>
                </w:tcPr>
                <w:p w14:paraId="322D6C93">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2009" w:type="dxa"/>
                  <w:vAlign w:val="center"/>
                </w:tcPr>
                <w:p w14:paraId="19C56B8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SS</w:t>
                  </w:r>
                </w:p>
              </w:tc>
              <w:tc>
                <w:tcPr>
                  <w:tcW w:w="1683" w:type="dxa"/>
                  <w:vAlign w:val="center"/>
                </w:tcPr>
                <w:p w14:paraId="5167587B">
                  <w:pPr>
                    <w:keepNext w:val="0"/>
                    <w:keepLines w:val="0"/>
                    <w:suppressLineNumbers w:val="0"/>
                    <w:spacing w:before="0" w:beforeAutospacing="0" w:after="0" w:afterAutospacing="0"/>
                    <w:ind w:left="0" w:leftChars="0" w:right="0" w:rightChars="0"/>
                    <w:jc w:val="center"/>
                    <w:rPr>
                      <w:rFonts w:hint="eastAsia"/>
                      <w:color w:val="auto"/>
                      <w:sz w:val="21"/>
                      <w:szCs w:val="21"/>
                      <w:highlight w:val="none"/>
                      <w:lang w:val="en-US" w:eastAsia="zh-CN"/>
                    </w:rPr>
                  </w:pPr>
                  <w:r>
                    <w:rPr>
                      <w:rFonts w:hint="eastAsia"/>
                      <w:color w:val="auto"/>
                      <w:sz w:val="21"/>
                      <w:szCs w:val="21"/>
                      <w:highlight w:val="none"/>
                      <w:lang w:val="en-US" w:eastAsia="zh-CN"/>
                    </w:rPr>
                    <w:t>200</w:t>
                  </w:r>
                </w:p>
              </w:tc>
              <w:tc>
                <w:tcPr>
                  <w:tcW w:w="1656" w:type="dxa"/>
                  <w:vAlign w:val="center"/>
                </w:tcPr>
                <w:p w14:paraId="15A766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0.0045</w:t>
                  </w:r>
                </w:p>
              </w:tc>
              <w:tc>
                <w:tcPr>
                  <w:tcW w:w="1631" w:type="dxa"/>
                  <w:vAlign w:val="center"/>
                </w:tcPr>
                <w:p w14:paraId="68B5BC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1.350</w:t>
                  </w:r>
                </w:p>
              </w:tc>
            </w:tr>
            <w:tr w14:paraId="2EE85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8" w:type="dxa"/>
                  <w:vMerge w:val="continue"/>
                  <w:vAlign w:val="center"/>
                </w:tcPr>
                <w:p w14:paraId="7FC2A488">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2109" w:type="dxa"/>
                  <w:vMerge w:val="continue"/>
                  <w:vAlign w:val="center"/>
                </w:tcPr>
                <w:p w14:paraId="782DA556">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2009" w:type="dxa"/>
                  <w:vAlign w:val="center"/>
                </w:tcPr>
                <w:p w14:paraId="0A2CC25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NH</w:t>
                  </w:r>
                  <w:r>
                    <w:rPr>
                      <w:rFonts w:hint="default" w:ascii="Times New Roman" w:hAnsi="Times New Roman" w:eastAsia="宋体"/>
                      <w:color w:val="auto"/>
                      <w:sz w:val="21"/>
                      <w:szCs w:val="21"/>
                      <w:highlight w:val="none"/>
                      <w:vertAlign w:val="subscript"/>
                    </w:rPr>
                    <w:t>3</w:t>
                  </w:r>
                  <w:r>
                    <w:rPr>
                      <w:rFonts w:hint="eastAsia" w:ascii="Times New Roman" w:hAnsi="Times New Roman" w:eastAsia="宋体"/>
                      <w:color w:val="auto"/>
                      <w:sz w:val="21"/>
                      <w:szCs w:val="21"/>
                      <w:highlight w:val="none"/>
                      <w:lang w:eastAsia="zh-CN"/>
                    </w:rPr>
                    <w:t xml:space="preserve"> </w:t>
                  </w:r>
                  <w:r>
                    <w:rPr>
                      <w:rFonts w:hint="default" w:ascii="Times New Roman" w:hAnsi="Times New Roman" w:eastAsia="宋体"/>
                      <w:color w:val="auto"/>
                      <w:sz w:val="21"/>
                      <w:szCs w:val="21"/>
                      <w:highlight w:val="none"/>
                    </w:rPr>
                    <w:t>N</w:t>
                  </w:r>
                </w:p>
              </w:tc>
              <w:tc>
                <w:tcPr>
                  <w:tcW w:w="1683" w:type="dxa"/>
                  <w:vAlign w:val="center"/>
                </w:tcPr>
                <w:p w14:paraId="72274A7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olor w:val="auto"/>
                      <w:sz w:val="21"/>
                      <w:szCs w:val="21"/>
                      <w:highlight w:val="none"/>
                      <w:lang w:val="en-US" w:eastAsia="zh-CN"/>
                    </w:rPr>
                  </w:pPr>
                  <w:r>
                    <w:rPr>
                      <w:rFonts w:hint="eastAsia"/>
                      <w:color w:val="auto"/>
                      <w:sz w:val="21"/>
                      <w:szCs w:val="21"/>
                      <w:highlight w:val="none"/>
                      <w:lang w:val="en-US" w:eastAsia="zh-CN"/>
                    </w:rPr>
                    <w:t>25</w:t>
                  </w:r>
                </w:p>
              </w:tc>
              <w:tc>
                <w:tcPr>
                  <w:tcW w:w="1656" w:type="dxa"/>
                  <w:vAlign w:val="center"/>
                </w:tcPr>
                <w:p w14:paraId="68604A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0.0006</w:t>
                  </w:r>
                </w:p>
              </w:tc>
              <w:tc>
                <w:tcPr>
                  <w:tcW w:w="1631" w:type="dxa"/>
                  <w:vAlign w:val="center"/>
                </w:tcPr>
                <w:p w14:paraId="511F0A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0.169</w:t>
                  </w:r>
                </w:p>
              </w:tc>
            </w:tr>
            <w:tr w14:paraId="7F76D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8" w:type="dxa"/>
                  <w:vMerge w:val="continue"/>
                  <w:vAlign w:val="center"/>
                </w:tcPr>
                <w:p w14:paraId="2251F28E">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2109" w:type="dxa"/>
                  <w:vMerge w:val="continue"/>
                  <w:vAlign w:val="center"/>
                </w:tcPr>
                <w:p w14:paraId="3CD304E8">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2009" w:type="dxa"/>
                  <w:vAlign w:val="center"/>
                </w:tcPr>
                <w:p w14:paraId="06701186">
                  <w:pPr>
                    <w:keepNext w:val="0"/>
                    <w:keepLines w:val="0"/>
                    <w:suppressLineNumbers w:val="0"/>
                    <w:spacing w:before="0" w:beforeAutospacing="0" w:after="0" w:afterAutospacing="0"/>
                    <w:ind w:left="0" w:right="0"/>
                    <w:jc w:val="center"/>
                    <w:rPr>
                      <w:rFonts w:hint="eastAsia" w:ascii="Times New Roman" w:hAnsi="Times New Roman" w:eastAsia="宋体"/>
                      <w:color w:val="auto"/>
                      <w:sz w:val="21"/>
                      <w:szCs w:val="21"/>
                      <w:highlight w:val="none"/>
                      <w:lang w:eastAsia="zh-CN"/>
                    </w:rPr>
                  </w:pPr>
                  <w:r>
                    <w:rPr>
                      <w:rFonts w:hint="eastAsia"/>
                      <w:color w:val="auto"/>
                      <w:sz w:val="21"/>
                      <w:szCs w:val="21"/>
                      <w:highlight w:val="none"/>
                      <w:lang w:val="en-US" w:eastAsia="zh-CN"/>
                    </w:rPr>
                    <w:t>总磷</w:t>
                  </w:r>
                </w:p>
              </w:tc>
              <w:tc>
                <w:tcPr>
                  <w:tcW w:w="1683" w:type="dxa"/>
                  <w:vAlign w:val="center"/>
                </w:tcPr>
                <w:p w14:paraId="145D01F9">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lang w:val="en-US" w:eastAsia="zh-CN"/>
                    </w:rPr>
                  </w:pPr>
                  <w:r>
                    <w:rPr>
                      <w:rFonts w:hint="eastAsia"/>
                      <w:color w:val="auto"/>
                      <w:sz w:val="21"/>
                      <w:szCs w:val="21"/>
                      <w:highlight w:val="none"/>
                      <w:lang w:val="en-US" w:eastAsia="zh-CN"/>
                    </w:rPr>
                    <w:t>4</w:t>
                  </w:r>
                </w:p>
              </w:tc>
              <w:tc>
                <w:tcPr>
                  <w:tcW w:w="1656" w:type="dxa"/>
                  <w:vAlign w:val="center"/>
                </w:tcPr>
                <w:p w14:paraId="4F215B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0.0001</w:t>
                  </w:r>
                </w:p>
              </w:tc>
              <w:tc>
                <w:tcPr>
                  <w:tcW w:w="1631" w:type="dxa"/>
                  <w:vAlign w:val="center"/>
                </w:tcPr>
                <w:p w14:paraId="4DB04C9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0.027</w:t>
                  </w:r>
                </w:p>
              </w:tc>
            </w:tr>
            <w:tr w14:paraId="313CF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97" w:type="dxa"/>
                  <w:gridSpan w:val="2"/>
                  <w:vMerge w:val="restart"/>
                  <w:vAlign w:val="center"/>
                </w:tcPr>
                <w:p w14:paraId="0D4B6875">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全厂排放口合计</w:t>
                  </w:r>
                </w:p>
              </w:tc>
              <w:tc>
                <w:tcPr>
                  <w:tcW w:w="5348" w:type="dxa"/>
                  <w:gridSpan w:val="3"/>
                  <w:vAlign w:val="center"/>
                </w:tcPr>
                <w:p w14:paraId="20F2FC30">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COD</w:t>
                  </w:r>
                  <w:r>
                    <w:rPr>
                      <w:rFonts w:hint="default" w:ascii="Times New Roman" w:hAnsi="Times New Roman" w:eastAsia="宋体"/>
                      <w:color w:val="auto"/>
                      <w:sz w:val="21"/>
                      <w:szCs w:val="21"/>
                      <w:highlight w:val="none"/>
                      <w:vertAlign w:val="subscript"/>
                    </w:rPr>
                    <w:t>Cr</w:t>
                  </w:r>
                </w:p>
              </w:tc>
              <w:tc>
                <w:tcPr>
                  <w:tcW w:w="1631" w:type="dxa"/>
                  <w:vAlign w:val="center"/>
                </w:tcPr>
                <w:p w14:paraId="24C193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1.688</w:t>
                  </w:r>
                </w:p>
              </w:tc>
            </w:tr>
            <w:tr w14:paraId="6BC34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97" w:type="dxa"/>
                  <w:gridSpan w:val="2"/>
                  <w:vMerge w:val="continue"/>
                  <w:vAlign w:val="center"/>
                </w:tcPr>
                <w:p w14:paraId="0AE8D26B">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5348" w:type="dxa"/>
                  <w:gridSpan w:val="3"/>
                  <w:vAlign w:val="center"/>
                </w:tcPr>
                <w:p w14:paraId="20DD0D3E">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BOD</w:t>
                  </w:r>
                  <w:r>
                    <w:rPr>
                      <w:rFonts w:hint="default" w:ascii="Times New Roman" w:hAnsi="Times New Roman" w:eastAsia="宋体"/>
                      <w:color w:val="auto"/>
                      <w:sz w:val="21"/>
                      <w:szCs w:val="21"/>
                      <w:highlight w:val="none"/>
                      <w:vertAlign w:val="subscript"/>
                    </w:rPr>
                    <w:t>5</w:t>
                  </w:r>
                </w:p>
              </w:tc>
              <w:tc>
                <w:tcPr>
                  <w:tcW w:w="1631" w:type="dxa"/>
                  <w:vAlign w:val="center"/>
                </w:tcPr>
                <w:p w14:paraId="5B51CA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1.013</w:t>
                  </w:r>
                </w:p>
              </w:tc>
            </w:tr>
            <w:tr w14:paraId="7F3F6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97" w:type="dxa"/>
                  <w:gridSpan w:val="2"/>
                  <w:vMerge w:val="continue"/>
                  <w:vAlign w:val="center"/>
                </w:tcPr>
                <w:p w14:paraId="3E3BB5FE">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5348" w:type="dxa"/>
                  <w:gridSpan w:val="3"/>
                  <w:vAlign w:val="center"/>
                </w:tcPr>
                <w:p w14:paraId="43F0060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SS</w:t>
                  </w:r>
                </w:p>
              </w:tc>
              <w:tc>
                <w:tcPr>
                  <w:tcW w:w="1631" w:type="dxa"/>
                  <w:vAlign w:val="center"/>
                </w:tcPr>
                <w:p w14:paraId="4A5CFB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1.350</w:t>
                  </w:r>
                </w:p>
              </w:tc>
            </w:tr>
            <w:tr w14:paraId="6A430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97" w:type="dxa"/>
                  <w:gridSpan w:val="2"/>
                  <w:vMerge w:val="continue"/>
                  <w:vAlign w:val="center"/>
                </w:tcPr>
                <w:p w14:paraId="375588DB">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5348" w:type="dxa"/>
                  <w:gridSpan w:val="3"/>
                  <w:vAlign w:val="center"/>
                </w:tcPr>
                <w:p w14:paraId="13C1B24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NH</w:t>
                  </w:r>
                  <w:r>
                    <w:rPr>
                      <w:rFonts w:hint="default" w:ascii="Times New Roman" w:hAnsi="Times New Roman" w:eastAsia="宋体"/>
                      <w:color w:val="auto"/>
                      <w:sz w:val="21"/>
                      <w:szCs w:val="21"/>
                      <w:highlight w:val="none"/>
                      <w:vertAlign w:val="subscript"/>
                    </w:rPr>
                    <w:t>3</w:t>
                  </w:r>
                  <w:r>
                    <w:rPr>
                      <w:rFonts w:hint="eastAsia" w:ascii="Times New Roman" w:hAnsi="Times New Roman" w:eastAsia="宋体"/>
                      <w:color w:val="auto"/>
                      <w:sz w:val="21"/>
                      <w:szCs w:val="21"/>
                      <w:highlight w:val="none"/>
                      <w:lang w:eastAsia="zh-CN"/>
                    </w:rPr>
                    <w:t xml:space="preserve"> </w:t>
                  </w:r>
                  <w:r>
                    <w:rPr>
                      <w:rFonts w:hint="default" w:ascii="Times New Roman" w:hAnsi="Times New Roman" w:eastAsia="宋体"/>
                      <w:color w:val="auto"/>
                      <w:sz w:val="21"/>
                      <w:szCs w:val="21"/>
                      <w:highlight w:val="none"/>
                    </w:rPr>
                    <w:t>N</w:t>
                  </w:r>
                </w:p>
              </w:tc>
              <w:tc>
                <w:tcPr>
                  <w:tcW w:w="1631" w:type="dxa"/>
                  <w:vAlign w:val="center"/>
                </w:tcPr>
                <w:p w14:paraId="08E23CC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0.169</w:t>
                  </w:r>
                </w:p>
              </w:tc>
            </w:tr>
            <w:tr w14:paraId="1E9D5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97" w:type="dxa"/>
                  <w:gridSpan w:val="2"/>
                  <w:vMerge w:val="continue"/>
                  <w:vAlign w:val="center"/>
                </w:tcPr>
                <w:p w14:paraId="28294EA2">
                  <w:pPr>
                    <w:keepNext w:val="0"/>
                    <w:keepLines w:val="0"/>
                    <w:suppressLineNumbers w:val="0"/>
                    <w:spacing w:before="0" w:beforeAutospacing="0" w:after="0" w:afterAutospacing="0"/>
                    <w:ind w:left="0" w:right="0"/>
                    <w:jc w:val="center"/>
                    <w:rPr>
                      <w:rFonts w:hint="default" w:ascii="Times New Roman" w:hAnsi="Times New Roman" w:eastAsia="宋体"/>
                      <w:color w:val="auto"/>
                      <w:sz w:val="21"/>
                      <w:szCs w:val="21"/>
                      <w:highlight w:val="none"/>
                    </w:rPr>
                  </w:pPr>
                </w:p>
              </w:tc>
              <w:tc>
                <w:tcPr>
                  <w:tcW w:w="5348" w:type="dxa"/>
                  <w:gridSpan w:val="3"/>
                  <w:vAlign w:val="center"/>
                </w:tcPr>
                <w:p w14:paraId="53BA6FCC">
                  <w:pPr>
                    <w:keepNext w:val="0"/>
                    <w:keepLines w:val="0"/>
                    <w:suppressLineNumbers w:val="0"/>
                    <w:spacing w:before="0" w:beforeAutospacing="0" w:after="0" w:afterAutospacing="0"/>
                    <w:ind w:left="0" w:right="0"/>
                    <w:jc w:val="center"/>
                    <w:rPr>
                      <w:rFonts w:hint="eastAsia" w:ascii="Times New Roman" w:hAnsi="Times New Roman" w:eastAsia="宋体"/>
                      <w:color w:val="auto"/>
                      <w:sz w:val="21"/>
                      <w:szCs w:val="21"/>
                      <w:highlight w:val="none"/>
                      <w:lang w:eastAsia="zh-CN"/>
                    </w:rPr>
                  </w:pPr>
                  <w:r>
                    <w:rPr>
                      <w:rFonts w:hint="eastAsia"/>
                      <w:color w:val="auto"/>
                      <w:sz w:val="21"/>
                      <w:szCs w:val="21"/>
                      <w:highlight w:val="none"/>
                      <w:lang w:val="en-US" w:eastAsia="zh-CN"/>
                    </w:rPr>
                    <w:t>总磷</w:t>
                  </w:r>
                </w:p>
              </w:tc>
              <w:tc>
                <w:tcPr>
                  <w:tcW w:w="1631" w:type="dxa"/>
                  <w:shd w:val="clear" w:color="auto" w:fill="auto"/>
                  <w:vAlign w:val="center"/>
                </w:tcPr>
                <w:p w14:paraId="325FC1D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0.027</w:t>
                  </w:r>
                </w:p>
              </w:tc>
            </w:tr>
          </w:tbl>
          <w:p w14:paraId="66230641">
            <w:pPr>
              <w:keepNext w:val="0"/>
              <w:keepLines w:val="0"/>
              <w:suppressLineNumbers w:val="0"/>
              <w:adjustRightInd w:val="0"/>
              <w:snapToGrid w:val="0"/>
              <w:spacing w:before="0" w:beforeAutospacing="0" w:after="0" w:afterAutospacing="0" w:line="360" w:lineRule="auto"/>
              <w:ind w:left="0" w:right="0" w:firstLine="442"/>
              <w:rPr>
                <w:rFonts w:hint="default" w:ascii="Times New Roman" w:hAnsi="Times New Roman" w:eastAsia="宋体"/>
                <w:color w:val="auto"/>
                <w:sz w:val="21"/>
                <w:highlight w:val="none"/>
              </w:rPr>
            </w:pPr>
            <w:r>
              <w:rPr>
                <w:rFonts w:hint="default" w:ascii="Times New Roman" w:hAnsi="Times New Roman" w:eastAsia="宋体"/>
                <w:b/>
                <w:bCs/>
                <w:color w:val="auto"/>
                <w:spacing w:val="-10"/>
                <w:sz w:val="21"/>
                <w:highlight w:val="none"/>
              </w:rPr>
              <w:t>三、噪声</w:t>
            </w:r>
          </w:p>
          <w:p w14:paraId="6D73672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var(--dsw-font-markdown-h3)"/>
                <w:b w:val="0"/>
                <w:bCs w:val="0"/>
                <w:color w:val="auto"/>
                <w:sz w:val="21"/>
              </w:rPr>
            </w:pPr>
            <w:bookmarkStart w:id="56" w:name="_Toc15536"/>
            <w:bookmarkStart w:id="57" w:name="_Toc24186"/>
            <w:r>
              <w:rPr>
                <w:rFonts w:hint="default" w:ascii="Times New Roman" w:hAnsi="Times New Roman" w:eastAsia="宋体" w:cs="var(--dsw-font-markdown-h3)"/>
                <w:b w:val="0"/>
                <w:bCs w:val="0"/>
                <w:i w:val="0"/>
                <w:iCs w:val="0"/>
                <w:caps w:val="0"/>
                <w:color w:val="auto"/>
                <w:spacing w:val="0"/>
                <w:sz w:val="21"/>
                <w:shd w:val="clear" w:fill="FFFFFF"/>
              </w:rPr>
              <w:t>1、噪声源强分析</w:t>
            </w:r>
            <w:bookmarkEnd w:id="56"/>
            <w:bookmarkEnd w:id="57"/>
          </w:p>
          <w:p w14:paraId="15A66F62">
            <w:pPr>
              <w:pStyle w:val="9"/>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Times New Roman" w:hAnsi="Times New Roman" w:eastAsia="宋体"/>
                <w:b w:val="0"/>
                <w:bCs w:val="0"/>
                <w:color w:val="auto"/>
                <w:sz w:val="21"/>
                <w:highlight w:val="none"/>
                <w:lang w:eastAsia="zh-CN"/>
              </w:rPr>
            </w:pPr>
            <w:r>
              <w:rPr>
                <w:rFonts w:hint="default" w:ascii="Times New Roman" w:hAnsi="Times New Roman" w:eastAsia="宋体" w:cs="var(--dsw-font-markdown-base)"/>
                <w:b w:val="0"/>
                <w:bCs w:val="0"/>
                <w:i w:val="0"/>
                <w:iCs w:val="0"/>
                <w:caps w:val="0"/>
                <w:color w:val="auto"/>
                <w:spacing w:val="0"/>
                <w:sz w:val="21"/>
                <w:szCs w:val="21"/>
                <w:shd w:val="clear" w:fill="FFFFFF"/>
              </w:rPr>
              <w:t>本项目运营期噪声主要来源于发泡机、裁断机、针车、定型机、拉帮机、锤平机、压底机、空压机、风机等生产设备及辅助设备运行时产生的机械噪声，以及原材料和成品运输过程中产生的交通噪声。根据同行业类比调查分析，本项目主要设备噪声源强约为65~90dB(A)</w:t>
            </w:r>
            <w:r>
              <w:rPr>
                <w:rFonts w:hint="eastAsia" w:cs="var(--dsw-font-xxxs-strong-11)"/>
                <w:b w:val="0"/>
                <w:bCs w:val="0"/>
                <w:i w:val="0"/>
                <w:iCs w:val="0"/>
                <w:caps w:val="0"/>
                <w:color w:val="auto"/>
                <w:spacing w:val="0"/>
                <w:sz w:val="21"/>
                <w:szCs w:val="21"/>
                <w:shd w:val="clear" w:fill="FFFFFF"/>
                <w:lang w:eastAsia="zh-CN"/>
              </w:rPr>
              <w:t xml:space="preserve"> </w:t>
            </w:r>
          </w:p>
          <w:p w14:paraId="53F86152">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sz w:val="21"/>
                <w:szCs w:val="24"/>
                <w:lang w:val="zh-CN" w:eastAsia="zh-CN"/>
              </w:rPr>
            </w:pPr>
            <w:r>
              <w:rPr>
                <w:rFonts w:hint="default" w:ascii="Times New Roman" w:hAnsi="Times New Roman" w:eastAsia="宋体" w:cs="Times New Roman"/>
                <w:b/>
                <w:color w:val="auto"/>
                <w:sz w:val="21"/>
                <w:szCs w:val="24"/>
                <w:lang w:val="zh-CN" w:eastAsia="zh-CN"/>
              </w:rPr>
              <w:t>本项目噪声源情况一览表（1m处）</w:t>
            </w:r>
          </w:p>
          <w:tbl>
            <w:tblPr>
              <w:tblStyle w:val="48"/>
              <w:tblW w:w="96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2181"/>
              <w:gridCol w:w="1226"/>
              <w:gridCol w:w="1134"/>
              <w:gridCol w:w="1244"/>
              <w:gridCol w:w="3069"/>
            </w:tblGrid>
            <w:tr w14:paraId="1C01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4" w:type="dxa"/>
                  <w:vAlign w:val="center"/>
                </w:tcPr>
                <w:p w14:paraId="7ABA63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h"/>
                      <w:b/>
                      <w:bCs/>
                      <w:color w:val="auto"/>
                      <w:kern w:val="0"/>
                      <w:sz w:val="21"/>
                      <w:szCs w:val="24"/>
                      <w:lang w:val="en-US" w:eastAsia="zh-CN" w:bidi="ar"/>
                    </w:rPr>
                    <w:t>序号</w:t>
                  </w:r>
                </w:p>
              </w:tc>
              <w:tc>
                <w:tcPr>
                  <w:tcW w:w="2181" w:type="dxa"/>
                  <w:vAlign w:val="center"/>
                </w:tcPr>
                <w:p w14:paraId="5B9B2C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h"/>
                      <w:b/>
                      <w:bCs/>
                      <w:color w:val="auto"/>
                      <w:kern w:val="0"/>
                      <w:sz w:val="21"/>
                      <w:szCs w:val="24"/>
                      <w:lang w:val="en-US" w:eastAsia="zh-CN" w:bidi="ar"/>
                    </w:rPr>
                    <w:t>设备名称</w:t>
                  </w:r>
                </w:p>
              </w:tc>
              <w:tc>
                <w:tcPr>
                  <w:tcW w:w="1226" w:type="dxa"/>
                  <w:vAlign w:val="center"/>
                </w:tcPr>
                <w:p w14:paraId="6B00E5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h"/>
                      <w:b/>
                      <w:bCs/>
                      <w:color w:val="auto"/>
                      <w:kern w:val="0"/>
                      <w:sz w:val="21"/>
                      <w:szCs w:val="24"/>
                      <w:lang w:val="en-US" w:eastAsia="zh-CN" w:bidi="ar"/>
                    </w:rPr>
                    <w:t>数量（台/套）</w:t>
                  </w:r>
                </w:p>
              </w:tc>
              <w:tc>
                <w:tcPr>
                  <w:tcW w:w="1134" w:type="dxa"/>
                  <w:vAlign w:val="center"/>
                </w:tcPr>
                <w:p w14:paraId="1C6EDF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h"/>
                      <w:b/>
                      <w:bCs/>
                      <w:color w:val="auto"/>
                      <w:kern w:val="0"/>
                      <w:sz w:val="21"/>
                      <w:szCs w:val="24"/>
                      <w:lang w:val="en-US" w:eastAsia="zh-CN" w:bidi="ar"/>
                    </w:rPr>
                    <w:t>单台设备噪声源强dB(A)</w:t>
                  </w:r>
                </w:p>
              </w:tc>
              <w:tc>
                <w:tcPr>
                  <w:tcW w:w="1244" w:type="dxa"/>
                  <w:vAlign w:val="center"/>
                </w:tcPr>
                <w:p w14:paraId="648A3E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h"/>
                      <w:b/>
                      <w:bCs/>
                      <w:color w:val="auto"/>
                      <w:kern w:val="0"/>
                      <w:sz w:val="21"/>
                      <w:szCs w:val="24"/>
                      <w:lang w:val="en-US" w:eastAsia="zh-CN" w:bidi="ar"/>
                    </w:rPr>
                    <w:t>声源类型</w:t>
                  </w:r>
                </w:p>
              </w:tc>
              <w:tc>
                <w:tcPr>
                  <w:tcW w:w="3069" w:type="dxa"/>
                  <w:vAlign w:val="center"/>
                </w:tcPr>
                <w:p w14:paraId="269778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h"/>
                      <w:b/>
                      <w:bCs/>
                      <w:color w:val="auto"/>
                      <w:kern w:val="0"/>
                      <w:sz w:val="21"/>
                      <w:szCs w:val="24"/>
                      <w:lang w:val="en-US" w:eastAsia="zh-CN" w:bidi="ar"/>
                    </w:rPr>
                    <w:t>所在位置</w:t>
                  </w:r>
                </w:p>
              </w:tc>
            </w:tr>
            <w:tr w14:paraId="7F8DC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7DDEB32C">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60EA9D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拌料机</w:t>
                  </w:r>
                </w:p>
              </w:tc>
              <w:tc>
                <w:tcPr>
                  <w:tcW w:w="1226" w:type="dxa"/>
                  <w:vAlign w:val="center"/>
                </w:tcPr>
                <w:p w14:paraId="40CF43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2台</w:t>
                  </w:r>
                </w:p>
              </w:tc>
              <w:tc>
                <w:tcPr>
                  <w:tcW w:w="1134" w:type="dxa"/>
                  <w:vAlign w:val="center"/>
                </w:tcPr>
                <w:p w14:paraId="507488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75</w:t>
                  </w:r>
                </w:p>
              </w:tc>
              <w:tc>
                <w:tcPr>
                  <w:tcW w:w="1244" w:type="dxa"/>
                  <w:vAlign w:val="center"/>
                </w:tcPr>
                <w:p w14:paraId="585738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0B9D2E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2#厂房2层（室内）</w:t>
                  </w:r>
                </w:p>
              </w:tc>
            </w:tr>
            <w:tr w14:paraId="459F3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15585CD8">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065EB9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EVA发泡机</w:t>
                  </w:r>
                </w:p>
              </w:tc>
              <w:tc>
                <w:tcPr>
                  <w:tcW w:w="1226" w:type="dxa"/>
                  <w:vAlign w:val="center"/>
                </w:tcPr>
                <w:p w14:paraId="53F178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5台</w:t>
                  </w:r>
                </w:p>
              </w:tc>
              <w:tc>
                <w:tcPr>
                  <w:tcW w:w="1134" w:type="dxa"/>
                  <w:vAlign w:val="center"/>
                </w:tcPr>
                <w:p w14:paraId="7F6EC5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75</w:t>
                  </w:r>
                </w:p>
              </w:tc>
              <w:tc>
                <w:tcPr>
                  <w:tcW w:w="1244" w:type="dxa"/>
                  <w:vAlign w:val="center"/>
                </w:tcPr>
                <w:p w14:paraId="600379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39D151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2#厂房2层（室内）</w:t>
                  </w:r>
                </w:p>
              </w:tc>
            </w:tr>
            <w:tr w14:paraId="2F093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628E62E3">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0B7487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打粗机</w:t>
                  </w:r>
                </w:p>
              </w:tc>
              <w:tc>
                <w:tcPr>
                  <w:tcW w:w="1226" w:type="dxa"/>
                  <w:vAlign w:val="center"/>
                </w:tcPr>
                <w:p w14:paraId="1090DE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eastAsia" w:cs="var(--dsw-font-markdown-table)"/>
                      <w:kern w:val="0"/>
                      <w:sz w:val="21"/>
                      <w:szCs w:val="24"/>
                      <w:lang w:val="en-US" w:eastAsia="zh-CN" w:bidi="ar"/>
                    </w:rPr>
                    <w:t>16</w:t>
                  </w:r>
                  <w:r>
                    <w:rPr>
                      <w:rFonts w:hint="default" w:ascii="Times New Roman" w:hAnsi="Times New Roman" w:eastAsia="宋体" w:cs="var(--dsw-font-markdown-table)"/>
                      <w:kern w:val="0"/>
                      <w:sz w:val="21"/>
                      <w:szCs w:val="24"/>
                      <w:lang w:val="en-US" w:eastAsia="zh-CN" w:bidi="ar"/>
                    </w:rPr>
                    <w:t>台</w:t>
                  </w:r>
                </w:p>
              </w:tc>
              <w:tc>
                <w:tcPr>
                  <w:tcW w:w="1134" w:type="dxa"/>
                  <w:vAlign w:val="center"/>
                </w:tcPr>
                <w:p w14:paraId="20C70B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75</w:t>
                  </w:r>
                </w:p>
              </w:tc>
              <w:tc>
                <w:tcPr>
                  <w:tcW w:w="1244" w:type="dxa"/>
                  <w:vAlign w:val="center"/>
                </w:tcPr>
                <w:p w14:paraId="0F07FF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40E1BC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2#厂房2层、1#/2#厂房4层（室内）</w:t>
                  </w:r>
                </w:p>
              </w:tc>
            </w:tr>
            <w:tr w14:paraId="09E73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64" w:type="dxa"/>
                  <w:vAlign w:val="center"/>
                </w:tcPr>
                <w:p w14:paraId="10690826">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286A4A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冷水机</w:t>
                  </w:r>
                </w:p>
              </w:tc>
              <w:tc>
                <w:tcPr>
                  <w:tcW w:w="1226" w:type="dxa"/>
                  <w:vAlign w:val="center"/>
                </w:tcPr>
                <w:p w14:paraId="10C1D9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1台</w:t>
                  </w:r>
                </w:p>
              </w:tc>
              <w:tc>
                <w:tcPr>
                  <w:tcW w:w="1134" w:type="dxa"/>
                  <w:vAlign w:val="center"/>
                </w:tcPr>
                <w:p w14:paraId="77B752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80</w:t>
                  </w:r>
                </w:p>
              </w:tc>
              <w:tc>
                <w:tcPr>
                  <w:tcW w:w="1244" w:type="dxa"/>
                  <w:vAlign w:val="center"/>
                </w:tcPr>
                <w:p w14:paraId="4ED657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0FD8C4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2#厂房2层（室内）</w:t>
                  </w:r>
                </w:p>
              </w:tc>
            </w:tr>
            <w:tr w14:paraId="689A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073262CF">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330565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裁断机</w:t>
                  </w:r>
                </w:p>
              </w:tc>
              <w:tc>
                <w:tcPr>
                  <w:tcW w:w="1226" w:type="dxa"/>
                  <w:vAlign w:val="center"/>
                </w:tcPr>
                <w:p w14:paraId="710D48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30台</w:t>
                  </w:r>
                </w:p>
              </w:tc>
              <w:tc>
                <w:tcPr>
                  <w:tcW w:w="1134" w:type="dxa"/>
                  <w:vAlign w:val="center"/>
                </w:tcPr>
                <w:p w14:paraId="259C2E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75</w:t>
                  </w:r>
                </w:p>
              </w:tc>
              <w:tc>
                <w:tcPr>
                  <w:tcW w:w="1244" w:type="dxa"/>
                  <w:vAlign w:val="center"/>
                </w:tcPr>
                <w:p w14:paraId="73B003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4287A3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1#/2#厂房1层（室内）</w:t>
                  </w:r>
                </w:p>
              </w:tc>
            </w:tr>
            <w:tr w14:paraId="5F374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0832F1C0">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25710C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全自动震动刀切割机</w:t>
                  </w:r>
                </w:p>
              </w:tc>
              <w:tc>
                <w:tcPr>
                  <w:tcW w:w="1226" w:type="dxa"/>
                  <w:vAlign w:val="center"/>
                </w:tcPr>
                <w:p w14:paraId="7D0B65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10台</w:t>
                  </w:r>
                </w:p>
              </w:tc>
              <w:tc>
                <w:tcPr>
                  <w:tcW w:w="1134" w:type="dxa"/>
                  <w:vAlign w:val="center"/>
                </w:tcPr>
                <w:p w14:paraId="39327C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75</w:t>
                  </w:r>
                </w:p>
              </w:tc>
              <w:tc>
                <w:tcPr>
                  <w:tcW w:w="1244" w:type="dxa"/>
                  <w:vAlign w:val="center"/>
                </w:tcPr>
                <w:p w14:paraId="60E1DD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53EA51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1#/2#厂房1层（室内）</w:t>
                  </w:r>
                </w:p>
              </w:tc>
            </w:tr>
            <w:tr w14:paraId="4E018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65A5A203">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1E4538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激光切割机</w:t>
                  </w:r>
                </w:p>
              </w:tc>
              <w:tc>
                <w:tcPr>
                  <w:tcW w:w="1226" w:type="dxa"/>
                  <w:vAlign w:val="center"/>
                </w:tcPr>
                <w:p w14:paraId="6099AB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20台</w:t>
                  </w:r>
                </w:p>
              </w:tc>
              <w:tc>
                <w:tcPr>
                  <w:tcW w:w="1134" w:type="dxa"/>
                  <w:vAlign w:val="center"/>
                </w:tcPr>
                <w:p w14:paraId="025971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75</w:t>
                  </w:r>
                </w:p>
              </w:tc>
              <w:tc>
                <w:tcPr>
                  <w:tcW w:w="1244" w:type="dxa"/>
                  <w:vAlign w:val="center"/>
                </w:tcPr>
                <w:p w14:paraId="3C74DE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6A7964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2#厂房6层（室内）</w:t>
                  </w:r>
                </w:p>
              </w:tc>
            </w:tr>
            <w:tr w14:paraId="5D381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2C6ED23D">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328437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自动剪线针车</w:t>
                  </w:r>
                </w:p>
              </w:tc>
              <w:tc>
                <w:tcPr>
                  <w:tcW w:w="1226" w:type="dxa"/>
                  <w:vAlign w:val="center"/>
                </w:tcPr>
                <w:p w14:paraId="154716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100台</w:t>
                  </w:r>
                </w:p>
              </w:tc>
              <w:tc>
                <w:tcPr>
                  <w:tcW w:w="1134" w:type="dxa"/>
                  <w:vAlign w:val="center"/>
                </w:tcPr>
                <w:p w14:paraId="633C6D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68</w:t>
                  </w:r>
                </w:p>
              </w:tc>
              <w:tc>
                <w:tcPr>
                  <w:tcW w:w="1244" w:type="dxa"/>
                  <w:vAlign w:val="center"/>
                </w:tcPr>
                <w:p w14:paraId="203C76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4A8EA4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2#厂房5层（室内）</w:t>
                  </w:r>
                </w:p>
              </w:tc>
            </w:tr>
            <w:tr w14:paraId="2A20F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4B15EDA6">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234AC6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自动花样机</w:t>
                  </w:r>
                </w:p>
              </w:tc>
              <w:tc>
                <w:tcPr>
                  <w:tcW w:w="1226" w:type="dxa"/>
                  <w:vAlign w:val="center"/>
                </w:tcPr>
                <w:p w14:paraId="06B2F9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8台</w:t>
                  </w:r>
                </w:p>
              </w:tc>
              <w:tc>
                <w:tcPr>
                  <w:tcW w:w="1134" w:type="dxa"/>
                  <w:vAlign w:val="center"/>
                </w:tcPr>
                <w:p w14:paraId="1B2292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65</w:t>
                  </w:r>
                </w:p>
              </w:tc>
              <w:tc>
                <w:tcPr>
                  <w:tcW w:w="1244" w:type="dxa"/>
                  <w:vAlign w:val="center"/>
                </w:tcPr>
                <w:p w14:paraId="184EF1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279214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2#厂房5层（室内）</w:t>
                  </w:r>
                </w:p>
              </w:tc>
            </w:tr>
            <w:tr w14:paraId="2860E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1E4FF063">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2181" w:type="dxa"/>
                  <w:vAlign w:val="center"/>
                </w:tcPr>
                <w:p w14:paraId="352183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包边车</w:t>
                  </w:r>
                </w:p>
              </w:tc>
              <w:tc>
                <w:tcPr>
                  <w:tcW w:w="1226" w:type="dxa"/>
                  <w:vAlign w:val="center"/>
                </w:tcPr>
                <w:p w14:paraId="761E3A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20台</w:t>
                  </w:r>
                </w:p>
              </w:tc>
              <w:tc>
                <w:tcPr>
                  <w:tcW w:w="1134" w:type="dxa"/>
                  <w:vAlign w:val="center"/>
                </w:tcPr>
                <w:p w14:paraId="75DE2D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68</w:t>
                  </w:r>
                </w:p>
              </w:tc>
              <w:tc>
                <w:tcPr>
                  <w:tcW w:w="1244" w:type="dxa"/>
                  <w:vAlign w:val="center"/>
                </w:tcPr>
                <w:p w14:paraId="3D3DDA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3FED3A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2#厂房5层（室内）</w:t>
                  </w:r>
                </w:p>
              </w:tc>
            </w:tr>
            <w:tr w14:paraId="50658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60433FC1">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2181" w:type="dxa"/>
                  <w:vAlign w:val="center"/>
                </w:tcPr>
                <w:p w14:paraId="4EE63C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四针六线机</w:t>
                  </w:r>
                </w:p>
              </w:tc>
              <w:tc>
                <w:tcPr>
                  <w:tcW w:w="1226" w:type="dxa"/>
                  <w:vAlign w:val="center"/>
                </w:tcPr>
                <w:p w14:paraId="294037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15台</w:t>
                  </w:r>
                </w:p>
              </w:tc>
              <w:tc>
                <w:tcPr>
                  <w:tcW w:w="1134" w:type="dxa"/>
                  <w:vAlign w:val="center"/>
                </w:tcPr>
                <w:p w14:paraId="29D8E7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68</w:t>
                  </w:r>
                </w:p>
              </w:tc>
              <w:tc>
                <w:tcPr>
                  <w:tcW w:w="1244" w:type="dxa"/>
                  <w:vAlign w:val="center"/>
                </w:tcPr>
                <w:p w14:paraId="1A6088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3E8F33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2#厂房5层（室内）</w:t>
                  </w:r>
                </w:p>
              </w:tc>
            </w:tr>
            <w:tr w14:paraId="38B52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50F64A7F">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2181" w:type="dxa"/>
                  <w:vAlign w:val="center"/>
                </w:tcPr>
                <w:p w14:paraId="22D431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人字车</w:t>
                  </w:r>
                </w:p>
              </w:tc>
              <w:tc>
                <w:tcPr>
                  <w:tcW w:w="1226" w:type="dxa"/>
                  <w:vAlign w:val="center"/>
                </w:tcPr>
                <w:p w14:paraId="6FE004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50台</w:t>
                  </w:r>
                </w:p>
              </w:tc>
              <w:tc>
                <w:tcPr>
                  <w:tcW w:w="1134" w:type="dxa"/>
                  <w:vAlign w:val="center"/>
                </w:tcPr>
                <w:p w14:paraId="33233A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68</w:t>
                  </w:r>
                </w:p>
              </w:tc>
              <w:tc>
                <w:tcPr>
                  <w:tcW w:w="1244" w:type="dxa"/>
                  <w:vAlign w:val="center"/>
                </w:tcPr>
                <w:p w14:paraId="0E4878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46C3FD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2#厂房5层（室内）</w:t>
                  </w:r>
                </w:p>
              </w:tc>
            </w:tr>
            <w:tr w14:paraId="541FE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3DFFEE83">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2181" w:type="dxa"/>
                  <w:vAlign w:val="center"/>
                </w:tcPr>
                <w:p w14:paraId="2B9796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熔断机</w:t>
                  </w:r>
                </w:p>
              </w:tc>
              <w:tc>
                <w:tcPr>
                  <w:tcW w:w="1226" w:type="dxa"/>
                  <w:vAlign w:val="center"/>
                </w:tcPr>
                <w:p w14:paraId="760694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200台</w:t>
                  </w:r>
                </w:p>
              </w:tc>
              <w:tc>
                <w:tcPr>
                  <w:tcW w:w="1134" w:type="dxa"/>
                  <w:vAlign w:val="center"/>
                </w:tcPr>
                <w:p w14:paraId="24B151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75</w:t>
                  </w:r>
                </w:p>
              </w:tc>
              <w:tc>
                <w:tcPr>
                  <w:tcW w:w="1244" w:type="dxa"/>
                  <w:vAlign w:val="center"/>
                </w:tcPr>
                <w:p w14:paraId="403401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604741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2#厂房6层（室内）</w:t>
                  </w:r>
                </w:p>
              </w:tc>
            </w:tr>
            <w:tr w14:paraId="6B440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3615B918">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2181" w:type="dxa"/>
                  <w:vAlign w:val="center"/>
                </w:tcPr>
                <w:p w14:paraId="7438AD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高周波</w:t>
                  </w:r>
                </w:p>
              </w:tc>
              <w:tc>
                <w:tcPr>
                  <w:tcW w:w="1226" w:type="dxa"/>
                  <w:vAlign w:val="center"/>
                </w:tcPr>
                <w:p w14:paraId="4E11DD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15台</w:t>
                  </w:r>
                </w:p>
              </w:tc>
              <w:tc>
                <w:tcPr>
                  <w:tcW w:w="1134" w:type="dxa"/>
                  <w:vAlign w:val="center"/>
                </w:tcPr>
                <w:p w14:paraId="6B1921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75</w:t>
                  </w:r>
                </w:p>
              </w:tc>
              <w:tc>
                <w:tcPr>
                  <w:tcW w:w="1244" w:type="dxa"/>
                  <w:vAlign w:val="center"/>
                </w:tcPr>
                <w:p w14:paraId="0D0715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7AA401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2#厂房6层（室内）</w:t>
                  </w:r>
                </w:p>
              </w:tc>
            </w:tr>
            <w:tr w14:paraId="69FFD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748F1809">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2181" w:type="dxa"/>
                  <w:vAlign w:val="center"/>
                </w:tcPr>
                <w:p w14:paraId="22764C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削皮机</w:t>
                  </w:r>
                </w:p>
              </w:tc>
              <w:tc>
                <w:tcPr>
                  <w:tcW w:w="1226" w:type="dxa"/>
                  <w:vAlign w:val="center"/>
                </w:tcPr>
                <w:p w14:paraId="1D265D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15台</w:t>
                  </w:r>
                </w:p>
              </w:tc>
              <w:tc>
                <w:tcPr>
                  <w:tcW w:w="1134" w:type="dxa"/>
                  <w:vAlign w:val="center"/>
                </w:tcPr>
                <w:p w14:paraId="75A5DD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70</w:t>
                  </w:r>
                </w:p>
              </w:tc>
              <w:tc>
                <w:tcPr>
                  <w:tcW w:w="1244" w:type="dxa"/>
                  <w:vAlign w:val="center"/>
                </w:tcPr>
                <w:p w14:paraId="65CFE4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5601F4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2#厂房6层（室内）</w:t>
                  </w:r>
                </w:p>
              </w:tc>
            </w:tr>
            <w:tr w14:paraId="69C98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72963441">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2181" w:type="dxa"/>
                  <w:vAlign w:val="center"/>
                </w:tcPr>
                <w:p w14:paraId="2F45EA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修边机</w:t>
                  </w:r>
                </w:p>
              </w:tc>
              <w:tc>
                <w:tcPr>
                  <w:tcW w:w="1226" w:type="dxa"/>
                  <w:vAlign w:val="center"/>
                </w:tcPr>
                <w:p w14:paraId="57CE04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15台</w:t>
                  </w:r>
                </w:p>
              </w:tc>
              <w:tc>
                <w:tcPr>
                  <w:tcW w:w="1134" w:type="dxa"/>
                  <w:vAlign w:val="center"/>
                </w:tcPr>
                <w:p w14:paraId="4F0864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70</w:t>
                  </w:r>
                </w:p>
              </w:tc>
              <w:tc>
                <w:tcPr>
                  <w:tcW w:w="1244" w:type="dxa"/>
                  <w:vAlign w:val="center"/>
                </w:tcPr>
                <w:p w14:paraId="67C040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18190F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2#厂房2层（室内）</w:t>
                  </w:r>
                </w:p>
              </w:tc>
            </w:tr>
            <w:tr w14:paraId="4854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6D7B968F">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2181" w:type="dxa"/>
                  <w:vAlign w:val="center"/>
                </w:tcPr>
                <w:p w14:paraId="2B6198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冲孔机</w:t>
                  </w:r>
                </w:p>
              </w:tc>
              <w:tc>
                <w:tcPr>
                  <w:tcW w:w="1226" w:type="dxa"/>
                  <w:vAlign w:val="center"/>
                </w:tcPr>
                <w:p w14:paraId="16B10F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15台</w:t>
                  </w:r>
                </w:p>
              </w:tc>
              <w:tc>
                <w:tcPr>
                  <w:tcW w:w="1134" w:type="dxa"/>
                  <w:vAlign w:val="center"/>
                </w:tcPr>
                <w:p w14:paraId="397D0E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70</w:t>
                  </w:r>
                </w:p>
              </w:tc>
              <w:tc>
                <w:tcPr>
                  <w:tcW w:w="1244" w:type="dxa"/>
                  <w:vAlign w:val="center"/>
                </w:tcPr>
                <w:p w14:paraId="5BA3E3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743ADE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2#厂房5层（室内）</w:t>
                  </w:r>
                </w:p>
              </w:tc>
            </w:tr>
            <w:tr w14:paraId="49E05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3387D4F7">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2181" w:type="dxa"/>
                  <w:vAlign w:val="center"/>
                </w:tcPr>
                <w:p w14:paraId="612A15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锤平机</w:t>
                  </w:r>
                </w:p>
              </w:tc>
              <w:tc>
                <w:tcPr>
                  <w:tcW w:w="1226" w:type="dxa"/>
                  <w:vAlign w:val="center"/>
                </w:tcPr>
                <w:p w14:paraId="50EA0F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30台</w:t>
                  </w:r>
                </w:p>
              </w:tc>
              <w:tc>
                <w:tcPr>
                  <w:tcW w:w="1134" w:type="dxa"/>
                  <w:vAlign w:val="center"/>
                </w:tcPr>
                <w:p w14:paraId="7228D0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75</w:t>
                  </w:r>
                </w:p>
              </w:tc>
              <w:tc>
                <w:tcPr>
                  <w:tcW w:w="1244" w:type="dxa"/>
                  <w:vAlign w:val="center"/>
                </w:tcPr>
                <w:p w14:paraId="20A250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5F429F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1#/2#厂房4层（室内）</w:t>
                  </w:r>
                </w:p>
              </w:tc>
            </w:tr>
            <w:tr w14:paraId="5B56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1FDA5EC5">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2181" w:type="dxa"/>
                  <w:vAlign w:val="center"/>
                </w:tcPr>
                <w:p w14:paraId="68B9A7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烫平机</w:t>
                  </w:r>
                </w:p>
              </w:tc>
              <w:tc>
                <w:tcPr>
                  <w:tcW w:w="1226" w:type="dxa"/>
                  <w:vAlign w:val="center"/>
                </w:tcPr>
                <w:p w14:paraId="188A28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15台</w:t>
                  </w:r>
                </w:p>
              </w:tc>
              <w:tc>
                <w:tcPr>
                  <w:tcW w:w="1134" w:type="dxa"/>
                  <w:vAlign w:val="center"/>
                </w:tcPr>
                <w:p w14:paraId="3081B1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70</w:t>
                  </w:r>
                </w:p>
              </w:tc>
              <w:tc>
                <w:tcPr>
                  <w:tcW w:w="1244" w:type="dxa"/>
                  <w:vAlign w:val="center"/>
                </w:tcPr>
                <w:p w14:paraId="7A9BFD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004929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2#厂房5层（室内）</w:t>
                  </w:r>
                </w:p>
              </w:tc>
            </w:tr>
            <w:tr w14:paraId="37E9D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4858E2A8">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2181" w:type="dxa"/>
                  <w:vAlign w:val="center"/>
                </w:tcPr>
                <w:p w14:paraId="52AA38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蒸湿机</w:t>
                  </w:r>
                </w:p>
              </w:tc>
              <w:tc>
                <w:tcPr>
                  <w:tcW w:w="1226" w:type="dxa"/>
                  <w:vAlign w:val="center"/>
                </w:tcPr>
                <w:p w14:paraId="1282DF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12台</w:t>
                  </w:r>
                </w:p>
              </w:tc>
              <w:tc>
                <w:tcPr>
                  <w:tcW w:w="1134" w:type="dxa"/>
                  <w:vAlign w:val="center"/>
                </w:tcPr>
                <w:p w14:paraId="470BC8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65</w:t>
                  </w:r>
                </w:p>
              </w:tc>
              <w:tc>
                <w:tcPr>
                  <w:tcW w:w="1244" w:type="dxa"/>
                  <w:vAlign w:val="center"/>
                </w:tcPr>
                <w:p w14:paraId="0B4600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292B8D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kern w:val="0"/>
                      <w:sz w:val="21"/>
                      <w:szCs w:val="24"/>
                      <w:lang w:val="en-US" w:eastAsia="zh-CN" w:bidi="ar"/>
                    </w:rPr>
                    <w:t>1#/2#厂房4层（室内）</w:t>
                  </w:r>
                </w:p>
              </w:tc>
            </w:tr>
            <w:tr w14:paraId="3B431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4D5F5D10">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5E821C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后踵定型机</w:t>
                  </w:r>
                </w:p>
              </w:tc>
              <w:tc>
                <w:tcPr>
                  <w:tcW w:w="1226" w:type="dxa"/>
                  <w:vAlign w:val="center"/>
                </w:tcPr>
                <w:p w14:paraId="4083DE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12台</w:t>
                  </w:r>
                </w:p>
              </w:tc>
              <w:tc>
                <w:tcPr>
                  <w:tcW w:w="1134" w:type="dxa"/>
                  <w:vAlign w:val="center"/>
                </w:tcPr>
                <w:p w14:paraId="1DFA02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70</w:t>
                  </w:r>
                </w:p>
              </w:tc>
              <w:tc>
                <w:tcPr>
                  <w:tcW w:w="1244" w:type="dxa"/>
                  <w:vAlign w:val="center"/>
                </w:tcPr>
                <w:p w14:paraId="1B38F3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72F4FA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1#/2#厂房4层（室内）</w:t>
                  </w:r>
                </w:p>
              </w:tc>
            </w:tr>
            <w:tr w14:paraId="1A506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178D3906">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1FD165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鞋头定型机</w:t>
                  </w:r>
                </w:p>
              </w:tc>
              <w:tc>
                <w:tcPr>
                  <w:tcW w:w="1226" w:type="dxa"/>
                  <w:vAlign w:val="center"/>
                </w:tcPr>
                <w:p w14:paraId="3F414C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12台</w:t>
                  </w:r>
                </w:p>
              </w:tc>
              <w:tc>
                <w:tcPr>
                  <w:tcW w:w="1134" w:type="dxa"/>
                  <w:vAlign w:val="center"/>
                </w:tcPr>
                <w:p w14:paraId="471FFA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70</w:t>
                  </w:r>
                </w:p>
              </w:tc>
              <w:tc>
                <w:tcPr>
                  <w:tcW w:w="1244" w:type="dxa"/>
                  <w:vAlign w:val="center"/>
                </w:tcPr>
                <w:p w14:paraId="30E473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4740C1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1#/2#厂房4层（室内）</w:t>
                  </w:r>
                </w:p>
              </w:tc>
            </w:tr>
            <w:tr w14:paraId="495E1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1AA9A6B1">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796C8C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拉帮机</w:t>
                  </w:r>
                </w:p>
              </w:tc>
              <w:tc>
                <w:tcPr>
                  <w:tcW w:w="1226" w:type="dxa"/>
                  <w:vAlign w:val="center"/>
                </w:tcPr>
                <w:p w14:paraId="544E27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12台</w:t>
                  </w:r>
                </w:p>
              </w:tc>
              <w:tc>
                <w:tcPr>
                  <w:tcW w:w="1134" w:type="dxa"/>
                  <w:vAlign w:val="center"/>
                </w:tcPr>
                <w:p w14:paraId="5542E4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75</w:t>
                  </w:r>
                </w:p>
              </w:tc>
              <w:tc>
                <w:tcPr>
                  <w:tcW w:w="1244" w:type="dxa"/>
                  <w:vAlign w:val="center"/>
                </w:tcPr>
                <w:p w14:paraId="024CE6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5B2F87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1#/2#厂房4层（室内）</w:t>
                  </w:r>
                </w:p>
              </w:tc>
            </w:tr>
            <w:tr w14:paraId="3E4CC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64" w:type="dxa"/>
                  <w:vAlign w:val="center"/>
                </w:tcPr>
                <w:p w14:paraId="3A3FC9B0">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3C293F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喷胶机</w:t>
                  </w:r>
                </w:p>
              </w:tc>
              <w:tc>
                <w:tcPr>
                  <w:tcW w:w="1226" w:type="dxa"/>
                  <w:vAlign w:val="center"/>
                </w:tcPr>
                <w:p w14:paraId="156B69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2</w:t>
                  </w:r>
                  <w:r>
                    <w:rPr>
                      <w:rFonts w:hint="eastAsia" w:cs="var(--dsw-font-markdown-table)"/>
                      <w:kern w:val="0"/>
                      <w:sz w:val="21"/>
                      <w:szCs w:val="24"/>
                      <w:lang w:val="en-US" w:eastAsia="zh-CN" w:bidi="ar"/>
                    </w:rPr>
                    <w:t>6</w:t>
                  </w:r>
                  <w:r>
                    <w:rPr>
                      <w:rFonts w:hint="default" w:ascii="Times New Roman" w:hAnsi="Times New Roman" w:eastAsia="宋体" w:cs="var(--dsw-font-markdown-table)"/>
                      <w:kern w:val="0"/>
                      <w:sz w:val="21"/>
                      <w:szCs w:val="24"/>
                      <w:lang w:val="en-US" w:eastAsia="zh-CN" w:bidi="ar"/>
                    </w:rPr>
                    <w:t>台</w:t>
                  </w:r>
                </w:p>
              </w:tc>
              <w:tc>
                <w:tcPr>
                  <w:tcW w:w="1134" w:type="dxa"/>
                  <w:vAlign w:val="center"/>
                </w:tcPr>
                <w:p w14:paraId="54AF3D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70</w:t>
                  </w:r>
                </w:p>
              </w:tc>
              <w:tc>
                <w:tcPr>
                  <w:tcW w:w="1244" w:type="dxa"/>
                  <w:vAlign w:val="center"/>
                </w:tcPr>
                <w:p w14:paraId="61D5CE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6267AC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1#/2#厂房4层、6层（室内）</w:t>
                  </w:r>
                </w:p>
              </w:tc>
            </w:tr>
            <w:tr w14:paraId="41C98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64" w:type="dxa"/>
                  <w:vAlign w:val="center"/>
                </w:tcPr>
                <w:p w14:paraId="22BB5A9C">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088FCA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刷胶机</w:t>
                  </w:r>
                </w:p>
              </w:tc>
              <w:tc>
                <w:tcPr>
                  <w:tcW w:w="1226" w:type="dxa"/>
                  <w:vAlign w:val="center"/>
                </w:tcPr>
                <w:p w14:paraId="0F4F8A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14台</w:t>
                  </w:r>
                </w:p>
              </w:tc>
              <w:tc>
                <w:tcPr>
                  <w:tcW w:w="1134" w:type="dxa"/>
                  <w:vAlign w:val="center"/>
                </w:tcPr>
                <w:p w14:paraId="797BEE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68</w:t>
                  </w:r>
                </w:p>
              </w:tc>
              <w:tc>
                <w:tcPr>
                  <w:tcW w:w="1244" w:type="dxa"/>
                  <w:vAlign w:val="center"/>
                </w:tcPr>
                <w:p w14:paraId="228105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4ABCA3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kern w:val="0"/>
                      <w:sz w:val="21"/>
                      <w:szCs w:val="24"/>
                      <w:lang w:val="en-US" w:eastAsia="zh-CN" w:bidi="ar"/>
                    </w:rPr>
                    <w:t>1#/2#厂房4层、6层（室内）</w:t>
                  </w:r>
                </w:p>
              </w:tc>
            </w:tr>
            <w:tr w14:paraId="0B7C8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64" w:type="dxa"/>
                  <w:vAlign w:val="center"/>
                </w:tcPr>
                <w:p w14:paraId="0D081229">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bookmarkStart w:id="58" w:name="_Toc1752"/>
                  <w:bookmarkStart w:id="59" w:name="_Toc25302"/>
                </w:p>
              </w:tc>
              <w:tc>
                <w:tcPr>
                  <w:tcW w:w="2181" w:type="dxa"/>
                  <w:vAlign w:val="center"/>
                </w:tcPr>
                <w:p w14:paraId="147AFB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加硫箱</w:t>
                  </w:r>
                </w:p>
              </w:tc>
              <w:tc>
                <w:tcPr>
                  <w:tcW w:w="1226" w:type="dxa"/>
                  <w:vAlign w:val="center"/>
                </w:tcPr>
                <w:p w14:paraId="389D89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12台</w:t>
                  </w:r>
                </w:p>
              </w:tc>
              <w:tc>
                <w:tcPr>
                  <w:tcW w:w="1134" w:type="dxa"/>
                  <w:vAlign w:val="center"/>
                </w:tcPr>
                <w:p w14:paraId="262072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65</w:t>
                  </w:r>
                </w:p>
              </w:tc>
              <w:tc>
                <w:tcPr>
                  <w:tcW w:w="1244" w:type="dxa"/>
                  <w:vAlign w:val="center"/>
                </w:tcPr>
                <w:p w14:paraId="0792FE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1B7B56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1#/2#厂房4层、6层（室内）</w:t>
                  </w:r>
                </w:p>
              </w:tc>
            </w:tr>
            <w:tr w14:paraId="59057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64" w:type="dxa"/>
                  <w:vAlign w:val="center"/>
                </w:tcPr>
                <w:p w14:paraId="0F0C2814">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3DB4C3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补胶机</w:t>
                  </w:r>
                </w:p>
              </w:tc>
              <w:tc>
                <w:tcPr>
                  <w:tcW w:w="1226" w:type="dxa"/>
                  <w:vAlign w:val="center"/>
                </w:tcPr>
                <w:p w14:paraId="60FF84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12台</w:t>
                  </w:r>
                </w:p>
              </w:tc>
              <w:tc>
                <w:tcPr>
                  <w:tcW w:w="1134" w:type="dxa"/>
                  <w:vAlign w:val="center"/>
                </w:tcPr>
                <w:p w14:paraId="16ABEF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70</w:t>
                  </w:r>
                </w:p>
              </w:tc>
              <w:tc>
                <w:tcPr>
                  <w:tcW w:w="1244" w:type="dxa"/>
                  <w:vAlign w:val="center"/>
                </w:tcPr>
                <w:p w14:paraId="21DD1B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1933CE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1#/2#厂房4层、6层（室内）</w:t>
                  </w:r>
                </w:p>
              </w:tc>
            </w:tr>
            <w:tr w14:paraId="199B6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64" w:type="dxa"/>
                  <w:vAlign w:val="center"/>
                </w:tcPr>
                <w:p w14:paraId="2374351B">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3D7CD4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压底机</w:t>
                  </w:r>
                </w:p>
              </w:tc>
              <w:tc>
                <w:tcPr>
                  <w:tcW w:w="1226" w:type="dxa"/>
                  <w:vAlign w:val="center"/>
                </w:tcPr>
                <w:p w14:paraId="105084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24台</w:t>
                  </w:r>
                </w:p>
              </w:tc>
              <w:tc>
                <w:tcPr>
                  <w:tcW w:w="1134" w:type="dxa"/>
                  <w:vAlign w:val="center"/>
                </w:tcPr>
                <w:p w14:paraId="5E4A72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75</w:t>
                  </w:r>
                </w:p>
              </w:tc>
              <w:tc>
                <w:tcPr>
                  <w:tcW w:w="1244" w:type="dxa"/>
                  <w:vAlign w:val="center"/>
                </w:tcPr>
                <w:p w14:paraId="7F88CC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3FE892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1#/2#厂房4层、6层（室内）</w:t>
                  </w:r>
                </w:p>
              </w:tc>
            </w:tr>
            <w:tr w14:paraId="0BB70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64" w:type="dxa"/>
                  <w:vAlign w:val="center"/>
                </w:tcPr>
                <w:p w14:paraId="2433C048">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5EAC46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冷柜</w:t>
                  </w:r>
                </w:p>
              </w:tc>
              <w:tc>
                <w:tcPr>
                  <w:tcW w:w="1226" w:type="dxa"/>
                  <w:vAlign w:val="center"/>
                </w:tcPr>
                <w:p w14:paraId="11DF91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12台</w:t>
                  </w:r>
                </w:p>
              </w:tc>
              <w:tc>
                <w:tcPr>
                  <w:tcW w:w="1134" w:type="dxa"/>
                  <w:vAlign w:val="center"/>
                </w:tcPr>
                <w:p w14:paraId="7C71FD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65</w:t>
                  </w:r>
                </w:p>
              </w:tc>
              <w:tc>
                <w:tcPr>
                  <w:tcW w:w="1244" w:type="dxa"/>
                  <w:vAlign w:val="center"/>
                </w:tcPr>
                <w:p w14:paraId="388785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209508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1#/2#厂房4层、6层（室内）</w:t>
                  </w:r>
                </w:p>
              </w:tc>
            </w:tr>
            <w:tr w14:paraId="2B725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64" w:type="dxa"/>
                  <w:vAlign w:val="center"/>
                </w:tcPr>
                <w:p w14:paraId="41C35CDE">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13AE95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全自动切织带机</w:t>
                  </w:r>
                </w:p>
              </w:tc>
              <w:tc>
                <w:tcPr>
                  <w:tcW w:w="1226" w:type="dxa"/>
                  <w:vAlign w:val="center"/>
                </w:tcPr>
                <w:p w14:paraId="6D466A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5台</w:t>
                  </w:r>
                </w:p>
              </w:tc>
              <w:tc>
                <w:tcPr>
                  <w:tcW w:w="1134" w:type="dxa"/>
                  <w:vAlign w:val="center"/>
                </w:tcPr>
                <w:p w14:paraId="003364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70</w:t>
                  </w:r>
                </w:p>
              </w:tc>
              <w:tc>
                <w:tcPr>
                  <w:tcW w:w="1244" w:type="dxa"/>
                  <w:vAlign w:val="center"/>
                </w:tcPr>
                <w:p w14:paraId="28B543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7664BE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2#厂房5层（室内）</w:t>
                  </w:r>
                </w:p>
              </w:tc>
            </w:tr>
            <w:tr w14:paraId="4B689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64" w:type="dxa"/>
                  <w:vAlign w:val="center"/>
                </w:tcPr>
                <w:p w14:paraId="72B37277">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5330CF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超声波织带裁切机</w:t>
                  </w:r>
                </w:p>
              </w:tc>
              <w:tc>
                <w:tcPr>
                  <w:tcW w:w="1226" w:type="dxa"/>
                  <w:vAlign w:val="center"/>
                </w:tcPr>
                <w:p w14:paraId="102BAD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5台</w:t>
                  </w:r>
                </w:p>
              </w:tc>
              <w:tc>
                <w:tcPr>
                  <w:tcW w:w="1134" w:type="dxa"/>
                  <w:vAlign w:val="center"/>
                </w:tcPr>
                <w:p w14:paraId="7CF558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70</w:t>
                  </w:r>
                </w:p>
              </w:tc>
              <w:tc>
                <w:tcPr>
                  <w:tcW w:w="1244" w:type="dxa"/>
                  <w:vAlign w:val="center"/>
                </w:tcPr>
                <w:p w14:paraId="1DEF05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31E8DD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2#厂房5层（室内）</w:t>
                  </w:r>
                </w:p>
              </w:tc>
            </w:tr>
            <w:tr w14:paraId="791E0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64" w:type="dxa"/>
                  <w:vAlign w:val="center"/>
                </w:tcPr>
                <w:p w14:paraId="2A201BEA">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1F3195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验针机</w:t>
                  </w:r>
                </w:p>
              </w:tc>
              <w:tc>
                <w:tcPr>
                  <w:tcW w:w="1226" w:type="dxa"/>
                  <w:vAlign w:val="center"/>
                </w:tcPr>
                <w:p w14:paraId="58714E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12台</w:t>
                  </w:r>
                </w:p>
              </w:tc>
              <w:tc>
                <w:tcPr>
                  <w:tcW w:w="1134" w:type="dxa"/>
                  <w:vAlign w:val="center"/>
                </w:tcPr>
                <w:p w14:paraId="7FE3F8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65</w:t>
                  </w:r>
                </w:p>
              </w:tc>
              <w:tc>
                <w:tcPr>
                  <w:tcW w:w="1244" w:type="dxa"/>
                  <w:vAlign w:val="center"/>
                </w:tcPr>
                <w:p w14:paraId="2BC35C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6AAB8C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1#/2#厂房4层、6层（室内）</w:t>
                  </w:r>
                </w:p>
              </w:tc>
            </w:tr>
            <w:tr w14:paraId="108E4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64" w:type="dxa"/>
                  <w:vAlign w:val="center"/>
                </w:tcPr>
                <w:p w14:paraId="0EB99398">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6650D6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拔楦机</w:t>
                  </w:r>
                </w:p>
              </w:tc>
              <w:tc>
                <w:tcPr>
                  <w:tcW w:w="1226" w:type="dxa"/>
                  <w:vAlign w:val="center"/>
                </w:tcPr>
                <w:p w14:paraId="0DE532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12台</w:t>
                  </w:r>
                </w:p>
              </w:tc>
              <w:tc>
                <w:tcPr>
                  <w:tcW w:w="1134" w:type="dxa"/>
                  <w:vAlign w:val="center"/>
                </w:tcPr>
                <w:p w14:paraId="437C78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70</w:t>
                  </w:r>
                </w:p>
              </w:tc>
              <w:tc>
                <w:tcPr>
                  <w:tcW w:w="1244" w:type="dxa"/>
                  <w:vAlign w:val="center"/>
                </w:tcPr>
                <w:p w14:paraId="403DD4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643AFF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1#/2#厂房4层、6层（室内）</w:t>
                  </w:r>
                </w:p>
              </w:tc>
            </w:tr>
            <w:tr w14:paraId="6CAE8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64" w:type="dxa"/>
                  <w:vAlign w:val="center"/>
                </w:tcPr>
                <w:p w14:paraId="45E4AB44">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55F34E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UV打印机</w:t>
                  </w:r>
                </w:p>
              </w:tc>
              <w:tc>
                <w:tcPr>
                  <w:tcW w:w="1226" w:type="dxa"/>
                  <w:vAlign w:val="center"/>
                </w:tcPr>
                <w:p w14:paraId="4C08B8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4台</w:t>
                  </w:r>
                </w:p>
              </w:tc>
              <w:tc>
                <w:tcPr>
                  <w:tcW w:w="1134" w:type="dxa"/>
                  <w:vAlign w:val="center"/>
                </w:tcPr>
                <w:p w14:paraId="1666CA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65</w:t>
                  </w:r>
                </w:p>
              </w:tc>
              <w:tc>
                <w:tcPr>
                  <w:tcW w:w="1244" w:type="dxa"/>
                  <w:vAlign w:val="center"/>
                </w:tcPr>
                <w:p w14:paraId="2A2B8A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36208B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2#厂房6层（室内）</w:t>
                  </w:r>
                </w:p>
              </w:tc>
            </w:tr>
            <w:tr w14:paraId="3FC63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64" w:type="dxa"/>
                  <w:vAlign w:val="center"/>
                </w:tcPr>
                <w:p w14:paraId="7F0DE4ED">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1CEFBE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转印纸打印机</w:t>
                  </w:r>
                </w:p>
              </w:tc>
              <w:tc>
                <w:tcPr>
                  <w:tcW w:w="1226" w:type="dxa"/>
                  <w:vAlign w:val="center"/>
                </w:tcPr>
                <w:p w14:paraId="65B672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2台</w:t>
                  </w:r>
                </w:p>
              </w:tc>
              <w:tc>
                <w:tcPr>
                  <w:tcW w:w="1134" w:type="dxa"/>
                  <w:vAlign w:val="center"/>
                </w:tcPr>
                <w:p w14:paraId="3F33FC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65</w:t>
                  </w:r>
                </w:p>
              </w:tc>
              <w:tc>
                <w:tcPr>
                  <w:tcW w:w="1244" w:type="dxa"/>
                  <w:vAlign w:val="center"/>
                </w:tcPr>
                <w:p w14:paraId="430137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5CF0AA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2#厂房6层（室内）</w:t>
                  </w:r>
                </w:p>
              </w:tc>
            </w:tr>
            <w:tr w14:paraId="7262F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64" w:type="dxa"/>
                  <w:vAlign w:val="center"/>
                </w:tcPr>
                <w:p w14:paraId="08AA07EA">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101C1D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热转印机</w:t>
                  </w:r>
                </w:p>
              </w:tc>
              <w:tc>
                <w:tcPr>
                  <w:tcW w:w="1226" w:type="dxa"/>
                  <w:vAlign w:val="center"/>
                </w:tcPr>
                <w:p w14:paraId="42C13B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2台</w:t>
                  </w:r>
                </w:p>
              </w:tc>
              <w:tc>
                <w:tcPr>
                  <w:tcW w:w="1134" w:type="dxa"/>
                  <w:vAlign w:val="center"/>
                </w:tcPr>
                <w:p w14:paraId="084315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70</w:t>
                  </w:r>
                </w:p>
              </w:tc>
              <w:tc>
                <w:tcPr>
                  <w:tcW w:w="1244" w:type="dxa"/>
                  <w:vAlign w:val="center"/>
                </w:tcPr>
                <w:p w14:paraId="2372B0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5689CF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2#厂房6层（室内）</w:t>
                  </w:r>
                </w:p>
              </w:tc>
            </w:tr>
            <w:tr w14:paraId="22CD4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64" w:type="dxa"/>
                  <w:vAlign w:val="center"/>
                </w:tcPr>
                <w:p w14:paraId="3E9B06E5">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7A9C82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空压机</w:t>
                  </w:r>
                </w:p>
              </w:tc>
              <w:tc>
                <w:tcPr>
                  <w:tcW w:w="1226" w:type="dxa"/>
                  <w:vAlign w:val="center"/>
                </w:tcPr>
                <w:p w14:paraId="4D11C9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2台</w:t>
                  </w:r>
                </w:p>
              </w:tc>
              <w:tc>
                <w:tcPr>
                  <w:tcW w:w="1134" w:type="dxa"/>
                  <w:vAlign w:val="center"/>
                </w:tcPr>
                <w:p w14:paraId="3C4963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85</w:t>
                  </w:r>
                </w:p>
              </w:tc>
              <w:tc>
                <w:tcPr>
                  <w:tcW w:w="1244" w:type="dxa"/>
                  <w:vAlign w:val="center"/>
                </w:tcPr>
                <w:p w14:paraId="7A6E01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61AC75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1#/2#厂房楼顶（室外）</w:t>
                  </w:r>
                </w:p>
              </w:tc>
            </w:tr>
            <w:tr w14:paraId="52543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64" w:type="dxa"/>
                  <w:vAlign w:val="center"/>
                </w:tcPr>
                <w:p w14:paraId="0C00C8AC">
                  <w:pPr>
                    <w:keepNext w:val="0"/>
                    <w:keepLines w:val="0"/>
                    <w:pageBreakBefore w:val="0"/>
                    <w:widowControl/>
                    <w:numPr>
                      <w:ilvl w:val="0"/>
                      <w:numId w:val="31"/>
                    </w:numPr>
                    <w:suppressLineNumbers w:val="0"/>
                    <w:kinsoku/>
                    <w:wordWrap/>
                    <w:overflowPunct/>
                    <w:topLinePunct w:val="0"/>
                    <w:autoSpaceDE/>
                    <w:autoSpaceDN/>
                    <w:bidi w:val="0"/>
                    <w:adjustRightInd/>
                    <w:snapToGrid/>
                    <w:spacing w:before="0" w:beforeAutospacing="0" w:after="0" w:afterAutospacing="0"/>
                    <w:ind w:left="425" w:leftChars="0" w:right="0" w:rightChars="0" w:hanging="425" w:firstLineChars="0"/>
                    <w:jc w:val="left"/>
                    <w:textAlignment w:val="auto"/>
                    <w:rPr>
                      <w:rFonts w:hint="default" w:ascii="Times New Roman" w:hAnsi="Times New Roman" w:eastAsia="宋体"/>
                      <w:color w:val="auto"/>
                      <w:sz w:val="21"/>
                      <w:highlight w:val="none"/>
                    </w:rPr>
                  </w:pPr>
                </w:p>
              </w:tc>
              <w:tc>
                <w:tcPr>
                  <w:tcW w:w="2181" w:type="dxa"/>
                  <w:vAlign w:val="center"/>
                </w:tcPr>
                <w:p w14:paraId="270786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废气处理风机</w:t>
                  </w:r>
                </w:p>
              </w:tc>
              <w:tc>
                <w:tcPr>
                  <w:tcW w:w="1226" w:type="dxa"/>
                  <w:vAlign w:val="center"/>
                </w:tcPr>
                <w:p w14:paraId="692495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eastAsia" w:cs="var(--dsw-font-markdown-table)"/>
                      <w:kern w:val="0"/>
                      <w:sz w:val="21"/>
                      <w:szCs w:val="24"/>
                      <w:lang w:val="en-US" w:eastAsia="zh-CN" w:bidi="ar"/>
                    </w:rPr>
                    <w:t>8</w:t>
                  </w:r>
                  <w:r>
                    <w:rPr>
                      <w:rFonts w:hint="default" w:ascii="Times New Roman" w:hAnsi="Times New Roman" w:eastAsia="宋体" w:cs="var(--dsw-font-markdown-table)"/>
                      <w:kern w:val="0"/>
                      <w:sz w:val="21"/>
                      <w:szCs w:val="24"/>
                      <w:lang w:val="en-US" w:eastAsia="zh-CN" w:bidi="ar"/>
                    </w:rPr>
                    <w:t>套</w:t>
                  </w:r>
                </w:p>
              </w:tc>
              <w:tc>
                <w:tcPr>
                  <w:tcW w:w="1134" w:type="dxa"/>
                  <w:vAlign w:val="center"/>
                </w:tcPr>
                <w:p w14:paraId="6D2727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85</w:t>
                  </w:r>
                </w:p>
              </w:tc>
              <w:tc>
                <w:tcPr>
                  <w:tcW w:w="1244" w:type="dxa"/>
                  <w:vAlign w:val="center"/>
                </w:tcPr>
                <w:p w14:paraId="6E6E90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频发</w:t>
                  </w:r>
                </w:p>
              </w:tc>
              <w:tc>
                <w:tcPr>
                  <w:tcW w:w="3069" w:type="dxa"/>
                  <w:vAlign w:val="center"/>
                </w:tcPr>
                <w:p w14:paraId="763641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shd w:val="clear" w:color="auto" w:fill="auto"/>
                      <w:lang w:val="en-US" w:eastAsia="zh-CN" w:bidi="ar"/>
                    </w:rPr>
                  </w:pPr>
                  <w:r>
                    <w:rPr>
                      <w:rFonts w:hint="default" w:ascii="Times New Roman" w:hAnsi="Times New Roman" w:eastAsia="宋体" w:cs="var(--dsw-font-markdown-table)"/>
                      <w:kern w:val="0"/>
                      <w:sz w:val="21"/>
                      <w:szCs w:val="24"/>
                      <w:lang w:val="en-US" w:eastAsia="zh-CN" w:bidi="ar"/>
                    </w:rPr>
                    <w:t>1#/2#厂房楼顶（室外）</w:t>
                  </w:r>
                </w:p>
              </w:tc>
            </w:tr>
          </w:tbl>
          <w:p w14:paraId="2378839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var(--dsw-font-markdown-h3)"/>
                <w:color w:val="auto"/>
                <w:sz w:val="21"/>
              </w:rPr>
            </w:pPr>
            <w:r>
              <w:rPr>
                <w:rFonts w:hint="default" w:ascii="Times New Roman" w:hAnsi="Times New Roman" w:eastAsia="宋体" w:cs="var(--dsw-font-markdown-h3)"/>
                <w:i w:val="0"/>
                <w:iCs w:val="0"/>
                <w:caps w:val="0"/>
                <w:color w:val="auto"/>
                <w:spacing w:val="0"/>
                <w:sz w:val="21"/>
                <w:shd w:val="clear" w:fill="FFFFFF"/>
              </w:rPr>
              <w:t>2、噪声防治措施</w:t>
            </w:r>
            <w:bookmarkEnd w:id="58"/>
            <w:bookmarkEnd w:id="59"/>
          </w:p>
          <w:p w14:paraId="32F477E8">
            <w:pPr>
              <w:pStyle w:val="4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为使项目厂界噪声达到所在区域环境标准要求，建设单位拟采取以下噪声污染治理措施：</w:t>
            </w:r>
          </w:p>
          <w:p w14:paraId="388CF28E">
            <w:pPr>
              <w:pStyle w:val="4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（1）</w:t>
            </w:r>
            <w:r>
              <w:rPr>
                <w:rFonts w:hint="default" w:ascii="Times New Roman" w:hAnsi="Times New Roman" w:eastAsia="宋体" w:cs="var(--dsw-font-markdown-base)"/>
                <w:b/>
                <w:bCs/>
                <w:i w:val="0"/>
                <w:iCs w:val="0"/>
                <w:caps w:val="0"/>
                <w:color w:val="auto"/>
                <w:spacing w:val="0"/>
                <w:sz w:val="21"/>
                <w:szCs w:val="21"/>
                <w:shd w:val="clear" w:fill="FFFFFF"/>
              </w:rPr>
              <w:t>源头控制</w:t>
            </w:r>
            <w:r>
              <w:rPr>
                <w:rFonts w:hint="default" w:ascii="Times New Roman" w:hAnsi="Times New Roman" w:eastAsia="宋体" w:cs="var(--dsw-font-markdown-base)"/>
                <w:i w:val="0"/>
                <w:iCs w:val="0"/>
                <w:caps w:val="0"/>
                <w:color w:val="auto"/>
                <w:spacing w:val="0"/>
                <w:sz w:val="21"/>
                <w:szCs w:val="21"/>
                <w:shd w:val="clear" w:fill="FFFFFF"/>
              </w:rPr>
              <w:t>：在设备选型过程中积极选用低噪声设备，并对各类设备进行合理安装，在安装过程中铺装减震基座、减震垫等设施，以降低项目运营过程中振动噪声的产生。根据《噪声与振动控制手册》（机械工业出版社），加装减震底座的降声量约5~8dB(A</w:t>
            </w:r>
            <w:r>
              <w:rPr>
                <w:rFonts w:hint="eastAsia" w:ascii="Times New Roman" w:hAnsi="Times New Roman" w:cs="var(--dsw-font-markdown-base)"/>
                <w:i w:val="0"/>
                <w:iCs w:val="0"/>
                <w:caps w:val="0"/>
                <w:color w:val="auto"/>
                <w:spacing w:val="0"/>
                <w:sz w:val="21"/>
                <w:szCs w:val="21"/>
                <w:shd w:val="clear" w:fill="FFFFFF"/>
                <w:lang w:eastAsia="zh-CN"/>
              </w:rPr>
              <w:t>）</w:t>
            </w:r>
            <w:r>
              <w:rPr>
                <w:rFonts w:hint="default" w:ascii="Times New Roman" w:hAnsi="Times New Roman" w:eastAsia="宋体" w:cs="var(--dsw-font-markdown-base)"/>
                <w:i w:val="0"/>
                <w:iCs w:val="0"/>
                <w:caps w:val="0"/>
                <w:color w:val="auto"/>
                <w:spacing w:val="0"/>
                <w:sz w:val="21"/>
                <w:szCs w:val="21"/>
                <w:shd w:val="clear" w:fill="FFFFFF"/>
              </w:rPr>
              <w:t>。</w:t>
            </w:r>
          </w:p>
          <w:p w14:paraId="039CDB1C">
            <w:pPr>
              <w:pStyle w:val="4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（2）</w:t>
            </w:r>
            <w:r>
              <w:rPr>
                <w:rFonts w:hint="default" w:ascii="Times New Roman" w:hAnsi="Times New Roman" w:eastAsia="宋体" w:cs="var(--dsw-font-markdown-base)"/>
                <w:b/>
                <w:bCs/>
                <w:i w:val="0"/>
                <w:iCs w:val="0"/>
                <w:caps w:val="0"/>
                <w:color w:val="auto"/>
                <w:spacing w:val="0"/>
                <w:sz w:val="21"/>
                <w:szCs w:val="21"/>
                <w:shd w:val="clear" w:fill="FFFFFF"/>
              </w:rPr>
              <w:t>合理布局</w:t>
            </w:r>
            <w:r>
              <w:rPr>
                <w:rFonts w:hint="default" w:ascii="Times New Roman" w:hAnsi="Times New Roman" w:eastAsia="宋体" w:cs="var(--dsw-font-markdown-base)"/>
                <w:i w:val="0"/>
                <w:iCs w:val="0"/>
                <w:caps w:val="0"/>
                <w:color w:val="auto"/>
                <w:spacing w:val="0"/>
                <w:sz w:val="21"/>
                <w:szCs w:val="21"/>
                <w:shd w:val="clear" w:fill="FFFFFF"/>
              </w:rPr>
              <w:t>：合理布局噪声源，高噪声设备尽可能远离厂界布置。项目厂房主要为钢筋混凝土结构厂房，大门采用隔声门，窗户采用双层隔声玻璃，日常生产关闭门窗。根据《环境工程手册环境噪声控制卷》（郑长聚主编），噪声通过墙体隔声可降低23~30dB(A</w:t>
            </w:r>
            <w:r>
              <w:rPr>
                <w:rFonts w:hint="eastAsia" w:ascii="Times New Roman" w:hAnsi="Times New Roman" w:cs="var(--dsw-font-markdown-base)"/>
                <w:i w:val="0"/>
                <w:iCs w:val="0"/>
                <w:caps w:val="0"/>
                <w:color w:val="auto"/>
                <w:spacing w:val="0"/>
                <w:sz w:val="21"/>
                <w:szCs w:val="21"/>
                <w:shd w:val="clear" w:fill="FFFFFF"/>
                <w:lang w:eastAsia="zh-CN"/>
              </w:rPr>
              <w:t>）</w:t>
            </w:r>
            <w:r>
              <w:rPr>
                <w:rFonts w:hint="default" w:ascii="Times New Roman" w:hAnsi="Times New Roman" w:eastAsia="宋体" w:cs="var(--dsw-font-markdown-base)"/>
                <w:i w:val="0"/>
                <w:iCs w:val="0"/>
                <w:caps w:val="0"/>
                <w:color w:val="auto"/>
                <w:spacing w:val="0"/>
                <w:sz w:val="21"/>
                <w:szCs w:val="21"/>
                <w:shd w:val="clear" w:fill="FFFFFF"/>
              </w:rPr>
              <w:t>，本项目取25dB(A</w:t>
            </w:r>
            <w:r>
              <w:rPr>
                <w:rFonts w:hint="eastAsia" w:ascii="Times New Roman" w:hAnsi="Times New Roman" w:cs="var(--dsw-font-markdown-base)"/>
                <w:i w:val="0"/>
                <w:iCs w:val="0"/>
                <w:caps w:val="0"/>
                <w:color w:val="auto"/>
                <w:spacing w:val="0"/>
                <w:sz w:val="21"/>
                <w:szCs w:val="21"/>
                <w:shd w:val="clear" w:fill="FFFFFF"/>
                <w:lang w:eastAsia="zh-CN"/>
              </w:rPr>
              <w:t>）</w:t>
            </w:r>
            <w:r>
              <w:rPr>
                <w:rFonts w:hint="default" w:ascii="Times New Roman" w:hAnsi="Times New Roman" w:eastAsia="宋体" w:cs="var(--dsw-font-markdown-base)"/>
                <w:i w:val="0"/>
                <w:iCs w:val="0"/>
                <w:caps w:val="0"/>
                <w:color w:val="auto"/>
                <w:spacing w:val="0"/>
                <w:sz w:val="21"/>
                <w:szCs w:val="21"/>
                <w:shd w:val="clear" w:fill="FFFFFF"/>
              </w:rPr>
              <w:t>。</w:t>
            </w:r>
          </w:p>
          <w:p w14:paraId="45F69744">
            <w:pPr>
              <w:pStyle w:val="4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（3）</w:t>
            </w:r>
            <w:r>
              <w:rPr>
                <w:rFonts w:hint="default" w:ascii="Times New Roman" w:hAnsi="Times New Roman" w:eastAsia="宋体" w:cs="var(--dsw-font-markdown-base)"/>
                <w:b/>
                <w:bCs/>
                <w:i w:val="0"/>
                <w:iCs w:val="0"/>
                <w:caps w:val="0"/>
                <w:color w:val="auto"/>
                <w:spacing w:val="0"/>
                <w:sz w:val="21"/>
                <w:szCs w:val="21"/>
                <w:shd w:val="clear" w:fill="FFFFFF"/>
              </w:rPr>
              <w:t>隔声消声</w:t>
            </w:r>
            <w:r>
              <w:rPr>
                <w:rFonts w:hint="default" w:ascii="Times New Roman" w:hAnsi="Times New Roman" w:eastAsia="宋体" w:cs="var(--dsw-font-markdown-base)"/>
                <w:i w:val="0"/>
                <w:iCs w:val="0"/>
                <w:caps w:val="0"/>
                <w:color w:val="auto"/>
                <w:spacing w:val="0"/>
                <w:sz w:val="21"/>
                <w:szCs w:val="21"/>
                <w:shd w:val="clear" w:fill="FFFFFF"/>
              </w:rPr>
              <w:t>：空压机等强噪声设备单独设置隔音间，根据《环境保护实用数据手册》，隔声罩可降噪10~25dB(A</w:t>
            </w:r>
            <w:r>
              <w:rPr>
                <w:rFonts w:hint="eastAsia" w:ascii="Times New Roman" w:hAnsi="Times New Roman" w:cs="var(--dsw-font-markdown-base)"/>
                <w:i w:val="0"/>
                <w:iCs w:val="0"/>
                <w:caps w:val="0"/>
                <w:color w:val="auto"/>
                <w:spacing w:val="0"/>
                <w:sz w:val="21"/>
                <w:szCs w:val="21"/>
                <w:shd w:val="clear" w:fill="FFFFFF"/>
                <w:lang w:eastAsia="zh-CN"/>
              </w:rPr>
              <w:t>）</w:t>
            </w:r>
            <w:r>
              <w:rPr>
                <w:rFonts w:hint="default" w:ascii="Times New Roman" w:hAnsi="Times New Roman" w:eastAsia="宋体" w:cs="var(--dsw-font-markdown-base)"/>
                <w:i w:val="0"/>
                <w:iCs w:val="0"/>
                <w:caps w:val="0"/>
                <w:color w:val="auto"/>
                <w:spacing w:val="0"/>
                <w:sz w:val="21"/>
                <w:szCs w:val="21"/>
                <w:shd w:val="clear" w:fill="FFFFFF"/>
              </w:rPr>
              <w:t>。室外风机等设备安装隔声罩、消声器，底座采用减振垫和减振弹簧处理，风机风口采用软连接，综合降噪能力约25dB(A</w:t>
            </w:r>
            <w:r>
              <w:rPr>
                <w:rFonts w:hint="eastAsia" w:ascii="Times New Roman" w:hAnsi="Times New Roman" w:cs="var(--dsw-font-markdown-base)"/>
                <w:i w:val="0"/>
                <w:iCs w:val="0"/>
                <w:caps w:val="0"/>
                <w:color w:val="auto"/>
                <w:spacing w:val="0"/>
                <w:sz w:val="21"/>
                <w:szCs w:val="21"/>
                <w:shd w:val="clear" w:fill="FFFFFF"/>
                <w:lang w:eastAsia="zh-CN"/>
              </w:rPr>
              <w:t>）</w:t>
            </w:r>
            <w:r>
              <w:rPr>
                <w:rFonts w:hint="default" w:ascii="Times New Roman" w:hAnsi="Times New Roman" w:eastAsia="宋体" w:cs="var(--dsw-font-markdown-base)"/>
                <w:i w:val="0"/>
                <w:iCs w:val="0"/>
                <w:caps w:val="0"/>
                <w:color w:val="auto"/>
                <w:spacing w:val="0"/>
                <w:sz w:val="21"/>
                <w:szCs w:val="21"/>
                <w:shd w:val="clear" w:fill="FFFFFF"/>
              </w:rPr>
              <w:t>。</w:t>
            </w:r>
          </w:p>
          <w:p w14:paraId="4147F323">
            <w:pPr>
              <w:pStyle w:val="4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（4）</w:t>
            </w:r>
            <w:r>
              <w:rPr>
                <w:rFonts w:hint="default" w:ascii="Times New Roman" w:hAnsi="Times New Roman" w:eastAsia="宋体" w:cs="var(--dsw-font-markdown-base)"/>
                <w:b/>
                <w:bCs/>
                <w:i w:val="0"/>
                <w:iCs w:val="0"/>
                <w:caps w:val="0"/>
                <w:color w:val="auto"/>
                <w:spacing w:val="0"/>
                <w:sz w:val="21"/>
                <w:szCs w:val="21"/>
                <w:shd w:val="clear" w:fill="FFFFFF"/>
              </w:rPr>
              <w:t>加强管理</w:t>
            </w:r>
            <w:r>
              <w:rPr>
                <w:rFonts w:hint="default" w:ascii="Times New Roman" w:hAnsi="Times New Roman" w:eastAsia="宋体" w:cs="var(--dsw-font-markdown-base)"/>
                <w:i w:val="0"/>
                <w:iCs w:val="0"/>
                <w:caps w:val="0"/>
                <w:color w:val="auto"/>
                <w:spacing w:val="0"/>
                <w:sz w:val="21"/>
                <w:szCs w:val="21"/>
                <w:shd w:val="clear" w:fill="FFFFFF"/>
              </w:rPr>
              <w:t>：制定完善的环保管理制度，做好生产设备的日常巡查、维护保养工作，确保设备处于良好运转状态，避免因设备不正常运转产生高噪声。加强职工环保意识教育，提倡文明生产，防止人为噪声。</w:t>
            </w:r>
          </w:p>
          <w:p w14:paraId="58276CD0">
            <w:pPr>
              <w:pStyle w:val="4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（5）</w:t>
            </w:r>
            <w:r>
              <w:rPr>
                <w:rFonts w:hint="default" w:ascii="Times New Roman" w:hAnsi="Times New Roman" w:eastAsia="宋体" w:cs="var(--dsw-font-markdown-base)"/>
                <w:b/>
                <w:bCs/>
                <w:i w:val="0"/>
                <w:iCs w:val="0"/>
                <w:caps w:val="0"/>
                <w:color w:val="auto"/>
                <w:spacing w:val="0"/>
                <w:sz w:val="21"/>
                <w:szCs w:val="21"/>
                <w:shd w:val="clear" w:fill="FFFFFF"/>
              </w:rPr>
              <w:t>合理安排生产时间</w:t>
            </w:r>
            <w:r>
              <w:rPr>
                <w:rFonts w:hint="default" w:ascii="Times New Roman" w:hAnsi="Times New Roman" w:eastAsia="宋体" w:cs="var(--dsw-font-markdown-base)"/>
                <w:i w:val="0"/>
                <w:iCs w:val="0"/>
                <w:caps w:val="0"/>
                <w:color w:val="auto"/>
                <w:spacing w:val="0"/>
                <w:sz w:val="21"/>
                <w:szCs w:val="21"/>
                <w:shd w:val="clear" w:fill="FFFFFF"/>
              </w:rPr>
              <w:t>：合理安排生产作业时间，夜间（22:00~6:00）不生产。</w:t>
            </w:r>
          </w:p>
          <w:p w14:paraId="2216D637">
            <w:pPr>
              <w:pStyle w:val="4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（6）</w:t>
            </w:r>
            <w:r>
              <w:rPr>
                <w:rFonts w:hint="default" w:ascii="Times New Roman" w:hAnsi="Times New Roman" w:eastAsia="宋体" w:cs="var(--dsw-font-markdown-base)"/>
                <w:b/>
                <w:bCs/>
                <w:i w:val="0"/>
                <w:iCs w:val="0"/>
                <w:caps w:val="0"/>
                <w:color w:val="auto"/>
                <w:spacing w:val="0"/>
                <w:sz w:val="21"/>
                <w:szCs w:val="21"/>
                <w:shd w:val="clear" w:fill="FFFFFF"/>
              </w:rPr>
              <w:t>运输噪声控制</w:t>
            </w:r>
            <w:r>
              <w:rPr>
                <w:rFonts w:hint="default" w:ascii="Times New Roman" w:hAnsi="Times New Roman" w:eastAsia="宋体" w:cs="var(--dsw-font-markdown-base)"/>
                <w:i w:val="0"/>
                <w:iCs w:val="0"/>
                <w:caps w:val="0"/>
                <w:color w:val="auto"/>
                <w:spacing w:val="0"/>
                <w:sz w:val="21"/>
                <w:szCs w:val="21"/>
                <w:shd w:val="clear" w:fill="FFFFFF"/>
              </w:rPr>
              <w:t>：对于运输噪声，应合理选择运输路线，减少车辆噪声的影响，限制大型载重车的车速，对运输车辆定期维修、养护，减少或杜绝鸣笛。</w:t>
            </w:r>
          </w:p>
          <w:p w14:paraId="77B1D98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var(--dsw-font-markdown-h3)"/>
                <w:color w:val="auto"/>
                <w:sz w:val="21"/>
              </w:rPr>
            </w:pPr>
            <w:bookmarkStart w:id="60" w:name="_Toc903"/>
            <w:bookmarkStart w:id="61" w:name="_Toc14165"/>
            <w:r>
              <w:rPr>
                <w:rFonts w:hint="default" w:ascii="Times New Roman" w:hAnsi="Times New Roman" w:eastAsia="宋体" w:cs="var(--dsw-font-markdown-h3)"/>
                <w:i w:val="0"/>
                <w:iCs w:val="0"/>
                <w:caps w:val="0"/>
                <w:color w:val="auto"/>
                <w:spacing w:val="0"/>
                <w:sz w:val="21"/>
                <w:shd w:val="clear" w:fill="FFFFFF"/>
              </w:rPr>
              <w:t>3、噪声达标分析</w:t>
            </w:r>
            <w:bookmarkEnd w:id="60"/>
            <w:bookmarkEnd w:id="61"/>
          </w:p>
          <w:p w14:paraId="71275ABA">
            <w:pPr>
              <w:pStyle w:val="4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根据《噪声与振动控制手册》（机械工业出版社），加装减震底座可降噪5~8dB(A</w:t>
            </w:r>
            <w:r>
              <w:rPr>
                <w:rFonts w:hint="eastAsia" w:ascii="Times New Roman" w:hAnsi="Times New Roman" w:cs="var(--dsw-font-markdown-base)"/>
                <w:i w:val="0"/>
                <w:iCs w:val="0"/>
                <w:caps w:val="0"/>
                <w:color w:val="auto"/>
                <w:spacing w:val="0"/>
                <w:sz w:val="21"/>
                <w:szCs w:val="21"/>
                <w:shd w:val="clear" w:fill="FFFFFF"/>
                <w:lang w:eastAsia="zh-CN"/>
              </w:rPr>
              <w:t>）</w:t>
            </w:r>
            <w:r>
              <w:rPr>
                <w:rFonts w:hint="default" w:ascii="Times New Roman" w:hAnsi="Times New Roman" w:eastAsia="宋体" w:cs="var(--dsw-font-markdown-base)"/>
                <w:i w:val="0"/>
                <w:iCs w:val="0"/>
                <w:caps w:val="0"/>
                <w:color w:val="auto"/>
                <w:spacing w:val="0"/>
                <w:sz w:val="21"/>
                <w:szCs w:val="21"/>
                <w:shd w:val="clear" w:fill="FFFFFF"/>
              </w:rPr>
              <w:t>，本项目取8dB(A</w:t>
            </w:r>
            <w:r>
              <w:rPr>
                <w:rFonts w:hint="eastAsia" w:ascii="Times New Roman" w:hAnsi="Times New Roman" w:cs="var(--dsw-font-markdown-base)"/>
                <w:i w:val="0"/>
                <w:iCs w:val="0"/>
                <w:caps w:val="0"/>
                <w:color w:val="auto"/>
                <w:spacing w:val="0"/>
                <w:sz w:val="21"/>
                <w:szCs w:val="21"/>
                <w:shd w:val="clear" w:fill="FFFFFF"/>
                <w:lang w:eastAsia="zh-CN"/>
              </w:rPr>
              <w:t>）</w:t>
            </w:r>
            <w:r>
              <w:rPr>
                <w:rFonts w:hint="default" w:ascii="Times New Roman" w:hAnsi="Times New Roman" w:eastAsia="宋体" w:cs="var(--dsw-font-markdown-base)"/>
                <w:i w:val="0"/>
                <w:iCs w:val="0"/>
                <w:caps w:val="0"/>
                <w:color w:val="auto"/>
                <w:spacing w:val="0"/>
                <w:sz w:val="21"/>
                <w:szCs w:val="21"/>
                <w:shd w:val="clear" w:fill="FFFFFF"/>
              </w:rPr>
              <w:t>。根据《环境工程手册环境噪声控制卷》，墙体隔声可降噪25~30dB(A</w:t>
            </w:r>
            <w:r>
              <w:rPr>
                <w:rFonts w:hint="eastAsia" w:ascii="Times New Roman" w:hAnsi="Times New Roman" w:cs="var(--dsw-font-markdown-base)"/>
                <w:i w:val="0"/>
                <w:iCs w:val="0"/>
                <w:caps w:val="0"/>
                <w:color w:val="auto"/>
                <w:spacing w:val="0"/>
                <w:sz w:val="21"/>
                <w:szCs w:val="21"/>
                <w:shd w:val="clear" w:fill="FFFFFF"/>
                <w:lang w:eastAsia="zh-CN"/>
              </w:rPr>
              <w:t>）</w:t>
            </w:r>
            <w:r>
              <w:rPr>
                <w:rFonts w:hint="default" w:ascii="Times New Roman" w:hAnsi="Times New Roman" w:eastAsia="宋体" w:cs="var(--dsw-font-markdown-base)"/>
                <w:i w:val="0"/>
                <w:iCs w:val="0"/>
                <w:caps w:val="0"/>
                <w:color w:val="auto"/>
                <w:spacing w:val="0"/>
                <w:sz w:val="21"/>
                <w:szCs w:val="21"/>
                <w:shd w:val="clear" w:fill="FFFFFF"/>
              </w:rPr>
              <w:t>，本项目取25dB(A</w:t>
            </w:r>
            <w:r>
              <w:rPr>
                <w:rFonts w:hint="eastAsia" w:ascii="Times New Roman" w:hAnsi="Times New Roman" w:cs="var(--dsw-font-markdown-base)"/>
                <w:i w:val="0"/>
                <w:iCs w:val="0"/>
                <w:caps w:val="0"/>
                <w:color w:val="auto"/>
                <w:spacing w:val="0"/>
                <w:sz w:val="21"/>
                <w:szCs w:val="21"/>
                <w:shd w:val="clear" w:fill="FFFFFF"/>
                <w:lang w:eastAsia="zh-CN"/>
              </w:rPr>
              <w:t>）</w:t>
            </w:r>
            <w:r>
              <w:rPr>
                <w:rFonts w:hint="default" w:ascii="Times New Roman" w:hAnsi="Times New Roman" w:eastAsia="宋体" w:cs="var(--dsw-font-markdown-base)"/>
                <w:i w:val="0"/>
                <w:iCs w:val="0"/>
                <w:caps w:val="0"/>
                <w:color w:val="auto"/>
                <w:spacing w:val="0"/>
                <w:sz w:val="21"/>
                <w:szCs w:val="21"/>
                <w:shd w:val="clear" w:fill="FFFFFF"/>
              </w:rPr>
              <w:t>。在落实上述降噪措施后，项目综合降噪效果可达33dB(A</w:t>
            </w:r>
            <w:r>
              <w:rPr>
                <w:rFonts w:hint="eastAsia" w:ascii="Times New Roman" w:hAnsi="Times New Roman" w:cs="var(--dsw-font-markdown-base)"/>
                <w:i w:val="0"/>
                <w:iCs w:val="0"/>
                <w:caps w:val="0"/>
                <w:color w:val="auto"/>
                <w:spacing w:val="0"/>
                <w:sz w:val="21"/>
                <w:szCs w:val="21"/>
                <w:shd w:val="clear" w:fill="FFFFFF"/>
                <w:lang w:eastAsia="zh-CN"/>
              </w:rPr>
              <w:t>）</w:t>
            </w:r>
            <w:r>
              <w:rPr>
                <w:rFonts w:hint="default" w:ascii="Times New Roman" w:hAnsi="Times New Roman" w:eastAsia="宋体" w:cs="var(--dsw-font-markdown-base)"/>
                <w:i w:val="0"/>
                <w:iCs w:val="0"/>
                <w:caps w:val="0"/>
                <w:color w:val="auto"/>
                <w:spacing w:val="0"/>
                <w:sz w:val="21"/>
                <w:szCs w:val="21"/>
                <w:shd w:val="clear" w:fill="FFFFFF"/>
              </w:rPr>
              <w:t>以上。</w:t>
            </w:r>
          </w:p>
          <w:p w14:paraId="5BE6BA4A">
            <w:pPr>
              <w:pStyle w:val="4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经车间墙体隔声、设备减振和自然距离衰减后，项目厂界昼间噪声值可满足《工业企业厂界环境噪声排放标准》（</w:t>
            </w:r>
            <w:r>
              <w:rPr>
                <w:rFonts w:hint="eastAsia" w:ascii="Times New Roman" w:hAnsi="Times New Roman" w:cs="var(--dsw-font-markdown-base)"/>
                <w:i w:val="0"/>
                <w:iCs w:val="0"/>
                <w:caps w:val="0"/>
                <w:color w:val="auto"/>
                <w:spacing w:val="0"/>
                <w:sz w:val="21"/>
                <w:szCs w:val="21"/>
                <w:shd w:val="clear" w:fill="FFFFFF"/>
                <w:lang w:eastAsia="zh-CN"/>
              </w:rPr>
              <w:t>GB12348-2008</w:t>
            </w:r>
            <w:r>
              <w:rPr>
                <w:rFonts w:hint="default" w:ascii="Times New Roman" w:hAnsi="Times New Roman" w:eastAsia="宋体" w:cs="var(--dsw-font-markdown-base)"/>
                <w:i w:val="0"/>
                <w:iCs w:val="0"/>
                <w:caps w:val="0"/>
                <w:color w:val="auto"/>
                <w:spacing w:val="0"/>
                <w:sz w:val="21"/>
                <w:szCs w:val="21"/>
                <w:shd w:val="clear" w:fill="FFFFFF"/>
              </w:rPr>
              <w:t>）中的</w:t>
            </w:r>
            <w:r>
              <w:rPr>
                <w:rFonts w:hint="eastAsia" w:ascii="Times New Roman" w:hAnsi="Times New Roman" w:cs="var(--dsw-font-markdown-base)"/>
                <w:i w:val="0"/>
                <w:iCs w:val="0"/>
                <w:caps w:val="0"/>
                <w:color w:val="auto"/>
                <w:spacing w:val="0"/>
                <w:sz w:val="21"/>
                <w:szCs w:val="21"/>
                <w:shd w:val="clear" w:fill="FFFFFF"/>
                <w:lang w:val="en-US" w:eastAsia="zh-CN"/>
              </w:rPr>
              <w:t>3</w:t>
            </w:r>
            <w:r>
              <w:rPr>
                <w:rFonts w:hint="default" w:ascii="Times New Roman" w:hAnsi="Times New Roman" w:eastAsia="宋体" w:cs="var(--dsw-font-markdown-base)"/>
                <w:i w:val="0"/>
                <w:iCs w:val="0"/>
                <w:caps w:val="0"/>
                <w:color w:val="auto"/>
                <w:spacing w:val="0"/>
                <w:sz w:val="21"/>
                <w:szCs w:val="21"/>
                <w:shd w:val="clear" w:fill="FFFFFF"/>
              </w:rPr>
              <w:t>类标准（昼间≤6</w:t>
            </w:r>
            <w:r>
              <w:rPr>
                <w:rFonts w:hint="eastAsia" w:ascii="Times New Roman" w:hAnsi="Times New Roman" w:cs="var(--dsw-font-markdown-base)"/>
                <w:i w:val="0"/>
                <w:iCs w:val="0"/>
                <w:caps w:val="0"/>
                <w:color w:val="auto"/>
                <w:spacing w:val="0"/>
                <w:sz w:val="21"/>
                <w:szCs w:val="21"/>
                <w:shd w:val="clear" w:fill="FFFFFF"/>
                <w:lang w:val="en-US" w:eastAsia="zh-CN"/>
              </w:rPr>
              <w:t>5</w:t>
            </w:r>
            <w:r>
              <w:rPr>
                <w:rFonts w:hint="default" w:ascii="Times New Roman" w:hAnsi="Times New Roman" w:eastAsia="宋体" w:cs="var(--dsw-font-markdown-base)"/>
                <w:i w:val="0"/>
                <w:iCs w:val="0"/>
                <w:caps w:val="0"/>
                <w:color w:val="auto"/>
                <w:spacing w:val="0"/>
                <w:sz w:val="21"/>
                <w:szCs w:val="21"/>
                <w:shd w:val="clear" w:fill="FFFFFF"/>
              </w:rPr>
              <w:t>dB(A)）。项目厂界外50米范围内无声环境保护目标，对周围声环境影响不大。</w:t>
            </w:r>
          </w:p>
          <w:p w14:paraId="55E0E7B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Times New Roman" w:hAnsi="Times New Roman" w:eastAsia="宋体" w:cs="var(--dsw-font-markdown-h3)"/>
                <w:color w:val="auto"/>
                <w:sz w:val="21"/>
              </w:rPr>
            </w:pPr>
            <w:bookmarkStart w:id="62" w:name="_Toc5356"/>
            <w:bookmarkStart w:id="63" w:name="_Toc8979"/>
            <w:r>
              <w:rPr>
                <w:rFonts w:hint="default" w:ascii="Times New Roman" w:hAnsi="Times New Roman" w:eastAsia="宋体" w:cs="var(--dsw-font-markdown-h3)"/>
                <w:i w:val="0"/>
                <w:iCs w:val="0"/>
                <w:caps w:val="0"/>
                <w:color w:val="auto"/>
                <w:spacing w:val="0"/>
                <w:sz w:val="21"/>
                <w:shd w:val="clear" w:fill="FFFFFF"/>
              </w:rPr>
              <w:t>4、噪声监测计划</w:t>
            </w:r>
            <w:bookmarkEnd w:id="62"/>
            <w:bookmarkEnd w:id="63"/>
          </w:p>
          <w:p w14:paraId="36E4D45B">
            <w:pPr>
              <w:pStyle w:val="4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根据《排污许可证申请与核发技术规范工业噪声》（HJ1301—2023）及《排污单位自行监测技术指南总则》（</w:t>
            </w:r>
            <w:r>
              <w:rPr>
                <w:rFonts w:hint="eastAsia" w:ascii="Times New Roman" w:hAnsi="Times New Roman" w:cs="var(--dsw-font-markdown-base)"/>
                <w:i w:val="0"/>
                <w:iCs w:val="0"/>
                <w:caps w:val="0"/>
                <w:color w:val="auto"/>
                <w:spacing w:val="0"/>
                <w:sz w:val="21"/>
                <w:szCs w:val="21"/>
                <w:shd w:val="clear" w:fill="FFFFFF"/>
                <w:lang w:eastAsia="zh-CN"/>
              </w:rPr>
              <w:t>HJ819-2017</w:t>
            </w:r>
            <w:r>
              <w:rPr>
                <w:rFonts w:hint="default" w:ascii="Times New Roman" w:hAnsi="Times New Roman" w:eastAsia="宋体" w:cs="var(--dsw-font-markdown-base)"/>
                <w:i w:val="0"/>
                <w:iCs w:val="0"/>
                <w:caps w:val="0"/>
                <w:color w:val="auto"/>
                <w:spacing w:val="0"/>
                <w:sz w:val="21"/>
                <w:szCs w:val="21"/>
                <w:shd w:val="clear" w:fill="FFFFFF"/>
              </w:rPr>
              <w:t>），本项目噪声监测计划见下表</w:t>
            </w:r>
            <w:r>
              <w:rPr>
                <w:rFonts w:hint="eastAsia" w:ascii="Times New Roman" w:hAnsi="Times New Roman" w:cs="var(--dsw-font-xxxs-strong-11)"/>
                <w:i w:val="0"/>
                <w:iCs w:val="0"/>
                <w:caps w:val="0"/>
                <w:color w:val="auto"/>
                <w:spacing w:val="0"/>
                <w:sz w:val="21"/>
                <w:szCs w:val="21"/>
                <w:shd w:val="clear" w:fill="FFFFFF"/>
                <w:lang w:eastAsia="zh-CN"/>
              </w:rPr>
              <w:t xml:space="preserve"> </w:t>
            </w:r>
            <w:r>
              <w:rPr>
                <w:rFonts w:hint="default" w:ascii="Times New Roman" w:hAnsi="Times New Roman" w:eastAsia="宋体" w:cs="var(--dsw-font-markdown-base)"/>
                <w:i w:val="0"/>
                <w:iCs w:val="0"/>
                <w:caps w:val="0"/>
                <w:color w:val="auto"/>
                <w:spacing w:val="0"/>
                <w:sz w:val="21"/>
                <w:szCs w:val="21"/>
                <w:shd w:val="clear" w:fill="FFFFFF"/>
              </w:rPr>
              <w:t>。</w:t>
            </w:r>
          </w:p>
          <w:p w14:paraId="78AE181E">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sz w:val="21"/>
                <w:szCs w:val="24"/>
                <w:lang w:val="zh-CN" w:eastAsia="zh-CN"/>
              </w:rPr>
            </w:pPr>
            <w:r>
              <w:rPr>
                <w:rFonts w:hint="default" w:ascii="Times New Roman" w:hAnsi="Times New Roman" w:eastAsia="宋体" w:cs="Times New Roman"/>
                <w:b/>
                <w:color w:val="auto"/>
                <w:sz w:val="21"/>
                <w:szCs w:val="24"/>
                <w:lang w:val="zh-CN" w:eastAsia="zh-CN"/>
              </w:rPr>
              <w:t>噪声监测计划</w:t>
            </w:r>
          </w:p>
          <w:tbl>
            <w:tblPr>
              <w:tblStyle w:val="4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768"/>
              <w:gridCol w:w="1856"/>
              <w:gridCol w:w="1997"/>
              <w:gridCol w:w="2259"/>
              <w:gridCol w:w="3076"/>
            </w:tblGrid>
            <w:tr w14:paraId="4DF17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trPr>
              <w:tc>
                <w:tcPr>
                  <w:tcW w:w="768" w:type="dxa"/>
                  <w:shd w:val="clear" w:color="auto" w:fill="BEBEBE"/>
                  <w:vAlign w:val="center"/>
                </w:tcPr>
                <w:p w14:paraId="49E030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h"/>
                      <w:b/>
                      <w:bCs/>
                      <w:color w:val="auto"/>
                      <w:kern w:val="0"/>
                      <w:sz w:val="21"/>
                      <w:szCs w:val="24"/>
                      <w:lang w:val="en-US" w:eastAsia="zh-CN" w:bidi="ar"/>
                    </w:rPr>
                    <w:t>序号</w:t>
                  </w:r>
                </w:p>
              </w:tc>
              <w:tc>
                <w:tcPr>
                  <w:tcW w:w="1856" w:type="dxa"/>
                  <w:shd w:val="clear" w:color="auto" w:fill="BEBEBE"/>
                  <w:vAlign w:val="center"/>
                </w:tcPr>
                <w:p w14:paraId="38C2FC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h"/>
                      <w:b/>
                      <w:bCs/>
                      <w:color w:val="auto"/>
                      <w:kern w:val="0"/>
                      <w:sz w:val="21"/>
                      <w:szCs w:val="24"/>
                      <w:lang w:val="en-US" w:eastAsia="zh-CN" w:bidi="ar"/>
                    </w:rPr>
                    <w:t>监测点位</w:t>
                  </w:r>
                </w:p>
              </w:tc>
              <w:tc>
                <w:tcPr>
                  <w:tcW w:w="1997" w:type="dxa"/>
                  <w:shd w:val="clear" w:color="auto" w:fill="BEBEBE"/>
                  <w:vAlign w:val="center"/>
                </w:tcPr>
                <w:p w14:paraId="2B68F7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h"/>
                      <w:b/>
                      <w:bCs/>
                      <w:color w:val="auto"/>
                      <w:kern w:val="0"/>
                      <w:sz w:val="21"/>
                      <w:szCs w:val="24"/>
                      <w:lang w:val="en-US" w:eastAsia="zh-CN" w:bidi="ar"/>
                    </w:rPr>
                    <w:t>监测频次</w:t>
                  </w:r>
                </w:p>
              </w:tc>
              <w:tc>
                <w:tcPr>
                  <w:tcW w:w="2259" w:type="dxa"/>
                  <w:shd w:val="clear" w:color="auto" w:fill="BEBEBE"/>
                  <w:vAlign w:val="center"/>
                </w:tcPr>
                <w:p w14:paraId="74DD58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h"/>
                      <w:b/>
                      <w:bCs/>
                      <w:color w:val="auto"/>
                      <w:kern w:val="0"/>
                      <w:sz w:val="21"/>
                      <w:szCs w:val="24"/>
                      <w:lang w:val="en-US" w:eastAsia="zh-CN" w:bidi="ar"/>
                    </w:rPr>
                    <w:t>排放限值</w:t>
                  </w:r>
                </w:p>
              </w:tc>
              <w:tc>
                <w:tcPr>
                  <w:tcW w:w="3076" w:type="dxa"/>
                  <w:shd w:val="clear" w:color="auto" w:fill="BEBEBE"/>
                  <w:vAlign w:val="center"/>
                </w:tcPr>
                <w:p w14:paraId="6A9414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h"/>
                      <w:b/>
                      <w:bCs/>
                      <w:color w:val="auto"/>
                      <w:kern w:val="0"/>
                      <w:sz w:val="21"/>
                      <w:szCs w:val="24"/>
                      <w:lang w:val="en-US" w:eastAsia="zh-CN" w:bidi="ar"/>
                    </w:rPr>
                    <w:t>执行排放标准</w:t>
                  </w:r>
                </w:p>
              </w:tc>
            </w:tr>
            <w:tr w14:paraId="58006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4" w:hRule="atLeast"/>
              </w:trPr>
              <w:tc>
                <w:tcPr>
                  <w:tcW w:w="768" w:type="dxa"/>
                  <w:shd w:val="clear" w:color="auto" w:fill="FFFFFF"/>
                  <w:vAlign w:val="center"/>
                </w:tcPr>
                <w:p w14:paraId="43C5FF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color w:val="auto"/>
                      <w:kern w:val="0"/>
                      <w:sz w:val="21"/>
                      <w:szCs w:val="24"/>
                      <w:lang w:val="en-US" w:eastAsia="zh-CN" w:bidi="ar"/>
                    </w:rPr>
                    <w:t>1</w:t>
                  </w:r>
                </w:p>
              </w:tc>
              <w:tc>
                <w:tcPr>
                  <w:tcW w:w="1856" w:type="dxa"/>
                  <w:shd w:val="clear" w:color="auto" w:fill="FFFFFF"/>
                  <w:vAlign w:val="center"/>
                </w:tcPr>
                <w:p w14:paraId="1DF1E8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color w:val="auto"/>
                      <w:kern w:val="0"/>
                      <w:sz w:val="21"/>
                      <w:szCs w:val="24"/>
                      <w:lang w:val="en-US" w:eastAsia="zh-CN" w:bidi="ar"/>
                    </w:rPr>
                    <w:t>东</w:t>
                  </w:r>
                  <w:r>
                    <w:rPr>
                      <w:rFonts w:hint="eastAsia" w:cs="var(--dsw-font-markdown-table)"/>
                      <w:color w:val="auto"/>
                      <w:kern w:val="0"/>
                      <w:sz w:val="21"/>
                      <w:szCs w:val="24"/>
                      <w:lang w:val="en-US" w:eastAsia="zh-CN" w:bidi="ar"/>
                    </w:rPr>
                    <w:t>北</w:t>
                  </w:r>
                  <w:r>
                    <w:rPr>
                      <w:rFonts w:hint="default" w:ascii="Times New Roman" w:hAnsi="Times New Roman" w:eastAsia="宋体" w:cs="var(--dsw-font-markdown-table)"/>
                      <w:color w:val="auto"/>
                      <w:kern w:val="0"/>
                      <w:sz w:val="21"/>
                      <w:szCs w:val="24"/>
                      <w:lang w:val="en-US" w:eastAsia="zh-CN" w:bidi="ar"/>
                    </w:rPr>
                    <w:t>面厂界</w:t>
                  </w:r>
                </w:p>
              </w:tc>
              <w:tc>
                <w:tcPr>
                  <w:tcW w:w="1997" w:type="dxa"/>
                  <w:shd w:val="clear" w:color="auto" w:fill="FFFFFF"/>
                  <w:vAlign w:val="center"/>
                </w:tcPr>
                <w:p w14:paraId="647C0D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color w:val="auto"/>
                      <w:kern w:val="0"/>
                      <w:sz w:val="21"/>
                      <w:szCs w:val="24"/>
                      <w:lang w:val="en-US" w:eastAsia="zh-CN" w:bidi="ar"/>
                    </w:rPr>
                    <w:t>1次/季度</w:t>
                  </w:r>
                </w:p>
              </w:tc>
              <w:tc>
                <w:tcPr>
                  <w:tcW w:w="2259" w:type="dxa"/>
                  <w:shd w:val="clear" w:color="auto" w:fill="FFFFFF"/>
                  <w:vAlign w:val="center"/>
                </w:tcPr>
                <w:p w14:paraId="0625C1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color w:val="auto"/>
                      <w:kern w:val="0"/>
                      <w:sz w:val="21"/>
                      <w:szCs w:val="24"/>
                      <w:lang w:val="en-US" w:eastAsia="zh-CN" w:bidi="ar"/>
                    </w:rPr>
                    <w:t>昼间≤6</w:t>
                  </w:r>
                  <w:r>
                    <w:rPr>
                      <w:rFonts w:hint="eastAsia" w:cs="var(--dsw-font-markdown-table)"/>
                      <w:color w:val="auto"/>
                      <w:kern w:val="0"/>
                      <w:sz w:val="21"/>
                      <w:szCs w:val="24"/>
                      <w:lang w:val="en-US" w:eastAsia="zh-CN" w:bidi="ar"/>
                    </w:rPr>
                    <w:t>5</w:t>
                  </w:r>
                  <w:r>
                    <w:rPr>
                      <w:rFonts w:hint="default" w:ascii="Times New Roman" w:hAnsi="Times New Roman" w:eastAsia="宋体" w:cs="var(--dsw-font-markdown-table)"/>
                      <w:color w:val="auto"/>
                      <w:kern w:val="0"/>
                      <w:sz w:val="21"/>
                      <w:szCs w:val="24"/>
                      <w:lang w:val="en-US" w:eastAsia="zh-CN" w:bidi="ar"/>
                    </w:rPr>
                    <w:t>dB(A)</w:t>
                  </w:r>
                </w:p>
              </w:tc>
              <w:tc>
                <w:tcPr>
                  <w:tcW w:w="3076" w:type="dxa"/>
                  <w:vMerge w:val="restart"/>
                  <w:shd w:val="clear" w:color="auto" w:fill="FFFFFF"/>
                  <w:vAlign w:val="center"/>
                </w:tcPr>
                <w:p w14:paraId="718D62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color w:val="auto"/>
                      <w:kern w:val="0"/>
                      <w:sz w:val="21"/>
                      <w:szCs w:val="24"/>
                      <w:lang w:val="en-US" w:eastAsia="zh-CN" w:bidi="ar"/>
                    </w:rPr>
                    <w:t>《工业企业厂界环境噪声排放标准》（</w:t>
                  </w:r>
                  <w:r>
                    <w:rPr>
                      <w:rFonts w:hint="eastAsia" w:cs="var(--dsw-font-markdown-table)"/>
                      <w:color w:val="auto"/>
                      <w:kern w:val="0"/>
                      <w:sz w:val="21"/>
                      <w:szCs w:val="24"/>
                      <w:lang w:val="en-US" w:eastAsia="zh-CN" w:bidi="ar"/>
                    </w:rPr>
                    <w:t>GB12348-2008</w:t>
                  </w:r>
                  <w:r>
                    <w:rPr>
                      <w:rFonts w:hint="default" w:ascii="Times New Roman" w:hAnsi="Times New Roman" w:eastAsia="宋体" w:cs="var(--dsw-font-markdown-table)"/>
                      <w:color w:val="auto"/>
                      <w:kern w:val="0"/>
                      <w:sz w:val="21"/>
                      <w:szCs w:val="24"/>
                      <w:lang w:val="en-US" w:eastAsia="zh-CN" w:bidi="ar"/>
                    </w:rPr>
                    <w:t>）</w:t>
                  </w:r>
                  <w:r>
                    <w:rPr>
                      <w:rFonts w:hint="eastAsia" w:cs="var(--dsw-font-markdown-table)"/>
                      <w:color w:val="auto"/>
                      <w:kern w:val="0"/>
                      <w:sz w:val="21"/>
                      <w:szCs w:val="24"/>
                      <w:lang w:val="en-US" w:eastAsia="zh-CN" w:bidi="ar"/>
                    </w:rPr>
                    <w:t>3</w:t>
                  </w:r>
                  <w:r>
                    <w:rPr>
                      <w:rFonts w:hint="default" w:ascii="Times New Roman" w:hAnsi="Times New Roman" w:eastAsia="宋体" w:cs="var(--dsw-font-markdown-table)"/>
                      <w:color w:val="auto"/>
                      <w:kern w:val="0"/>
                      <w:sz w:val="21"/>
                      <w:szCs w:val="24"/>
                      <w:lang w:val="en-US" w:eastAsia="zh-CN" w:bidi="ar"/>
                    </w:rPr>
                    <w:t>类标准</w:t>
                  </w:r>
                </w:p>
              </w:tc>
            </w:tr>
            <w:tr w14:paraId="43D63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4" w:hRule="atLeast"/>
              </w:trPr>
              <w:tc>
                <w:tcPr>
                  <w:tcW w:w="768" w:type="dxa"/>
                  <w:shd w:val="clear" w:color="auto" w:fill="FFFFFF"/>
                  <w:vAlign w:val="center"/>
                </w:tcPr>
                <w:p w14:paraId="08E7B7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color w:val="auto"/>
                      <w:kern w:val="0"/>
                      <w:sz w:val="21"/>
                      <w:szCs w:val="24"/>
                      <w:lang w:val="en-US" w:eastAsia="zh-CN" w:bidi="ar"/>
                    </w:rPr>
                    <w:t>2</w:t>
                  </w:r>
                </w:p>
              </w:tc>
              <w:tc>
                <w:tcPr>
                  <w:tcW w:w="1856" w:type="dxa"/>
                  <w:shd w:val="clear" w:color="auto" w:fill="FFFFFF"/>
                  <w:vAlign w:val="center"/>
                </w:tcPr>
                <w:p w14:paraId="513DDE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eastAsia" w:cs="var(--dsw-font-markdown-table)"/>
                      <w:color w:val="auto"/>
                      <w:kern w:val="0"/>
                      <w:sz w:val="21"/>
                      <w:szCs w:val="24"/>
                      <w:lang w:val="en-US" w:eastAsia="zh-CN" w:bidi="ar"/>
                    </w:rPr>
                    <w:t>东</w:t>
                  </w:r>
                  <w:r>
                    <w:rPr>
                      <w:rFonts w:hint="default" w:ascii="Times New Roman" w:hAnsi="Times New Roman" w:eastAsia="宋体" w:cs="var(--dsw-font-markdown-table)"/>
                      <w:color w:val="auto"/>
                      <w:kern w:val="0"/>
                      <w:sz w:val="21"/>
                      <w:szCs w:val="24"/>
                      <w:lang w:val="en-US" w:eastAsia="zh-CN" w:bidi="ar"/>
                    </w:rPr>
                    <w:t>南面厂界</w:t>
                  </w:r>
                </w:p>
              </w:tc>
              <w:tc>
                <w:tcPr>
                  <w:tcW w:w="1997" w:type="dxa"/>
                  <w:shd w:val="clear" w:color="auto" w:fill="FFFFFF"/>
                  <w:vAlign w:val="center"/>
                </w:tcPr>
                <w:p w14:paraId="3C1570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color w:val="auto"/>
                      <w:kern w:val="0"/>
                      <w:sz w:val="21"/>
                      <w:szCs w:val="24"/>
                      <w:lang w:val="en-US" w:eastAsia="zh-CN" w:bidi="ar"/>
                    </w:rPr>
                    <w:t>1次/季度</w:t>
                  </w:r>
                </w:p>
              </w:tc>
              <w:tc>
                <w:tcPr>
                  <w:tcW w:w="2259" w:type="dxa"/>
                  <w:shd w:val="clear" w:color="auto" w:fill="FFFFFF"/>
                  <w:vAlign w:val="center"/>
                </w:tcPr>
                <w:p w14:paraId="4A4513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color w:val="auto"/>
                      <w:kern w:val="0"/>
                      <w:sz w:val="21"/>
                      <w:szCs w:val="24"/>
                      <w:lang w:val="en-US" w:eastAsia="zh-CN" w:bidi="ar"/>
                    </w:rPr>
                    <w:t>昼间≤6</w:t>
                  </w:r>
                  <w:r>
                    <w:rPr>
                      <w:rFonts w:hint="eastAsia" w:cs="var(--dsw-font-markdown-table)"/>
                      <w:color w:val="auto"/>
                      <w:kern w:val="0"/>
                      <w:sz w:val="21"/>
                      <w:szCs w:val="24"/>
                      <w:lang w:val="en-US" w:eastAsia="zh-CN" w:bidi="ar"/>
                    </w:rPr>
                    <w:t>5</w:t>
                  </w:r>
                  <w:r>
                    <w:rPr>
                      <w:rFonts w:hint="default" w:ascii="Times New Roman" w:hAnsi="Times New Roman" w:eastAsia="宋体" w:cs="var(--dsw-font-markdown-table)"/>
                      <w:color w:val="auto"/>
                      <w:kern w:val="0"/>
                      <w:sz w:val="21"/>
                      <w:szCs w:val="24"/>
                      <w:lang w:val="en-US" w:eastAsia="zh-CN" w:bidi="ar"/>
                    </w:rPr>
                    <w:t>dB(A)</w:t>
                  </w:r>
                </w:p>
              </w:tc>
              <w:tc>
                <w:tcPr>
                  <w:tcW w:w="3076" w:type="dxa"/>
                  <w:vMerge w:val="continue"/>
                  <w:shd w:val="clear" w:color="auto" w:fill="FFFFFF"/>
                  <w:vAlign w:val="center"/>
                </w:tcPr>
                <w:p w14:paraId="71EAB0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olor w:val="auto"/>
                      <w:sz w:val="21"/>
                      <w:highlight w:val="none"/>
                    </w:rPr>
                  </w:pPr>
                </w:p>
              </w:tc>
            </w:tr>
            <w:tr w14:paraId="15C7D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4" w:hRule="atLeast"/>
              </w:trPr>
              <w:tc>
                <w:tcPr>
                  <w:tcW w:w="768" w:type="dxa"/>
                  <w:shd w:val="clear" w:color="auto" w:fill="FFFFFF"/>
                  <w:vAlign w:val="center"/>
                </w:tcPr>
                <w:p w14:paraId="48D007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color w:val="auto"/>
                      <w:kern w:val="0"/>
                      <w:sz w:val="21"/>
                      <w:szCs w:val="24"/>
                      <w:lang w:val="en-US" w:eastAsia="zh-CN" w:bidi="ar"/>
                    </w:rPr>
                    <w:t>3</w:t>
                  </w:r>
                </w:p>
              </w:tc>
              <w:tc>
                <w:tcPr>
                  <w:tcW w:w="1856" w:type="dxa"/>
                  <w:shd w:val="clear" w:color="auto" w:fill="FFFFFF"/>
                  <w:vAlign w:val="center"/>
                </w:tcPr>
                <w:p w14:paraId="1A1FF0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color w:val="auto"/>
                      <w:kern w:val="0"/>
                      <w:sz w:val="21"/>
                      <w:szCs w:val="24"/>
                      <w:lang w:val="en-US" w:eastAsia="zh-CN" w:bidi="ar"/>
                    </w:rPr>
                    <w:t>西</w:t>
                  </w:r>
                  <w:r>
                    <w:rPr>
                      <w:rFonts w:hint="eastAsia" w:cs="var(--dsw-font-markdown-table)"/>
                      <w:color w:val="auto"/>
                      <w:kern w:val="0"/>
                      <w:sz w:val="21"/>
                      <w:szCs w:val="24"/>
                      <w:lang w:val="en-US" w:eastAsia="zh-CN" w:bidi="ar"/>
                    </w:rPr>
                    <w:t>南</w:t>
                  </w:r>
                  <w:r>
                    <w:rPr>
                      <w:rFonts w:hint="default" w:ascii="Times New Roman" w:hAnsi="Times New Roman" w:eastAsia="宋体" w:cs="var(--dsw-font-markdown-table)"/>
                      <w:color w:val="auto"/>
                      <w:kern w:val="0"/>
                      <w:sz w:val="21"/>
                      <w:szCs w:val="24"/>
                      <w:lang w:val="en-US" w:eastAsia="zh-CN" w:bidi="ar"/>
                    </w:rPr>
                    <w:t>面厂界</w:t>
                  </w:r>
                </w:p>
              </w:tc>
              <w:tc>
                <w:tcPr>
                  <w:tcW w:w="1997" w:type="dxa"/>
                  <w:shd w:val="clear" w:color="auto" w:fill="FFFFFF"/>
                  <w:vAlign w:val="center"/>
                </w:tcPr>
                <w:p w14:paraId="239B72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color w:val="auto"/>
                      <w:kern w:val="0"/>
                      <w:sz w:val="21"/>
                      <w:szCs w:val="24"/>
                      <w:lang w:val="en-US" w:eastAsia="zh-CN" w:bidi="ar"/>
                    </w:rPr>
                    <w:t>1次/季度</w:t>
                  </w:r>
                </w:p>
              </w:tc>
              <w:tc>
                <w:tcPr>
                  <w:tcW w:w="2259" w:type="dxa"/>
                  <w:shd w:val="clear" w:color="auto" w:fill="FFFFFF"/>
                  <w:vAlign w:val="center"/>
                </w:tcPr>
                <w:p w14:paraId="4F5D17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color w:val="auto"/>
                      <w:kern w:val="0"/>
                      <w:sz w:val="21"/>
                      <w:szCs w:val="24"/>
                      <w:lang w:val="en-US" w:eastAsia="zh-CN" w:bidi="ar"/>
                    </w:rPr>
                    <w:t>昼间≤6</w:t>
                  </w:r>
                  <w:r>
                    <w:rPr>
                      <w:rFonts w:hint="eastAsia" w:cs="var(--dsw-font-markdown-table)"/>
                      <w:color w:val="auto"/>
                      <w:kern w:val="0"/>
                      <w:sz w:val="21"/>
                      <w:szCs w:val="24"/>
                      <w:lang w:val="en-US" w:eastAsia="zh-CN" w:bidi="ar"/>
                    </w:rPr>
                    <w:t>5</w:t>
                  </w:r>
                  <w:r>
                    <w:rPr>
                      <w:rFonts w:hint="default" w:ascii="Times New Roman" w:hAnsi="Times New Roman" w:eastAsia="宋体" w:cs="var(--dsw-font-markdown-table)"/>
                      <w:color w:val="auto"/>
                      <w:kern w:val="0"/>
                      <w:sz w:val="21"/>
                      <w:szCs w:val="24"/>
                      <w:lang w:val="en-US" w:eastAsia="zh-CN" w:bidi="ar"/>
                    </w:rPr>
                    <w:t>dB(A)</w:t>
                  </w:r>
                </w:p>
              </w:tc>
              <w:tc>
                <w:tcPr>
                  <w:tcW w:w="3076" w:type="dxa"/>
                  <w:vMerge w:val="continue"/>
                  <w:shd w:val="clear" w:color="auto" w:fill="FFFFFF"/>
                  <w:vAlign w:val="center"/>
                </w:tcPr>
                <w:p w14:paraId="44F882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olor w:val="auto"/>
                      <w:sz w:val="21"/>
                      <w:highlight w:val="none"/>
                    </w:rPr>
                  </w:pPr>
                </w:p>
              </w:tc>
            </w:tr>
            <w:tr w14:paraId="01C71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4" w:hRule="atLeast"/>
              </w:trPr>
              <w:tc>
                <w:tcPr>
                  <w:tcW w:w="768" w:type="dxa"/>
                  <w:shd w:val="clear" w:color="auto" w:fill="FFFFFF"/>
                  <w:vAlign w:val="center"/>
                </w:tcPr>
                <w:p w14:paraId="7B512E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color w:val="auto"/>
                      <w:kern w:val="0"/>
                      <w:sz w:val="21"/>
                      <w:szCs w:val="24"/>
                      <w:lang w:val="en-US" w:eastAsia="zh-CN" w:bidi="ar"/>
                    </w:rPr>
                    <w:t>4</w:t>
                  </w:r>
                </w:p>
              </w:tc>
              <w:tc>
                <w:tcPr>
                  <w:tcW w:w="1856" w:type="dxa"/>
                  <w:shd w:val="clear" w:color="auto" w:fill="FFFFFF"/>
                  <w:vAlign w:val="center"/>
                </w:tcPr>
                <w:p w14:paraId="621E33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eastAsia" w:cs="var(--dsw-font-markdown-table)"/>
                      <w:color w:val="auto"/>
                      <w:kern w:val="0"/>
                      <w:sz w:val="21"/>
                      <w:szCs w:val="24"/>
                      <w:lang w:val="en-US" w:eastAsia="zh-CN" w:bidi="ar"/>
                    </w:rPr>
                    <w:t>西</w:t>
                  </w:r>
                  <w:r>
                    <w:rPr>
                      <w:rFonts w:hint="default" w:ascii="Times New Roman" w:hAnsi="Times New Roman" w:eastAsia="宋体" w:cs="var(--dsw-font-markdown-table)"/>
                      <w:color w:val="auto"/>
                      <w:kern w:val="0"/>
                      <w:sz w:val="21"/>
                      <w:szCs w:val="24"/>
                      <w:lang w:val="en-US" w:eastAsia="zh-CN" w:bidi="ar"/>
                    </w:rPr>
                    <w:t>北面厂界</w:t>
                  </w:r>
                </w:p>
              </w:tc>
              <w:tc>
                <w:tcPr>
                  <w:tcW w:w="1997" w:type="dxa"/>
                  <w:shd w:val="clear" w:color="auto" w:fill="FFFFFF"/>
                  <w:vAlign w:val="center"/>
                </w:tcPr>
                <w:p w14:paraId="708748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color w:val="auto"/>
                      <w:kern w:val="0"/>
                      <w:sz w:val="21"/>
                      <w:szCs w:val="24"/>
                      <w:lang w:val="en-US" w:eastAsia="zh-CN" w:bidi="ar"/>
                    </w:rPr>
                    <w:t>1次/季度</w:t>
                  </w:r>
                </w:p>
              </w:tc>
              <w:tc>
                <w:tcPr>
                  <w:tcW w:w="2259" w:type="dxa"/>
                  <w:shd w:val="clear" w:color="auto" w:fill="FFFFFF"/>
                  <w:vAlign w:val="center"/>
                </w:tcPr>
                <w:p w14:paraId="717EDF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olor w:val="auto"/>
                      <w:sz w:val="21"/>
                      <w:highlight w:val="none"/>
                    </w:rPr>
                  </w:pPr>
                  <w:r>
                    <w:rPr>
                      <w:rFonts w:hint="default" w:ascii="Times New Roman" w:hAnsi="Times New Roman" w:eastAsia="宋体" w:cs="var(--dsw-font-markdown-table)"/>
                      <w:color w:val="auto"/>
                      <w:kern w:val="0"/>
                      <w:sz w:val="21"/>
                      <w:szCs w:val="24"/>
                      <w:lang w:val="en-US" w:eastAsia="zh-CN" w:bidi="ar"/>
                    </w:rPr>
                    <w:t>昼间≤6</w:t>
                  </w:r>
                  <w:r>
                    <w:rPr>
                      <w:rFonts w:hint="eastAsia" w:cs="var(--dsw-font-markdown-table)"/>
                      <w:color w:val="auto"/>
                      <w:kern w:val="0"/>
                      <w:sz w:val="21"/>
                      <w:szCs w:val="24"/>
                      <w:lang w:val="en-US" w:eastAsia="zh-CN" w:bidi="ar"/>
                    </w:rPr>
                    <w:t>5</w:t>
                  </w:r>
                  <w:r>
                    <w:rPr>
                      <w:rFonts w:hint="default" w:ascii="Times New Roman" w:hAnsi="Times New Roman" w:eastAsia="宋体" w:cs="var(--dsw-font-markdown-table)"/>
                      <w:color w:val="auto"/>
                      <w:kern w:val="0"/>
                      <w:sz w:val="21"/>
                      <w:szCs w:val="24"/>
                      <w:lang w:val="en-US" w:eastAsia="zh-CN" w:bidi="ar"/>
                    </w:rPr>
                    <w:t>dB(A)</w:t>
                  </w:r>
                </w:p>
              </w:tc>
              <w:tc>
                <w:tcPr>
                  <w:tcW w:w="3076" w:type="dxa"/>
                  <w:vMerge w:val="continue"/>
                  <w:shd w:val="clear" w:color="auto" w:fill="FFFFFF"/>
                  <w:vAlign w:val="center"/>
                </w:tcPr>
                <w:p w14:paraId="1CAAF4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olor w:val="auto"/>
                      <w:sz w:val="21"/>
                      <w:highlight w:val="none"/>
                    </w:rPr>
                  </w:pPr>
                </w:p>
              </w:tc>
            </w:tr>
          </w:tbl>
          <w:p w14:paraId="705A05FF">
            <w:pPr>
              <w:keepNext w:val="0"/>
              <w:keepLines w:val="0"/>
              <w:suppressLineNumbers w:val="0"/>
              <w:adjustRightInd w:val="0"/>
              <w:snapToGrid w:val="0"/>
              <w:spacing w:before="120" w:beforeLines="50" w:beforeAutospacing="0" w:after="0" w:afterAutospacing="0"/>
              <w:ind w:left="0" w:right="0" w:firstLine="442"/>
              <w:rPr>
                <w:rFonts w:hint="eastAsia" w:ascii="Times New Roman" w:hAnsi="Times New Roman" w:eastAsia="宋体"/>
                <w:b/>
                <w:bCs/>
                <w:color w:val="auto"/>
                <w:spacing w:val="-10"/>
                <w:sz w:val="21"/>
                <w:highlight w:val="none"/>
                <w:lang w:eastAsia="zh-CN"/>
              </w:rPr>
            </w:pPr>
            <w:r>
              <w:rPr>
                <w:rFonts w:hint="eastAsia" w:ascii="Times New Roman" w:hAnsi="Times New Roman" w:eastAsia="宋体" w:cs="宋体"/>
                <w:b/>
                <w:bCs/>
                <w:i w:val="0"/>
                <w:iCs w:val="0"/>
                <w:caps w:val="0"/>
                <w:color w:val="auto"/>
                <w:spacing w:val="0"/>
                <w:sz w:val="21"/>
                <w:szCs w:val="24"/>
                <w:shd w:val="clear" w:fill="FFFFFF"/>
              </w:rPr>
              <w:t>说明：</w:t>
            </w:r>
            <w:r>
              <w:rPr>
                <w:rFonts w:hint="eastAsia" w:ascii="Times New Roman" w:hAnsi="Times New Roman" w:eastAsia="宋体" w:cs="宋体"/>
                <w:i w:val="0"/>
                <w:iCs w:val="0"/>
                <w:caps w:val="0"/>
                <w:color w:val="auto"/>
                <w:spacing w:val="0"/>
                <w:sz w:val="21"/>
                <w:szCs w:val="24"/>
                <w:shd w:val="clear" w:fill="FFFFFF"/>
              </w:rPr>
              <w:t>项目夜间不生产，故仅监测昼间噪声。监测方法按《工业企业厂界环境噪声排放标准》（</w:t>
            </w:r>
            <w:r>
              <w:rPr>
                <w:rFonts w:hint="eastAsia" w:cs="宋体"/>
                <w:i w:val="0"/>
                <w:iCs w:val="0"/>
                <w:caps w:val="0"/>
                <w:color w:val="auto"/>
                <w:spacing w:val="0"/>
                <w:sz w:val="21"/>
                <w:szCs w:val="24"/>
                <w:shd w:val="clear" w:fill="FFFFFF"/>
                <w:lang w:eastAsia="zh-CN"/>
              </w:rPr>
              <w:t>GB12348-2008</w:t>
            </w:r>
            <w:r>
              <w:rPr>
                <w:rFonts w:hint="eastAsia" w:ascii="Times New Roman" w:hAnsi="Times New Roman" w:eastAsia="宋体" w:cs="宋体"/>
                <w:i w:val="0"/>
                <w:iCs w:val="0"/>
                <w:caps w:val="0"/>
                <w:color w:val="auto"/>
                <w:spacing w:val="0"/>
                <w:sz w:val="21"/>
                <w:szCs w:val="24"/>
                <w:shd w:val="clear" w:fill="FFFFFF"/>
              </w:rPr>
              <w:t>）中的相关规定执行</w:t>
            </w:r>
            <w:r>
              <w:rPr>
                <w:rFonts w:hint="eastAsia" w:ascii="Times New Roman" w:hAnsi="Times New Roman" w:eastAsia="宋体" w:cs="宋体"/>
                <w:i w:val="0"/>
                <w:iCs w:val="0"/>
                <w:caps w:val="0"/>
                <w:color w:val="auto"/>
                <w:spacing w:val="0"/>
                <w:sz w:val="21"/>
                <w:szCs w:val="24"/>
                <w:shd w:val="clear" w:fill="FFFFFF"/>
                <w:lang w:eastAsia="zh-CN"/>
              </w:rPr>
              <w:t>。</w:t>
            </w:r>
          </w:p>
          <w:p w14:paraId="55B90CE2">
            <w:pPr>
              <w:pStyle w:val="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382" w:firstLineChars="200"/>
              <w:textAlignment w:val="auto"/>
              <w:rPr>
                <w:rFonts w:hint="default" w:ascii="Times New Roman" w:hAnsi="Times New Roman" w:eastAsia="宋体" w:cs="Segoe UI"/>
                <w:i w:val="0"/>
                <w:iCs w:val="0"/>
                <w:caps w:val="0"/>
                <w:color w:val="auto"/>
                <w:spacing w:val="0"/>
                <w:sz w:val="21"/>
              </w:rPr>
            </w:pPr>
            <w:bookmarkStart w:id="64" w:name="_Toc6960"/>
            <w:bookmarkStart w:id="65" w:name="_Toc24262"/>
            <w:r>
              <w:rPr>
                <w:rFonts w:hint="default" w:ascii="Times New Roman" w:hAnsi="Times New Roman" w:eastAsia="宋体"/>
                <w:b/>
                <w:bCs/>
                <w:color w:val="auto"/>
                <w:spacing w:val="-10"/>
                <w:sz w:val="21"/>
                <w:highlight w:val="none"/>
              </w:rPr>
              <w:t>四、固体废物</w:t>
            </w:r>
            <w:bookmarkEnd w:id="64"/>
            <w:bookmarkEnd w:id="65"/>
          </w:p>
          <w:p w14:paraId="3B38B449">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项目营运期产生的固体废物主要为生产过程中产生的一般工业固体废物和危险废物。</w:t>
            </w:r>
          </w:p>
          <w:p w14:paraId="09ECC66D">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b/>
                <w:bCs/>
                <w:i w:val="0"/>
                <w:iCs w:val="0"/>
                <w:caps w:val="0"/>
                <w:color w:val="auto"/>
                <w:spacing w:val="0"/>
                <w:sz w:val="21"/>
                <w:szCs w:val="24"/>
                <w:shd w:val="clear" w:fill="FFFFFF"/>
              </w:rPr>
              <w:t>（1）生活垃圾</w:t>
            </w:r>
          </w:p>
          <w:p w14:paraId="23DEC275">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项目员工200人（具体包食宿人数待定），年工作300天，生活垃圾产生量按0.5kg/人·天计，则生活垃圾产生量为30t/a。生活垃圾统一收集后交由环卫部门处理。</w:t>
            </w:r>
          </w:p>
          <w:p w14:paraId="5F14436B">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b/>
                <w:bCs/>
                <w:i w:val="0"/>
                <w:iCs w:val="0"/>
                <w:caps w:val="0"/>
                <w:color w:val="auto"/>
                <w:spacing w:val="0"/>
                <w:sz w:val="21"/>
                <w:szCs w:val="24"/>
                <w:shd w:val="clear" w:fill="FFFFFF"/>
              </w:rPr>
              <w:t>（2）一般工业固体废物</w:t>
            </w:r>
          </w:p>
          <w:p w14:paraId="7E1AEC87">
            <w:pPr>
              <w:pStyle w:val="44"/>
              <w:keepNext w:val="0"/>
              <w:keepLines w:val="0"/>
              <w:pageBreakBefore w:val="0"/>
              <w:widowControl/>
              <w:numPr>
                <w:ilvl w:val="0"/>
                <w:numId w:val="32"/>
              </w:numPr>
              <w:suppressLineNumbers w:val="0"/>
              <w:kinsoku/>
              <w:wordWrap/>
              <w:overflowPunct/>
              <w:topLinePunct w:val="0"/>
              <w:autoSpaceDE/>
              <w:autoSpaceDN/>
              <w:bidi w:val="0"/>
              <w:snapToGrid/>
              <w:spacing w:before="0" w:beforeAutospacing="0" w:after="0" w:afterAutospacing="0" w:line="360" w:lineRule="auto"/>
              <w:ind w:left="0" w:leftChars="0" w:right="0" w:firstLine="420" w:firstLineChars="200"/>
              <w:textAlignment w:val="auto"/>
              <w:rPr>
                <w:rFonts w:hint="default" w:ascii="Times New Roman" w:hAnsi="Times New Roman" w:eastAsia="宋体"/>
                <w:sz w:val="21"/>
              </w:rPr>
            </w:pPr>
            <w:r>
              <w:rPr>
                <w:rFonts w:hint="default" w:ascii="Times New Roman" w:hAnsi="Times New Roman" w:eastAsia="宋体" w:cs="Segoe UI"/>
                <w:i w:val="0"/>
                <w:iCs w:val="0"/>
                <w:caps w:val="0"/>
                <w:color w:val="0F1115"/>
                <w:spacing w:val="0"/>
                <w:sz w:val="21"/>
                <w:szCs w:val="24"/>
                <w:shd w:val="clear" w:fill="FFFFFF"/>
              </w:rPr>
              <w:t>EVA边角料及不合格品：项目EVA鞋底修边、质检等过程会产生边角料和不合格产品，EVA鞋底成品需求187.5t/a，</w:t>
            </w:r>
            <w:r>
              <w:rPr>
                <w:rFonts w:hint="eastAsia" w:ascii="Times New Roman" w:hAnsi="Times New Roman" w:cs="Segoe UI"/>
                <w:i w:val="0"/>
                <w:iCs w:val="0"/>
                <w:caps w:val="0"/>
                <w:color w:val="0F1115"/>
                <w:spacing w:val="0"/>
                <w:sz w:val="21"/>
                <w:szCs w:val="24"/>
                <w:shd w:val="clear" w:fill="FFFFFF"/>
                <w:lang w:val="en-US" w:eastAsia="zh-CN"/>
              </w:rPr>
              <w:t>根据前文分析，</w:t>
            </w:r>
            <w:r>
              <w:rPr>
                <w:rFonts w:hint="default" w:ascii="Times New Roman" w:hAnsi="Times New Roman" w:eastAsia="宋体" w:cs="Segoe UI"/>
                <w:i w:val="0"/>
                <w:iCs w:val="0"/>
                <w:caps w:val="0"/>
                <w:color w:val="0F1115"/>
                <w:spacing w:val="0"/>
                <w:sz w:val="21"/>
                <w:szCs w:val="24"/>
                <w:shd w:val="clear" w:fill="FFFFFF"/>
              </w:rPr>
              <w:t>边角料及不合格品产生量约4.</w:t>
            </w:r>
            <w:r>
              <w:rPr>
                <w:rFonts w:hint="eastAsia" w:ascii="Times New Roman" w:hAnsi="Times New Roman" w:cs="Segoe UI"/>
                <w:i w:val="0"/>
                <w:iCs w:val="0"/>
                <w:caps w:val="0"/>
                <w:color w:val="0F1115"/>
                <w:spacing w:val="0"/>
                <w:sz w:val="21"/>
                <w:szCs w:val="24"/>
                <w:shd w:val="clear" w:fill="FFFFFF"/>
                <w:lang w:val="en-US" w:eastAsia="zh-CN"/>
              </w:rPr>
              <w:t>11</w:t>
            </w:r>
            <w:r>
              <w:rPr>
                <w:rFonts w:hint="default" w:ascii="Times New Roman" w:hAnsi="Times New Roman" w:eastAsia="宋体" w:cs="Segoe UI"/>
                <w:i w:val="0"/>
                <w:iCs w:val="0"/>
                <w:caps w:val="0"/>
                <w:color w:val="0F1115"/>
                <w:spacing w:val="0"/>
                <w:sz w:val="21"/>
                <w:szCs w:val="24"/>
                <w:shd w:val="clear" w:fill="FFFFFF"/>
              </w:rPr>
              <w:t>t/a，经收集后交给有一般固废处理能力单位处置。</w:t>
            </w:r>
          </w:p>
          <w:p w14:paraId="1C2CC8E4">
            <w:pPr>
              <w:pStyle w:val="44"/>
              <w:keepNext w:val="0"/>
              <w:keepLines w:val="0"/>
              <w:pageBreakBefore w:val="0"/>
              <w:widowControl/>
              <w:numPr>
                <w:ilvl w:val="0"/>
                <w:numId w:val="32"/>
              </w:numPr>
              <w:suppressLineNumbers w:val="0"/>
              <w:kinsoku/>
              <w:wordWrap/>
              <w:overflowPunct/>
              <w:topLinePunct w:val="0"/>
              <w:autoSpaceDE/>
              <w:autoSpaceDN/>
              <w:bidi w:val="0"/>
              <w:snapToGrid/>
              <w:spacing w:before="0" w:beforeAutospacing="0" w:after="0" w:afterAutospacing="0" w:line="360" w:lineRule="auto"/>
              <w:ind w:left="0" w:leftChars="0" w:right="0" w:firstLine="420" w:firstLineChars="200"/>
              <w:textAlignment w:val="auto"/>
              <w:rPr>
                <w:rFonts w:hint="default" w:ascii="Times New Roman" w:hAnsi="Times New Roman" w:eastAsia="宋体"/>
                <w:sz w:val="21"/>
              </w:rPr>
            </w:pPr>
            <w:r>
              <w:rPr>
                <w:rFonts w:hint="default" w:ascii="Times New Roman" w:hAnsi="Times New Roman" w:eastAsia="宋体" w:cs="Segoe UI"/>
                <w:i w:val="0"/>
                <w:iCs w:val="0"/>
                <w:caps w:val="0"/>
                <w:color w:val="0F1115"/>
                <w:spacing w:val="0"/>
                <w:sz w:val="21"/>
                <w:szCs w:val="24"/>
                <w:shd w:val="clear" w:fill="FFFFFF"/>
              </w:rPr>
              <w:t>一般包装废物：项目原辅材料拆包过程会产生废包装袋（吨袋、编织袋）。其中EVA胶粒153t/a（1t/袋，约153个，每个约重1kg），滑石粉32t/a（25kg/袋，约1280个，每个约重0.05kg），AC发泡剂8t/a（25kg/袋，约320个，每个约重0.05kg），合计一般包装废物产生量约0.233t/a，收集后交由有处理能力的一般固废处理单位处置。</w:t>
            </w:r>
          </w:p>
          <w:p w14:paraId="3A29EEB4">
            <w:pPr>
              <w:pStyle w:val="44"/>
              <w:keepNext w:val="0"/>
              <w:keepLines w:val="0"/>
              <w:pageBreakBefore w:val="0"/>
              <w:widowControl/>
              <w:numPr>
                <w:ilvl w:val="0"/>
                <w:numId w:val="32"/>
              </w:numPr>
              <w:suppressLineNumbers w:val="0"/>
              <w:kinsoku/>
              <w:wordWrap/>
              <w:overflowPunct/>
              <w:topLinePunct w:val="0"/>
              <w:autoSpaceDE/>
              <w:autoSpaceDN/>
              <w:bidi w:val="0"/>
              <w:snapToGrid/>
              <w:spacing w:before="0" w:beforeAutospacing="0" w:after="0" w:afterAutospacing="0" w:line="360" w:lineRule="auto"/>
              <w:ind w:left="0" w:leftChars="0" w:right="0" w:firstLine="420" w:firstLineChars="200"/>
              <w:textAlignment w:val="auto"/>
              <w:rPr>
                <w:rFonts w:hint="default" w:ascii="Times New Roman" w:hAnsi="Times New Roman" w:eastAsia="宋体"/>
                <w:sz w:val="21"/>
              </w:rPr>
            </w:pPr>
            <w:r>
              <w:rPr>
                <w:rFonts w:hint="default" w:ascii="Times New Roman" w:hAnsi="Times New Roman" w:eastAsia="宋体" w:cs="Segoe UI"/>
                <w:i w:val="0"/>
                <w:iCs w:val="0"/>
                <w:caps w:val="0"/>
                <w:color w:val="0F1115"/>
                <w:spacing w:val="0"/>
                <w:sz w:val="21"/>
                <w:szCs w:val="24"/>
                <w:shd w:val="clear" w:fill="FFFFFF"/>
              </w:rPr>
              <w:t>皮革/网布边角料：项目裁切、削皮等工序会产生皮革及网布边角料。外购皮革130t/a、网布130t/a，裁切及削皮损耗率按</w:t>
            </w:r>
            <w:r>
              <w:rPr>
                <w:rFonts w:hint="eastAsia" w:ascii="Times New Roman" w:hAnsi="Times New Roman" w:eastAsia="宋体" w:cs="Segoe UI"/>
                <w:i w:val="0"/>
                <w:iCs w:val="0"/>
                <w:caps w:val="0"/>
                <w:color w:val="0F1115"/>
                <w:spacing w:val="0"/>
                <w:sz w:val="21"/>
                <w:szCs w:val="24"/>
                <w:shd w:val="clear" w:fill="FFFFFF"/>
                <w:lang w:eastAsia="zh-CN"/>
              </w:rPr>
              <w:t>8%～10%</w:t>
            </w:r>
            <w:r>
              <w:rPr>
                <w:rFonts w:hint="default" w:ascii="Times New Roman" w:hAnsi="Times New Roman" w:eastAsia="宋体" w:cs="Segoe UI"/>
                <w:i w:val="0"/>
                <w:iCs w:val="0"/>
                <w:caps w:val="0"/>
                <w:color w:val="0F1115"/>
                <w:spacing w:val="0"/>
                <w:sz w:val="21"/>
                <w:szCs w:val="24"/>
                <w:shd w:val="clear" w:fill="FFFFFF"/>
              </w:rPr>
              <w:t>计，则皮革/网布边角料产生量约23.4t/a，经收集后交由有处理能力的一般固废处理单位处置。</w:t>
            </w:r>
          </w:p>
          <w:p w14:paraId="5444CD9F">
            <w:pPr>
              <w:pStyle w:val="44"/>
              <w:keepNext w:val="0"/>
              <w:keepLines w:val="0"/>
              <w:pageBreakBefore w:val="0"/>
              <w:widowControl/>
              <w:numPr>
                <w:ilvl w:val="0"/>
                <w:numId w:val="32"/>
              </w:numPr>
              <w:suppressLineNumbers w:val="0"/>
              <w:kinsoku/>
              <w:wordWrap/>
              <w:overflowPunct/>
              <w:topLinePunct w:val="0"/>
              <w:autoSpaceDE/>
              <w:autoSpaceDN/>
              <w:bidi w:val="0"/>
              <w:snapToGrid/>
              <w:spacing w:before="0" w:beforeAutospacing="0" w:after="0" w:afterAutospacing="0" w:line="360" w:lineRule="auto"/>
              <w:ind w:left="0" w:leftChars="0" w:right="0" w:firstLine="420" w:firstLineChars="200"/>
              <w:textAlignment w:val="auto"/>
              <w:rPr>
                <w:rFonts w:hint="default" w:ascii="Times New Roman" w:hAnsi="Times New Roman" w:eastAsia="宋体"/>
                <w:sz w:val="21"/>
              </w:rPr>
            </w:pPr>
            <w:r>
              <w:rPr>
                <w:rFonts w:hint="default" w:ascii="Times New Roman" w:hAnsi="Times New Roman" w:eastAsia="宋体" w:cs="Segoe UI"/>
                <w:i w:val="0"/>
                <w:iCs w:val="0"/>
                <w:caps w:val="0"/>
                <w:color w:val="0F1115"/>
                <w:spacing w:val="0"/>
                <w:sz w:val="21"/>
                <w:szCs w:val="24"/>
                <w:shd w:val="clear" w:fill="FFFFFF"/>
              </w:rPr>
              <w:t>废线头：项目针车（缝纫）、拉帮等工序会产生废线头。针车线年用量10t/a，损耗率约5%，则废线头产生量约0.5t/a，经收集后交由有处理能力的一般固废处理单位处置。</w:t>
            </w:r>
          </w:p>
          <w:p w14:paraId="7570BC33">
            <w:pPr>
              <w:pStyle w:val="44"/>
              <w:keepNext w:val="0"/>
              <w:keepLines w:val="0"/>
              <w:pageBreakBefore w:val="0"/>
              <w:widowControl/>
              <w:numPr>
                <w:ilvl w:val="0"/>
                <w:numId w:val="32"/>
              </w:numPr>
              <w:suppressLineNumbers w:val="0"/>
              <w:kinsoku/>
              <w:wordWrap/>
              <w:overflowPunct/>
              <w:topLinePunct w:val="0"/>
              <w:autoSpaceDE/>
              <w:autoSpaceDN/>
              <w:bidi w:val="0"/>
              <w:snapToGrid/>
              <w:spacing w:before="0" w:beforeAutospacing="0" w:after="0" w:afterAutospacing="0" w:line="360" w:lineRule="auto"/>
              <w:ind w:left="0" w:leftChars="0" w:right="0" w:firstLine="420" w:firstLineChars="200"/>
              <w:textAlignment w:val="auto"/>
              <w:rPr>
                <w:rFonts w:hint="default" w:ascii="Times New Roman" w:hAnsi="Times New Roman" w:eastAsia="宋体"/>
                <w:sz w:val="21"/>
              </w:rPr>
            </w:pPr>
            <w:r>
              <w:rPr>
                <w:rFonts w:hint="default" w:ascii="Times New Roman" w:hAnsi="Times New Roman" w:eastAsia="宋体" w:cs="Segoe UI"/>
                <w:i w:val="0"/>
                <w:iCs w:val="0"/>
                <w:caps w:val="0"/>
                <w:color w:val="0F1115"/>
                <w:spacing w:val="0"/>
                <w:sz w:val="21"/>
                <w:szCs w:val="24"/>
                <w:shd w:val="clear" w:fill="FFFFFF"/>
              </w:rPr>
              <w:t>废织带边角料：项目切织带工序会产生废织带边角料。鞋带及织带年用量约50万双，损耗率约</w:t>
            </w:r>
            <w:r>
              <w:rPr>
                <w:rFonts w:hint="eastAsia" w:ascii="Times New Roman" w:hAnsi="Times New Roman" w:eastAsia="宋体" w:cs="Segoe UI"/>
                <w:i w:val="0"/>
                <w:iCs w:val="0"/>
                <w:caps w:val="0"/>
                <w:color w:val="0F1115"/>
                <w:spacing w:val="0"/>
                <w:sz w:val="21"/>
                <w:szCs w:val="24"/>
                <w:shd w:val="clear" w:fill="FFFFFF"/>
                <w:lang w:eastAsia="zh-CN"/>
              </w:rPr>
              <w:t>1%～2%</w:t>
            </w:r>
            <w:r>
              <w:rPr>
                <w:rFonts w:hint="default" w:ascii="Times New Roman" w:hAnsi="Times New Roman" w:eastAsia="宋体" w:cs="Segoe UI"/>
                <w:i w:val="0"/>
                <w:iCs w:val="0"/>
                <w:caps w:val="0"/>
                <w:color w:val="0F1115"/>
                <w:spacing w:val="0"/>
                <w:sz w:val="21"/>
                <w:szCs w:val="24"/>
                <w:shd w:val="clear" w:fill="FFFFFF"/>
              </w:rPr>
              <w:t>，则废织带边角料产生量约0.5t/a，经收集后交由有处理能力的一般固废处理单位处置。</w:t>
            </w:r>
          </w:p>
          <w:p w14:paraId="498C52C1">
            <w:pPr>
              <w:pStyle w:val="44"/>
              <w:keepNext w:val="0"/>
              <w:keepLines w:val="0"/>
              <w:pageBreakBefore w:val="0"/>
              <w:widowControl/>
              <w:numPr>
                <w:ilvl w:val="0"/>
                <w:numId w:val="32"/>
              </w:numPr>
              <w:suppressLineNumbers w:val="0"/>
              <w:kinsoku/>
              <w:wordWrap/>
              <w:overflowPunct/>
              <w:topLinePunct w:val="0"/>
              <w:autoSpaceDE/>
              <w:autoSpaceDN/>
              <w:bidi w:val="0"/>
              <w:snapToGrid/>
              <w:spacing w:before="0" w:beforeAutospacing="0" w:after="0" w:afterAutospacing="0" w:line="360" w:lineRule="auto"/>
              <w:ind w:left="0" w:leftChars="0" w:right="0" w:firstLine="420" w:firstLineChars="200"/>
              <w:textAlignment w:val="auto"/>
              <w:rPr>
                <w:rFonts w:hint="default" w:ascii="Times New Roman" w:hAnsi="Times New Roman" w:eastAsia="宋体"/>
                <w:sz w:val="21"/>
              </w:rPr>
            </w:pPr>
            <w:r>
              <w:rPr>
                <w:rFonts w:hint="default" w:ascii="Times New Roman" w:hAnsi="Times New Roman" w:eastAsia="宋体" w:cs="Segoe UI"/>
                <w:i w:val="0"/>
                <w:iCs w:val="0"/>
                <w:caps w:val="0"/>
                <w:color w:val="0F1115"/>
                <w:spacing w:val="0"/>
                <w:sz w:val="21"/>
                <w:szCs w:val="24"/>
                <w:shd w:val="clear" w:fill="FFFFFF"/>
              </w:rPr>
              <w:t>废包装材料：项目成品包装工序会产生废纸箱、废塑料袋、废胶带等废弃包装物。年产儿童运动鞋500万双，配套鞋盒及外箱，废包装材料产生量约5.0t/a，经收集后交由有处理能力的一般固废处理单位处置。</w:t>
            </w:r>
          </w:p>
          <w:p w14:paraId="537BE76E">
            <w:pPr>
              <w:pStyle w:val="44"/>
              <w:keepNext w:val="0"/>
              <w:keepLines w:val="0"/>
              <w:pageBreakBefore w:val="0"/>
              <w:widowControl/>
              <w:numPr>
                <w:ilvl w:val="0"/>
                <w:numId w:val="32"/>
              </w:numPr>
              <w:suppressLineNumbers w:val="0"/>
              <w:kinsoku/>
              <w:wordWrap/>
              <w:overflowPunct/>
              <w:topLinePunct w:val="0"/>
              <w:autoSpaceDE/>
              <w:autoSpaceDN/>
              <w:bidi w:val="0"/>
              <w:snapToGrid/>
              <w:spacing w:before="0" w:beforeAutospacing="0" w:after="0" w:afterAutospacing="0" w:line="360" w:lineRule="auto"/>
              <w:ind w:left="0" w:leftChars="0" w:right="0" w:firstLine="420" w:firstLineChars="200"/>
              <w:textAlignment w:val="auto"/>
              <w:rPr>
                <w:rFonts w:hint="default" w:ascii="Times New Roman" w:hAnsi="Times New Roman" w:eastAsia="宋体"/>
                <w:sz w:val="21"/>
              </w:rPr>
            </w:pPr>
            <w:r>
              <w:rPr>
                <w:rFonts w:hint="default" w:ascii="Times New Roman" w:hAnsi="Times New Roman" w:eastAsia="宋体" w:cs="Segoe UI"/>
                <w:i w:val="0"/>
                <w:iCs w:val="0"/>
                <w:caps w:val="0"/>
                <w:color w:val="0F1115"/>
                <w:spacing w:val="0"/>
                <w:sz w:val="21"/>
                <w:szCs w:val="24"/>
                <w:shd w:val="clear" w:fill="FFFFFF"/>
              </w:rPr>
              <w:t>沉降粉尘：根据前文分析，鞋底制造工序（拌料、EVA打粗）颗粒物产生量合计约0.</w:t>
            </w:r>
            <w:r>
              <w:rPr>
                <w:rFonts w:hint="eastAsia" w:ascii="Times New Roman" w:hAnsi="Times New Roman" w:cs="Segoe UI"/>
                <w:i w:val="0"/>
                <w:iCs w:val="0"/>
                <w:caps w:val="0"/>
                <w:color w:val="0F1115"/>
                <w:spacing w:val="0"/>
                <w:sz w:val="21"/>
                <w:szCs w:val="24"/>
                <w:shd w:val="clear" w:fill="FFFFFF"/>
                <w:lang w:val="en-US" w:eastAsia="zh-CN"/>
              </w:rPr>
              <w:t>97</w:t>
            </w:r>
            <w:r>
              <w:rPr>
                <w:rFonts w:hint="default" w:ascii="Times New Roman" w:hAnsi="Times New Roman" w:eastAsia="宋体" w:cs="Segoe UI"/>
                <w:i w:val="0"/>
                <w:iCs w:val="0"/>
                <w:caps w:val="0"/>
                <w:color w:val="0F1115"/>
                <w:spacing w:val="0"/>
                <w:sz w:val="21"/>
                <w:szCs w:val="24"/>
                <w:shd w:val="clear" w:fill="FFFFFF"/>
              </w:rPr>
              <w:t>t/a，其中有组织收集量为0.</w:t>
            </w:r>
            <w:r>
              <w:rPr>
                <w:rFonts w:hint="eastAsia" w:ascii="Times New Roman" w:hAnsi="Times New Roman" w:cs="Segoe UI"/>
                <w:i w:val="0"/>
                <w:iCs w:val="0"/>
                <w:caps w:val="0"/>
                <w:color w:val="0F1115"/>
                <w:spacing w:val="0"/>
                <w:sz w:val="21"/>
                <w:szCs w:val="24"/>
                <w:shd w:val="clear" w:fill="FFFFFF"/>
                <w:lang w:val="en-US" w:eastAsia="zh-CN"/>
              </w:rPr>
              <w:t>291</w:t>
            </w:r>
            <w:r>
              <w:rPr>
                <w:rFonts w:hint="default" w:ascii="Times New Roman" w:hAnsi="Times New Roman" w:eastAsia="宋体" w:cs="Segoe UI"/>
                <w:i w:val="0"/>
                <w:iCs w:val="0"/>
                <w:caps w:val="0"/>
                <w:color w:val="0F1115"/>
                <w:spacing w:val="0"/>
                <w:sz w:val="21"/>
                <w:szCs w:val="24"/>
                <w:shd w:val="clear" w:fill="FFFFFF"/>
              </w:rPr>
              <w:t>t/a，未被收集的粉尘中大部分在车间内自然沉降，沉降粉尘量约</w:t>
            </w:r>
            <w:r>
              <w:rPr>
                <w:rFonts w:hint="eastAsia" w:ascii="Times New Roman" w:hAnsi="Times New Roman" w:cs="Segoe UI"/>
                <w:i w:val="0"/>
                <w:iCs w:val="0"/>
                <w:caps w:val="0"/>
                <w:color w:val="0F1115"/>
                <w:spacing w:val="0"/>
                <w:sz w:val="21"/>
                <w:szCs w:val="24"/>
                <w:shd w:val="clear" w:fill="FFFFFF"/>
                <w:lang w:eastAsia="zh-CN"/>
              </w:rPr>
              <w:t>0.679</w:t>
            </w:r>
            <w:r>
              <w:rPr>
                <w:rFonts w:hint="default" w:ascii="Times New Roman" w:hAnsi="Times New Roman" w:eastAsia="宋体" w:cs="Segoe UI"/>
                <w:i w:val="0"/>
                <w:iCs w:val="0"/>
                <w:caps w:val="0"/>
                <w:color w:val="0F1115"/>
                <w:spacing w:val="0"/>
                <w:sz w:val="21"/>
                <w:szCs w:val="24"/>
                <w:shd w:val="clear" w:fill="FFFFFF"/>
              </w:rPr>
              <w:t>t/a，经收集后交由有处理能力的一般固废处理单位处置。</w:t>
            </w:r>
          </w:p>
          <w:p w14:paraId="5FDE7924">
            <w:pPr>
              <w:pStyle w:val="44"/>
              <w:keepNext w:val="0"/>
              <w:keepLines w:val="0"/>
              <w:pageBreakBefore w:val="0"/>
              <w:widowControl/>
              <w:numPr>
                <w:ilvl w:val="0"/>
                <w:numId w:val="32"/>
              </w:numPr>
              <w:suppressLineNumbers w:val="0"/>
              <w:kinsoku/>
              <w:wordWrap/>
              <w:overflowPunct/>
              <w:topLinePunct w:val="0"/>
              <w:autoSpaceDE/>
              <w:autoSpaceDN/>
              <w:bidi w:val="0"/>
              <w:snapToGrid/>
              <w:spacing w:before="0" w:beforeAutospacing="0" w:after="0" w:afterAutospacing="0" w:line="360" w:lineRule="auto"/>
              <w:ind w:left="0" w:leftChars="0" w:right="0" w:firstLine="420" w:firstLineChars="200"/>
              <w:textAlignment w:val="auto"/>
              <w:rPr>
                <w:rFonts w:hint="default" w:ascii="Times New Roman" w:hAnsi="Times New Roman" w:eastAsia="宋体"/>
                <w:sz w:val="21"/>
              </w:rPr>
            </w:pPr>
            <w:r>
              <w:rPr>
                <w:rFonts w:hint="default" w:ascii="Times New Roman" w:hAnsi="Times New Roman" w:eastAsia="宋体" w:cs="Segoe UI"/>
                <w:i w:val="0"/>
                <w:iCs w:val="0"/>
                <w:caps w:val="0"/>
                <w:color w:val="0F1115"/>
                <w:spacing w:val="0"/>
                <w:sz w:val="21"/>
                <w:szCs w:val="24"/>
                <w:shd w:val="clear" w:fill="FFFFFF"/>
              </w:rPr>
              <w:t>滤筒除尘器收集粉尘：根据前文分析，鞋底制造工序（拌料、EVA打粗）颗粒物有组织收集量合计约0.</w:t>
            </w:r>
            <w:r>
              <w:rPr>
                <w:rFonts w:hint="eastAsia" w:ascii="Times New Roman" w:hAnsi="Times New Roman" w:cs="Segoe UI"/>
                <w:i w:val="0"/>
                <w:iCs w:val="0"/>
                <w:caps w:val="0"/>
                <w:color w:val="0F1115"/>
                <w:spacing w:val="0"/>
                <w:sz w:val="21"/>
                <w:szCs w:val="24"/>
                <w:shd w:val="clear" w:fill="FFFFFF"/>
                <w:lang w:val="en-US" w:eastAsia="zh-CN"/>
              </w:rPr>
              <w:t>291</w:t>
            </w:r>
            <w:r>
              <w:rPr>
                <w:rFonts w:hint="default" w:ascii="Times New Roman" w:hAnsi="Times New Roman" w:eastAsia="宋体" w:cs="Segoe UI"/>
                <w:i w:val="0"/>
                <w:iCs w:val="0"/>
                <w:caps w:val="0"/>
                <w:color w:val="0F1115"/>
                <w:spacing w:val="0"/>
                <w:sz w:val="21"/>
                <w:szCs w:val="24"/>
                <w:shd w:val="clear" w:fill="FFFFFF"/>
              </w:rPr>
              <w:t>t/a，经滤筒除尘器处理后收集粉尘量约</w:t>
            </w:r>
            <w:r>
              <w:rPr>
                <w:rFonts w:hint="eastAsia" w:ascii="Times New Roman" w:hAnsi="Times New Roman" w:cs="Segoe UI"/>
                <w:i w:val="0"/>
                <w:iCs w:val="0"/>
                <w:caps w:val="0"/>
                <w:color w:val="0F1115"/>
                <w:spacing w:val="0"/>
                <w:sz w:val="21"/>
                <w:szCs w:val="24"/>
                <w:shd w:val="clear" w:fill="FFFFFF"/>
                <w:lang w:eastAsia="zh-CN"/>
              </w:rPr>
              <w:t>0.262</w:t>
            </w:r>
            <w:r>
              <w:rPr>
                <w:rFonts w:hint="default" w:ascii="Times New Roman" w:hAnsi="Times New Roman" w:eastAsia="宋体" w:cs="Segoe UI"/>
                <w:i w:val="0"/>
                <w:iCs w:val="0"/>
                <w:caps w:val="0"/>
                <w:color w:val="0F1115"/>
                <w:spacing w:val="0"/>
                <w:sz w:val="21"/>
                <w:szCs w:val="24"/>
                <w:shd w:val="clear" w:fill="FFFFFF"/>
              </w:rPr>
              <w:t>t/a，经收集后交由有处理能力的一般固废处理单位处置。</w:t>
            </w:r>
          </w:p>
          <w:p w14:paraId="7DA132CC">
            <w:pPr>
              <w:pStyle w:val="44"/>
              <w:keepNext w:val="0"/>
              <w:keepLines w:val="0"/>
              <w:pageBreakBefore w:val="0"/>
              <w:widowControl/>
              <w:numPr>
                <w:ilvl w:val="0"/>
                <w:numId w:val="32"/>
              </w:numPr>
              <w:suppressLineNumbers w:val="0"/>
              <w:kinsoku/>
              <w:wordWrap/>
              <w:overflowPunct/>
              <w:topLinePunct w:val="0"/>
              <w:autoSpaceDE/>
              <w:autoSpaceDN/>
              <w:bidi w:val="0"/>
              <w:snapToGrid/>
              <w:spacing w:before="0" w:beforeAutospacing="0" w:after="0" w:afterAutospacing="0" w:line="360" w:lineRule="auto"/>
              <w:ind w:left="0" w:leftChars="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0F1115"/>
                <w:spacing w:val="0"/>
                <w:sz w:val="21"/>
                <w:szCs w:val="24"/>
                <w:shd w:val="clear" w:fill="FFFFFF"/>
              </w:rPr>
              <w:t>废滤筒：项目滤筒除尘器运行过程中，滤筒需定期更换以保证除尘效率。根据设计资料，滤筒除尘器共设置滤筒约100支，每2年更换一次，单支滤筒重量约1.5kg，则年更换滤筒数量=100支÷2≈50支/年，废滤筒产生量=50支×1.5kg/支=0.075t/a，废滤筒属于一般工业固体废物，收集后交由有处理能力的一般固废处理单位处置。</w:t>
            </w:r>
          </w:p>
          <w:p w14:paraId="738E361C">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b/>
                <w:bCs/>
                <w:i w:val="0"/>
                <w:iCs w:val="0"/>
                <w:caps w:val="0"/>
                <w:color w:val="auto"/>
                <w:spacing w:val="0"/>
                <w:sz w:val="21"/>
                <w:szCs w:val="24"/>
                <w:shd w:val="clear" w:fill="FFFFFF"/>
              </w:rPr>
              <w:t>（3）危险废物</w:t>
            </w:r>
          </w:p>
          <w:p w14:paraId="2E27378E">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shd w:val="clear" w:fill="FFFFFF"/>
              </w:rPr>
            </w:pPr>
            <w:r>
              <w:rPr>
                <w:rFonts w:hint="default" w:ascii="Times New Roman" w:hAnsi="Times New Roman" w:eastAsia="宋体" w:cs="Segoe UI"/>
                <w:i w:val="0"/>
                <w:iCs w:val="0"/>
                <w:caps w:val="0"/>
                <w:color w:val="auto"/>
                <w:spacing w:val="0"/>
                <w:sz w:val="21"/>
                <w:szCs w:val="24"/>
                <w:shd w:val="clear" w:fill="FFFFFF"/>
              </w:rPr>
              <w:t>①</w:t>
            </w:r>
            <w:r>
              <w:rPr>
                <w:rFonts w:hint="eastAsia" w:ascii="Times New Roman" w:hAnsi="Times New Roman" w:cs="Segoe UI"/>
                <w:i w:val="0"/>
                <w:iCs w:val="0"/>
                <w:caps w:val="0"/>
                <w:color w:val="auto"/>
                <w:spacing w:val="0"/>
                <w:sz w:val="21"/>
                <w:szCs w:val="24"/>
                <w:shd w:val="clear" w:fill="FFFFFF"/>
                <w:lang w:eastAsia="zh-CN"/>
              </w:rPr>
              <w:t>废处理剂/清洁剂/胶粘剂包装桶</w:t>
            </w:r>
            <w:r>
              <w:rPr>
                <w:rFonts w:hint="default" w:ascii="Times New Roman" w:hAnsi="Times New Roman" w:eastAsia="宋体" w:cs="Segoe UI"/>
                <w:i w:val="0"/>
                <w:iCs w:val="0"/>
                <w:caps w:val="0"/>
                <w:color w:val="auto"/>
                <w:spacing w:val="0"/>
                <w:sz w:val="21"/>
                <w:szCs w:val="24"/>
                <w:shd w:val="clear" w:fill="FFFFFF"/>
              </w:rPr>
              <w:t>：项目年用水性PU胶6</w:t>
            </w:r>
            <w:r>
              <w:rPr>
                <w:rFonts w:hint="eastAsia" w:ascii="Times New Roman" w:hAnsi="Times New Roman" w:cs="Segoe UI"/>
                <w:i w:val="0"/>
                <w:iCs w:val="0"/>
                <w:caps w:val="0"/>
                <w:color w:val="auto"/>
                <w:spacing w:val="0"/>
                <w:sz w:val="21"/>
                <w:szCs w:val="24"/>
                <w:shd w:val="clear" w:fill="FFFFFF"/>
                <w:lang w:val="en-US" w:eastAsia="zh-CN"/>
              </w:rPr>
              <w:t>5</w:t>
            </w:r>
            <w:r>
              <w:rPr>
                <w:rFonts w:hint="default" w:ascii="Times New Roman" w:hAnsi="Times New Roman" w:eastAsia="宋体" w:cs="Segoe UI"/>
                <w:i w:val="0"/>
                <w:iCs w:val="0"/>
                <w:caps w:val="0"/>
                <w:color w:val="auto"/>
                <w:spacing w:val="0"/>
                <w:sz w:val="21"/>
                <w:szCs w:val="24"/>
                <w:shd w:val="clear" w:fill="FFFFFF"/>
              </w:rPr>
              <w:t>t/a（包装规格20kg/桶）、水性橡胶处理剂4t/a（包装规格5kg/桶）、</w:t>
            </w:r>
            <w:r>
              <w:rPr>
                <w:rFonts w:hint="eastAsia" w:ascii="Times New Roman" w:hAnsi="Times New Roman" w:cs="Segoe UI"/>
                <w:i w:val="0"/>
                <w:iCs w:val="0"/>
                <w:caps w:val="0"/>
                <w:color w:val="auto"/>
                <w:spacing w:val="0"/>
                <w:sz w:val="21"/>
                <w:szCs w:val="24"/>
                <w:shd w:val="clear" w:fill="FFFFFF"/>
                <w:lang w:val="en-US" w:eastAsia="zh-CN"/>
              </w:rPr>
              <w:t>清洁剂4.7</w:t>
            </w:r>
            <w:r>
              <w:rPr>
                <w:rFonts w:hint="default" w:ascii="Times New Roman" w:hAnsi="Times New Roman" w:eastAsia="宋体" w:cs="Segoe UI"/>
                <w:i w:val="0"/>
                <w:iCs w:val="0"/>
                <w:caps w:val="0"/>
                <w:color w:val="auto"/>
                <w:spacing w:val="0"/>
                <w:sz w:val="21"/>
                <w:szCs w:val="24"/>
                <w:shd w:val="clear" w:fill="FFFFFF"/>
              </w:rPr>
              <w:t>t/a（包装规格5kg/桶），产生废包装桶合计约3850个（其中水性PU胶桶3</w:t>
            </w:r>
            <w:r>
              <w:rPr>
                <w:rFonts w:hint="eastAsia" w:ascii="Times New Roman" w:hAnsi="Times New Roman" w:cs="Segoe UI"/>
                <w:i w:val="0"/>
                <w:iCs w:val="0"/>
                <w:caps w:val="0"/>
                <w:color w:val="auto"/>
                <w:spacing w:val="0"/>
                <w:sz w:val="21"/>
                <w:szCs w:val="24"/>
                <w:shd w:val="clear" w:fill="FFFFFF"/>
                <w:lang w:val="en-US" w:eastAsia="zh-CN"/>
              </w:rPr>
              <w:t>250</w:t>
            </w:r>
            <w:r>
              <w:rPr>
                <w:rFonts w:hint="default" w:ascii="Times New Roman" w:hAnsi="Times New Roman" w:eastAsia="宋体" w:cs="Segoe UI"/>
                <w:i w:val="0"/>
                <w:iCs w:val="0"/>
                <w:caps w:val="0"/>
                <w:color w:val="auto"/>
                <w:spacing w:val="0"/>
                <w:sz w:val="21"/>
                <w:szCs w:val="24"/>
                <w:shd w:val="clear" w:fill="FFFFFF"/>
              </w:rPr>
              <w:t>个、水性橡胶处理剂桶800个、照射处理剂桶</w:t>
            </w:r>
            <w:r>
              <w:rPr>
                <w:rFonts w:hint="eastAsia" w:ascii="Times New Roman" w:hAnsi="Times New Roman" w:cs="Segoe UI"/>
                <w:i w:val="0"/>
                <w:iCs w:val="0"/>
                <w:caps w:val="0"/>
                <w:color w:val="auto"/>
                <w:spacing w:val="0"/>
                <w:sz w:val="21"/>
                <w:szCs w:val="24"/>
                <w:shd w:val="clear" w:fill="FFFFFF"/>
                <w:lang w:val="en-US" w:eastAsia="zh-CN"/>
              </w:rPr>
              <w:t>940</w:t>
            </w:r>
            <w:r>
              <w:rPr>
                <w:rFonts w:hint="default" w:ascii="Times New Roman" w:hAnsi="Times New Roman" w:eastAsia="宋体" w:cs="Segoe UI"/>
                <w:i w:val="0"/>
                <w:iCs w:val="0"/>
                <w:caps w:val="0"/>
                <w:color w:val="auto"/>
                <w:spacing w:val="0"/>
                <w:sz w:val="21"/>
                <w:szCs w:val="24"/>
                <w:shd w:val="clear" w:fill="FFFFFF"/>
              </w:rPr>
              <w:t>个），</w:t>
            </w:r>
            <w:r>
              <w:rPr>
                <w:rFonts w:hint="eastAsia" w:ascii="Times New Roman" w:hAnsi="Times New Roman" w:eastAsia="宋体" w:cs="Segoe UI"/>
                <w:i w:val="0"/>
                <w:iCs w:val="0"/>
                <w:caps w:val="0"/>
                <w:color w:val="auto"/>
                <w:spacing w:val="0"/>
                <w:sz w:val="21"/>
                <w:szCs w:val="24"/>
                <w:shd w:val="clear" w:fill="FFFFFF"/>
                <w:lang w:val="en-US" w:eastAsia="zh-CN"/>
              </w:rPr>
              <w:t>单个</w:t>
            </w:r>
            <w:r>
              <w:rPr>
                <w:rFonts w:hint="default" w:ascii="Times New Roman" w:hAnsi="Times New Roman" w:eastAsia="宋体" w:cs="Segoe UI"/>
                <w:i w:val="0"/>
                <w:iCs w:val="0"/>
                <w:caps w:val="0"/>
                <w:color w:val="auto"/>
                <w:spacing w:val="0"/>
                <w:sz w:val="21"/>
                <w:szCs w:val="24"/>
                <w:shd w:val="clear" w:fill="FFFFFF"/>
              </w:rPr>
              <w:t>水性PU胶</w:t>
            </w:r>
            <w:r>
              <w:rPr>
                <w:rFonts w:hint="eastAsia" w:ascii="Times New Roman" w:hAnsi="Times New Roman" w:eastAsia="宋体" w:cs="Segoe UI"/>
                <w:i w:val="0"/>
                <w:iCs w:val="0"/>
                <w:caps w:val="0"/>
                <w:color w:val="auto"/>
                <w:spacing w:val="0"/>
                <w:sz w:val="21"/>
                <w:szCs w:val="24"/>
                <w:shd w:val="clear" w:fill="FFFFFF"/>
                <w:lang w:val="en-US" w:eastAsia="zh-CN"/>
              </w:rPr>
              <w:t>包装空桶0.5kg，单个处理剂包装桶0.3kg，</w:t>
            </w:r>
            <w:r>
              <w:rPr>
                <w:rFonts w:hint="default" w:ascii="Times New Roman" w:hAnsi="Times New Roman" w:eastAsia="宋体" w:cs="Segoe UI"/>
                <w:i w:val="0"/>
                <w:iCs w:val="0"/>
                <w:caps w:val="0"/>
                <w:color w:val="auto"/>
                <w:spacing w:val="0"/>
                <w:sz w:val="21"/>
                <w:szCs w:val="24"/>
                <w:shd w:val="clear" w:fill="FFFFFF"/>
              </w:rPr>
              <w:t>则</w:t>
            </w:r>
            <w:r>
              <w:rPr>
                <w:rFonts w:hint="eastAsia" w:ascii="Times New Roman" w:hAnsi="Times New Roman" w:cs="Segoe UI"/>
                <w:i w:val="0"/>
                <w:iCs w:val="0"/>
                <w:caps w:val="0"/>
                <w:color w:val="auto"/>
                <w:spacing w:val="0"/>
                <w:sz w:val="21"/>
                <w:szCs w:val="24"/>
                <w:shd w:val="clear" w:fill="FFFFFF"/>
                <w:lang w:eastAsia="zh-CN"/>
              </w:rPr>
              <w:t>废处理剂/清洁剂/胶粘剂包装桶</w:t>
            </w:r>
            <w:r>
              <w:rPr>
                <w:rFonts w:hint="default" w:ascii="Times New Roman" w:hAnsi="Times New Roman" w:eastAsia="宋体" w:cs="Segoe UI"/>
                <w:i w:val="0"/>
                <w:iCs w:val="0"/>
                <w:caps w:val="0"/>
                <w:color w:val="auto"/>
                <w:spacing w:val="0"/>
                <w:sz w:val="21"/>
                <w:szCs w:val="24"/>
                <w:shd w:val="clear" w:fill="FFFFFF"/>
              </w:rPr>
              <w:t>产生量合计</w:t>
            </w:r>
            <w:r>
              <w:rPr>
                <w:rFonts w:hint="eastAsia" w:ascii="Times New Roman" w:hAnsi="Times New Roman" w:eastAsia="宋体" w:cs="Segoe UI"/>
                <w:i w:val="0"/>
                <w:iCs w:val="0"/>
                <w:caps w:val="0"/>
                <w:color w:val="auto"/>
                <w:spacing w:val="0"/>
                <w:sz w:val="21"/>
                <w:szCs w:val="24"/>
                <w:shd w:val="clear" w:fill="FFFFFF"/>
                <w:lang w:val="en-US" w:eastAsia="zh-CN"/>
              </w:rPr>
              <w:t>3</w:t>
            </w:r>
            <w:r>
              <w:rPr>
                <w:rFonts w:hint="eastAsia" w:ascii="Times New Roman" w:hAnsi="Times New Roman" w:cs="Segoe UI"/>
                <w:i w:val="0"/>
                <w:iCs w:val="0"/>
                <w:caps w:val="0"/>
                <w:color w:val="auto"/>
                <w:spacing w:val="0"/>
                <w:sz w:val="21"/>
                <w:szCs w:val="24"/>
                <w:shd w:val="clear" w:fill="FFFFFF"/>
                <w:lang w:val="en-US" w:eastAsia="zh-CN"/>
              </w:rPr>
              <w:t>250</w:t>
            </w:r>
            <w:r>
              <w:rPr>
                <w:rFonts w:hint="default" w:ascii="Times New Roman" w:hAnsi="Times New Roman" w:eastAsia="宋体" w:cs="Segoe UI"/>
                <w:i w:val="0"/>
                <w:iCs w:val="0"/>
                <w:caps w:val="0"/>
                <w:color w:val="auto"/>
                <w:spacing w:val="0"/>
                <w:sz w:val="21"/>
                <w:szCs w:val="24"/>
                <w:shd w:val="clear" w:fill="FFFFFF"/>
              </w:rPr>
              <w:t>×0.5+800×0.3+</w:t>
            </w:r>
            <w:r>
              <w:rPr>
                <w:rFonts w:hint="eastAsia" w:ascii="Times New Roman" w:hAnsi="Times New Roman" w:cs="Segoe UI"/>
                <w:i w:val="0"/>
                <w:iCs w:val="0"/>
                <w:caps w:val="0"/>
                <w:color w:val="auto"/>
                <w:spacing w:val="0"/>
                <w:sz w:val="21"/>
                <w:szCs w:val="24"/>
                <w:shd w:val="clear" w:fill="FFFFFF"/>
                <w:lang w:val="en-US" w:eastAsia="zh-CN"/>
              </w:rPr>
              <w:t>940</w:t>
            </w:r>
            <w:r>
              <w:rPr>
                <w:rFonts w:hint="default" w:ascii="Times New Roman" w:hAnsi="Times New Roman" w:eastAsia="宋体" w:cs="Segoe UI"/>
                <w:i w:val="0"/>
                <w:iCs w:val="0"/>
                <w:caps w:val="0"/>
                <w:color w:val="auto"/>
                <w:spacing w:val="0"/>
                <w:sz w:val="21"/>
                <w:szCs w:val="24"/>
                <w:shd w:val="clear" w:fill="FFFFFF"/>
              </w:rPr>
              <w:t>×0.3</w:t>
            </w:r>
            <w:r>
              <w:rPr>
                <w:rFonts w:hint="eastAsia" w:ascii="Times New Roman" w:hAnsi="Times New Roman" w:eastAsia="宋体" w:cs="Segoe UI"/>
                <w:i w:val="0"/>
                <w:iCs w:val="0"/>
                <w:caps w:val="0"/>
                <w:color w:val="auto"/>
                <w:spacing w:val="0"/>
                <w:sz w:val="21"/>
                <w:szCs w:val="24"/>
                <w:shd w:val="clear" w:fill="FFFFFF"/>
                <w:lang w:val="en-US" w:eastAsia="zh-CN"/>
              </w:rPr>
              <w:t>=</w:t>
            </w:r>
            <w:r>
              <w:rPr>
                <w:rFonts w:hint="eastAsia" w:ascii="Times New Roman" w:hAnsi="Times New Roman" w:cs="Segoe UI"/>
                <w:i w:val="0"/>
                <w:iCs w:val="0"/>
                <w:caps w:val="0"/>
                <w:color w:val="auto"/>
                <w:spacing w:val="0"/>
                <w:sz w:val="21"/>
                <w:szCs w:val="24"/>
                <w:shd w:val="clear" w:fill="FFFFFF"/>
                <w:lang w:eastAsia="zh-CN"/>
              </w:rPr>
              <w:t>2.147</w:t>
            </w:r>
            <w:r>
              <w:rPr>
                <w:rFonts w:hint="default" w:ascii="Times New Roman" w:hAnsi="Times New Roman" w:eastAsia="宋体" w:cs="Segoe UI"/>
                <w:i w:val="0"/>
                <w:iCs w:val="0"/>
                <w:caps w:val="0"/>
                <w:color w:val="auto"/>
                <w:spacing w:val="0"/>
                <w:sz w:val="21"/>
                <w:szCs w:val="24"/>
                <w:shd w:val="clear" w:fill="FFFFFF"/>
              </w:rPr>
              <w:t>t/a，属于危险废物（HW49），应交由有危险废物经营许可证的单位进行处理处置。</w:t>
            </w:r>
          </w:p>
          <w:p w14:paraId="62E6A2C0">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②废机油：项目设备维护过程中使用机油，产生的废机油约占其总使用量的10%，机油年使用量0.5t/a，则废机油产生量为0.05t/a，属于危险废物（HW08），应交由有危险废物经营许可证的单位进行处理处置。</w:t>
            </w:r>
          </w:p>
          <w:p w14:paraId="091A1F17">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③含油废包装桶：项目机油使用量为0.5t/a，包装规格100kg/桶，产生废机油桶5个，每个桶重约10kg，则含油废包装桶产生量约0.05t/a，属于危险废物（HW08），应交由有危险废物经营许可证的单位进行处理处置。</w:t>
            </w:r>
          </w:p>
          <w:p w14:paraId="60D5D610">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④废含油的抹布、手套：项目设备维护过程中产生含油废抹布及手套，年使用手套200个、抹布200张，单个手套、单张抹布的重量均按100g计，沾染机油约0.03t/a，则含油废抹布及手套产生量约0.07t/a，属于危险废物（HW49），应交由有危险废物经营许可证的单位进行处理处置。</w:t>
            </w:r>
          </w:p>
          <w:p w14:paraId="5BBA3834">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⑤废活性炭：项目共设置</w:t>
            </w:r>
            <w:r>
              <w:rPr>
                <w:rFonts w:hint="eastAsia" w:ascii="Times New Roman" w:hAnsi="Times New Roman" w:cs="Segoe UI"/>
                <w:i w:val="0"/>
                <w:iCs w:val="0"/>
                <w:caps w:val="0"/>
                <w:color w:val="auto"/>
                <w:spacing w:val="0"/>
                <w:sz w:val="21"/>
                <w:szCs w:val="24"/>
                <w:shd w:val="clear" w:fill="FFFFFF"/>
                <w:lang w:val="en-US" w:eastAsia="zh-CN"/>
              </w:rPr>
              <w:t>7</w:t>
            </w:r>
            <w:r>
              <w:rPr>
                <w:rFonts w:hint="default" w:ascii="Times New Roman" w:hAnsi="Times New Roman" w:eastAsia="宋体" w:cs="Segoe UI"/>
                <w:i w:val="0"/>
                <w:iCs w:val="0"/>
                <w:caps w:val="0"/>
                <w:color w:val="auto"/>
                <w:spacing w:val="0"/>
                <w:sz w:val="21"/>
                <w:szCs w:val="24"/>
                <w:shd w:val="clear" w:fill="FFFFFF"/>
              </w:rPr>
              <w:t>套活性炭吸附装置（</w:t>
            </w:r>
            <w:r>
              <w:rPr>
                <w:rFonts w:hint="eastAsia" w:ascii="Times New Roman" w:hAnsi="Times New Roman" w:eastAsia="宋体" w:cs="Segoe UI"/>
                <w:i w:val="0"/>
                <w:iCs w:val="0"/>
                <w:caps w:val="0"/>
                <w:color w:val="auto"/>
                <w:spacing w:val="0"/>
                <w:sz w:val="21"/>
                <w:szCs w:val="24"/>
                <w:shd w:val="clear" w:fill="FFFFFF"/>
                <w:lang w:val="en-US" w:eastAsia="zh-CN"/>
              </w:rPr>
              <w:t>G</w:t>
            </w:r>
            <w:r>
              <w:rPr>
                <w:rFonts w:hint="default" w:ascii="Times New Roman" w:hAnsi="Times New Roman" w:eastAsia="宋体" w:cs="Segoe UI"/>
                <w:i w:val="0"/>
                <w:iCs w:val="0"/>
                <w:caps w:val="0"/>
                <w:color w:val="auto"/>
                <w:spacing w:val="0"/>
                <w:sz w:val="21"/>
                <w:szCs w:val="24"/>
                <w:shd w:val="clear" w:fill="FFFFFF"/>
              </w:rPr>
              <w:t>1</w:t>
            </w:r>
            <w:r>
              <w:rPr>
                <w:rFonts w:hint="eastAsia" w:ascii="Times New Roman" w:hAnsi="Times New Roman" w:cs="Segoe UI"/>
                <w:i w:val="0"/>
                <w:iCs w:val="0"/>
                <w:caps w:val="0"/>
                <w:color w:val="auto"/>
                <w:spacing w:val="0"/>
                <w:sz w:val="21"/>
                <w:szCs w:val="24"/>
                <w:shd w:val="clear" w:fill="FFFFFF"/>
                <w:lang w:eastAsia="zh-CN"/>
              </w:rPr>
              <w:t>、</w:t>
            </w:r>
            <w:r>
              <w:rPr>
                <w:rFonts w:hint="eastAsia" w:ascii="Times New Roman" w:hAnsi="Times New Roman" w:cs="Segoe UI"/>
                <w:i w:val="0"/>
                <w:iCs w:val="0"/>
                <w:caps w:val="0"/>
                <w:color w:val="auto"/>
                <w:spacing w:val="0"/>
                <w:sz w:val="21"/>
                <w:szCs w:val="24"/>
                <w:shd w:val="clear" w:fill="FFFFFF"/>
                <w:lang w:val="en-US" w:eastAsia="zh-CN"/>
              </w:rPr>
              <w:t>G2~G7</w:t>
            </w:r>
            <w:r>
              <w:rPr>
                <w:rFonts w:hint="default" w:ascii="Times New Roman" w:hAnsi="Times New Roman" w:eastAsia="宋体" w:cs="Segoe UI"/>
                <w:i w:val="0"/>
                <w:iCs w:val="0"/>
                <w:caps w:val="0"/>
                <w:color w:val="auto"/>
                <w:spacing w:val="0"/>
                <w:sz w:val="21"/>
                <w:szCs w:val="24"/>
                <w:shd w:val="clear" w:fill="FFFFFF"/>
              </w:rPr>
              <w:t>），有机废气削减量合计约</w:t>
            </w:r>
            <w:r>
              <w:rPr>
                <w:rFonts w:hint="eastAsia" w:ascii="Times New Roman" w:hAnsi="Times New Roman" w:cs="Segoe UI"/>
                <w:i w:val="0"/>
                <w:iCs w:val="0"/>
                <w:caps w:val="0"/>
                <w:color w:val="auto"/>
                <w:spacing w:val="0"/>
                <w:sz w:val="21"/>
                <w:szCs w:val="24"/>
                <w:shd w:val="clear" w:fill="FFFFFF"/>
                <w:lang w:eastAsia="zh-CN"/>
              </w:rPr>
              <w:t>（</w:t>
            </w:r>
            <w:r>
              <w:rPr>
                <w:rFonts w:hint="eastAsia" w:ascii="Times New Roman" w:hAnsi="Times New Roman" w:cs="Segoe UI"/>
                <w:i w:val="0"/>
                <w:iCs w:val="0"/>
                <w:caps w:val="0"/>
                <w:color w:val="auto"/>
                <w:spacing w:val="0"/>
                <w:sz w:val="21"/>
                <w:szCs w:val="24"/>
                <w:shd w:val="clear" w:fill="FFFFFF"/>
                <w:lang w:val="en-US" w:eastAsia="zh-CN"/>
              </w:rPr>
              <w:t>0.189-0.57</w:t>
            </w:r>
            <w:r>
              <w:rPr>
                <w:rFonts w:hint="eastAsia" w:ascii="Times New Roman" w:hAnsi="Times New Roman" w:cs="Segoe UI"/>
                <w:i w:val="0"/>
                <w:iCs w:val="0"/>
                <w:caps w:val="0"/>
                <w:color w:val="auto"/>
                <w:spacing w:val="0"/>
                <w:sz w:val="21"/>
                <w:szCs w:val="24"/>
                <w:shd w:val="clear" w:fill="FFFFFF"/>
                <w:lang w:eastAsia="zh-CN"/>
              </w:rPr>
              <w:t>）</w:t>
            </w:r>
            <w:r>
              <w:rPr>
                <w:rFonts w:hint="eastAsia" w:ascii="Times New Roman" w:hAnsi="Times New Roman" w:cs="Segoe UI"/>
                <w:i w:val="0"/>
                <w:iCs w:val="0"/>
                <w:caps w:val="0"/>
                <w:color w:val="auto"/>
                <w:spacing w:val="0"/>
                <w:sz w:val="21"/>
                <w:szCs w:val="24"/>
                <w:shd w:val="clear" w:fill="FFFFFF"/>
                <w:lang w:val="en-US" w:eastAsia="zh-CN"/>
              </w:rPr>
              <w:t>+（0.011-0.003）</w:t>
            </w:r>
            <w:r>
              <w:rPr>
                <w:rFonts w:hint="default" w:ascii="Times New Roman" w:hAnsi="Times New Roman" w:cs="Arial"/>
                <w:i w:val="0"/>
                <w:iCs w:val="0"/>
                <w:caps w:val="0"/>
                <w:color w:val="auto"/>
                <w:spacing w:val="0"/>
                <w:sz w:val="21"/>
                <w:szCs w:val="24"/>
                <w:shd w:val="clear" w:fill="FFFFFF"/>
                <w:lang w:val="en-US" w:eastAsia="zh-CN"/>
              </w:rPr>
              <w:t>×</w:t>
            </w:r>
            <w:r>
              <w:rPr>
                <w:rFonts w:hint="eastAsia" w:ascii="Times New Roman" w:hAnsi="Times New Roman" w:cs="Segoe UI"/>
                <w:i w:val="0"/>
                <w:iCs w:val="0"/>
                <w:caps w:val="0"/>
                <w:color w:val="auto"/>
                <w:spacing w:val="0"/>
                <w:sz w:val="21"/>
                <w:szCs w:val="24"/>
                <w:shd w:val="clear" w:fill="FFFFFF"/>
                <w:lang w:val="en-US" w:eastAsia="zh-CN"/>
              </w:rPr>
              <w:t>6+（0.032-0.009）=0.203</w:t>
            </w:r>
            <w:r>
              <w:rPr>
                <w:rFonts w:hint="default" w:ascii="Times New Roman" w:hAnsi="Times New Roman" w:eastAsia="宋体" w:cs="Segoe UI"/>
                <w:i w:val="0"/>
                <w:iCs w:val="0"/>
                <w:caps w:val="0"/>
                <w:color w:val="auto"/>
                <w:spacing w:val="0"/>
                <w:sz w:val="21"/>
                <w:szCs w:val="24"/>
                <w:shd w:val="clear" w:fill="FFFFFF"/>
              </w:rPr>
              <w:t>t/a，活性炭装填量合计约</w:t>
            </w:r>
            <w:r>
              <w:rPr>
                <w:rFonts w:hint="eastAsia" w:ascii="Times New Roman" w:hAnsi="Times New Roman" w:cs="Segoe UI"/>
                <w:i w:val="0"/>
                <w:iCs w:val="0"/>
                <w:caps w:val="0"/>
                <w:color w:val="auto"/>
                <w:spacing w:val="0"/>
                <w:sz w:val="21"/>
                <w:szCs w:val="24"/>
                <w:shd w:val="clear" w:fill="FFFFFF"/>
                <w:lang w:val="en-US" w:eastAsia="zh-CN"/>
              </w:rPr>
              <w:t>4.2</w:t>
            </w:r>
            <w:r>
              <w:rPr>
                <w:rFonts w:hint="default" w:ascii="Times New Roman" w:hAnsi="Times New Roman" w:cs="Arial"/>
                <w:i w:val="0"/>
                <w:iCs w:val="0"/>
                <w:caps w:val="0"/>
                <w:color w:val="auto"/>
                <w:spacing w:val="0"/>
                <w:sz w:val="21"/>
                <w:szCs w:val="24"/>
                <w:shd w:val="clear" w:fill="FFFFFF"/>
                <w:lang w:val="en-US" w:eastAsia="zh-CN"/>
              </w:rPr>
              <w:t>×</w:t>
            </w:r>
            <w:r>
              <w:rPr>
                <w:rFonts w:hint="eastAsia" w:ascii="Times New Roman" w:hAnsi="Times New Roman" w:cs="Segoe UI"/>
                <w:i w:val="0"/>
                <w:iCs w:val="0"/>
                <w:caps w:val="0"/>
                <w:color w:val="auto"/>
                <w:spacing w:val="0"/>
                <w:sz w:val="21"/>
                <w:szCs w:val="24"/>
                <w:shd w:val="clear" w:fill="FFFFFF"/>
                <w:lang w:val="en-US" w:eastAsia="zh-CN"/>
              </w:rPr>
              <w:t>4+2.88</w:t>
            </w:r>
            <w:r>
              <w:rPr>
                <w:rFonts w:hint="default" w:ascii="Times New Roman" w:hAnsi="Times New Roman" w:cs="Arial"/>
                <w:i w:val="0"/>
                <w:iCs w:val="0"/>
                <w:caps w:val="0"/>
                <w:color w:val="auto"/>
                <w:spacing w:val="0"/>
                <w:sz w:val="21"/>
                <w:szCs w:val="24"/>
                <w:shd w:val="clear" w:fill="FFFFFF"/>
                <w:lang w:val="en-US" w:eastAsia="zh-CN"/>
              </w:rPr>
              <w:t>×</w:t>
            </w:r>
            <w:r>
              <w:rPr>
                <w:rFonts w:hint="eastAsia" w:ascii="Times New Roman" w:hAnsi="Times New Roman" w:cs="Segoe UI"/>
                <w:i w:val="0"/>
                <w:iCs w:val="0"/>
                <w:caps w:val="0"/>
                <w:color w:val="auto"/>
                <w:spacing w:val="0"/>
                <w:sz w:val="21"/>
                <w:szCs w:val="24"/>
                <w:shd w:val="clear" w:fill="FFFFFF"/>
                <w:lang w:val="en-US" w:eastAsia="zh-CN"/>
              </w:rPr>
              <w:t>4</w:t>
            </w:r>
            <w:r>
              <w:rPr>
                <w:rFonts w:hint="default" w:ascii="Times New Roman" w:hAnsi="Times New Roman" w:cs="Arial"/>
                <w:i w:val="0"/>
                <w:iCs w:val="0"/>
                <w:caps w:val="0"/>
                <w:color w:val="auto"/>
                <w:spacing w:val="0"/>
                <w:sz w:val="21"/>
                <w:szCs w:val="24"/>
                <w:shd w:val="clear" w:fill="FFFFFF"/>
                <w:lang w:val="en-US" w:eastAsia="zh-CN"/>
              </w:rPr>
              <w:t>×</w:t>
            </w:r>
            <w:r>
              <w:rPr>
                <w:rFonts w:hint="eastAsia" w:ascii="Times New Roman" w:hAnsi="Times New Roman" w:cs="Segoe UI"/>
                <w:i w:val="0"/>
                <w:iCs w:val="0"/>
                <w:caps w:val="0"/>
                <w:color w:val="auto"/>
                <w:spacing w:val="0"/>
                <w:sz w:val="21"/>
                <w:szCs w:val="24"/>
                <w:shd w:val="clear" w:fill="FFFFFF"/>
                <w:lang w:val="en-US" w:eastAsia="zh-CN"/>
              </w:rPr>
              <w:t>6+0.864</w:t>
            </w:r>
            <w:r>
              <w:rPr>
                <w:rFonts w:hint="default" w:ascii="Times New Roman" w:hAnsi="Times New Roman" w:cs="Arial"/>
                <w:i w:val="0"/>
                <w:iCs w:val="0"/>
                <w:caps w:val="0"/>
                <w:color w:val="auto"/>
                <w:spacing w:val="0"/>
                <w:sz w:val="21"/>
                <w:szCs w:val="24"/>
                <w:shd w:val="clear" w:fill="FFFFFF"/>
                <w:lang w:val="en-US" w:eastAsia="zh-CN"/>
              </w:rPr>
              <w:t>×</w:t>
            </w:r>
            <w:r>
              <w:rPr>
                <w:rFonts w:hint="eastAsia" w:ascii="Times New Roman" w:hAnsi="Times New Roman" w:cs="Arial"/>
                <w:i w:val="0"/>
                <w:iCs w:val="0"/>
                <w:caps w:val="0"/>
                <w:color w:val="auto"/>
                <w:spacing w:val="0"/>
                <w:sz w:val="21"/>
                <w:szCs w:val="24"/>
                <w:shd w:val="clear" w:fill="FFFFFF"/>
                <w:lang w:val="en-US" w:eastAsia="zh-CN"/>
              </w:rPr>
              <w:t>4</w:t>
            </w:r>
            <w:r>
              <w:rPr>
                <w:rFonts w:hint="eastAsia" w:ascii="Times New Roman" w:hAnsi="Times New Roman" w:cs="Segoe UI"/>
                <w:i w:val="0"/>
                <w:iCs w:val="0"/>
                <w:caps w:val="0"/>
                <w:color w:val="auto"/>
                <w:spacing w:val="0"/>
                <w:sz w:val="21"/>
                <w:szCs w:val="24"/>
                <w:shd w:val="clear" w:fill="FFFFFF"/>
                <w:lang w:val="en-US" w:eastAsia="zh-CN"/>
              </w:rPr>
              <w:t>=89.376</w:t>
            </w:r>
            <w:r>
              <w:rPr>
                <w:rFonts w:hint="default" w:ascii="Times New Roman" w:hAnsi="Times New Roman" w:eastAsia="宋体" w:cs="Segoe UI"/>
                <w:i w:val="0"/>
                <w:iCs w:val="0"/>
                <w:caps w:val="0"/>
                <w:color w:val="auto"/>
                <w:spacing w:val="0"/>
                <w:sz w:val="21"/>
                <w:szCs w:val="24"/>
                <w:shd w:val="clear" w:fill="FFFFFF"/>
              </w:rPr>
              <w:t>t，则废活性炭产生量约</w:t>
            </w:r>
            <w:r>
              <w:rPr>
                <w:rFonts w:hint="eastAsia" w:ascii="Times New Roman" w:hAnsi="Times New Roman" w:cs="Segoe UI"/>
                <w:i w:val="0"/>
                <w:iCs w:val="0"/>
                <w:caps w:val="0"/>
                <w:color w:val="auto"/>
                <w:spacing w:val="0"/>
                <w:sz w:val="21"/>
                <w:szCs w:val="24"/>
                <w:shd w:val="clear" w:fill="FFFFFF"/>
                <w:lang w:val="en-US" w:eastAsia="zh-CN"/>
              </w:rPr>
              <w:t>89.579</w:t>
            </w:r>
            <w:r>
              <w:rPr>
                <w:rFonts w:hint="default" w:ascii="Times New Roman" w:hAnsi="Times New Roman" w:eastAsia="宋体" w:cs="Segoe UI"/>
                <w:i w:val="0"/>
                <w:iCs w:val="0"/>
                <w:caps w:val="0"/>
                <w:color w:val="auto"/>
                <w:spacing w:val="0"/>
                <w:sz w:val="21"/>
                <w:szCs w:val="24"/>
                <w:shd w:val="clear" w:fill="FFFFFF"/>
              </w:rPr>
              <w:t>t/a（含吸附的有机物），属于危险废物（HW49），应交由有危险废物经营许可证的单位进行处理处置。</w:t>
            </w:r>
          </w:p>
          <w:p w14:paraId="00011358">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⑥废油墨桶：项目丝印油墨年用量</w:t>
            </w:r>
            <w:r>
              <w:rPr>
                <w:rFonts w:hint="eastAsia" w:ascii="Times New Roman" w:hAnsi="Times New Roman" w:cs="Segoe UI"/>
                <w:i w:val="0"/>
                <w:iCs w:val="0"/>
                <w:caps w:val="0"/>
                <w:color w:val="auto"/>
                <w:spacing w:val="0"/>
                <w:sz w:val="21"/>
                <w:szCs w:val="24"/>
                <w:shd w:val="clear" w:fill="FFFFFF"/>
                <w:lang w:val="en-US" w:eastAsia="zh-CN"/>
              </w:rPr>
              <w:t>1.5</w:t>
            </w:r>
            <w:r>
              <w:rPr>
                <w:rFonts w:hint="default" w:ascii="Times New Roman" w:hAnsi="Times New Roman" w:eastAsia="宋体" w:cs="Segoe UI"/>
                <w:i w:val="0"/>
                <w:iCs w:val="0"/>
                <w:caps w:val="0"/>
                <w:color w:val="auto"/>
                <w:spacing w:val="0"/>
                <w:sz w:val="21"/>
                <w:szCs w:val="24"/>
                <w:shd w:val="clear" w:fill="FFFFFF"/>
              </w:rPr>
              <w:t>t/a，UV油墨年用量</w:t>
            </w:r>
            <w:r>
              <w:rPr>
                <w:rFonts w:hint="eastAsia" w:ascii="Times New Roman" w:hAnsi="Times New Roman" w:cs="Segoe UI"/>
                <w:i w:val="0"/>
                <w:iCs w:val="0"/>
                <w:caps w:val="0"/>
                <w:color w:val="auto"/>
                <w:spacing w:val="0"/>
                <w:sz w:val="21"/>
                <w:szCs w:val="24"/>
                <w:shd w:val="clear" w:fill="FFFFFF"/>
                <w:lang w:val="en-US" w:eastAsia="zh-CN"/>
              </w:rPr>
              <w:t>0.3</w:t>
            </w:r>
            <w:r>
              <w:rPr>
                <w:rFonts w:hint="default" w:ascii="Times New Roman" w:hAnsi="Times New Roman" w:eastAsia="宋体" w:cs="Segoe UI"/>
                <w:i w:val="0"/>
                <w:iCs w:val="0"/>
                <w:caps w:val="0"/>
                <w:color w:val="auto"/>
                <w:spacing w:val="0"/>
                <w:sz w:val="21"/>
                <w:szCs w:val="24"/>
                <w:shd w:val="clear" w:fill="FFFFFF"/>
              </w:rPr>
              <w:t>t/a，</w:t>
            </w:r>
            <w:r>
              <w:rPr>
                <w:rFonts w:hint="default" w:ascii="Times New Roman" w:hAnsi="Times New Roman" w:eastAsia="宋体" w:cs="var(--dsw-font-markdown-table)"/>
                <w:color w:val="auto"/>
                <w:kern w:val="0"/>
                <w:sz w:val="21"/>
                <w:szCs w:val="24"/>
                <w:lang w:val="en-US" w:eastAsia="zh-CN" w:bidi="ar"/>
              </w:rPr>
              <w:t>转印</w:t>
            </w:r>
            <w:r>
              <w:rPr>
                <w:rFonts w:hint="eastAsia" w:ascii="Times New Roman" w:hAnsi="Times New Roman" w:eastAsia="宋体" w:cs="var(--dsw-font-markdown-table)"/>
                <w:color w:val="auto"/>
                <w:kern w:val="0"/>
                <w:sz w:val="21"/>
                <w:szCs w:val="24"/>
                <w:lang w:val="en-US" w:eastAsia="zh-CN" w:bidi="ar"/>
              </w:rPr>
              <w:t>油墨</w:t>
            </w:r>
            <w:r>
              <w:rPr>
                <w:rFonts w:hint="eastAsia" w:ascii="Times New Roman" w:hAnsi="Times New Roman" w:cs="Segoe UI"/>
                <w:i w:val="0"/>
                <w:iCs w:val="0"/>
                <w:caps w:val="0"/>
                <w:color w:val="auto"/>
                <w:spacing w:val="0"/>
                <w:sz w:val="21"/>
                <w:szCs w:val="24"/>
                <w:shd w:val="clear" w:fill="FFFFFF"/>
                <w:lang w:val="en-US" w:eastAsia="zh-CN"/>
              </w:rPr>
              <w:t>0.4</w:t>
            </w:r>
            <w:r>
              <w:rPr>
                <w:rFonts w:hint="default" w:ascii="Times New Roman" w:hAnsi="Times New Roman" w:eastAsia="宋体" w:cs="Segoe UI"/>
                <w:i w:val="0"/>
                <w:iCs w:val="0"/>
                <w:caps w:val="0"/>
                <w:color w:val="auto"/>
                <w:spacing w:val="0"/>
                <w:sz w:val="21"/>
                <w:szCs w:val="24"/>
                <w:shd w:val="clear" w:fill="FFFFFF"/>
              </w:rPr>
              <w:t>t/a</w:t>
            </w:r>
            <w:r>
              <w:rPr>
                <w:rFonts w:hint="eastAsia" w:ascii="Times New Roman" w:hAnsi="Times New Roman" w:cs="Segoe UI"/>
                <w:i w:val="0"/>
                <w:iCs w:val="0"/>
                <w:caps w:val="0"/>
                <w:color w:val="auto"/>
                <w:spacing w:val="0"/>
                <w:sz w:val="21"/>
                <w:szCs w:val="24"/>
                <w:shd w:val="clear" w:fill="FFFFFF"/>
                <w:lang w:eastAsia="zh-CN"/>
              </w:rPr>
              <w:t>，</w:t>
            </w:r>
            <w:r>
              <w:rPr>
                <w:rFonts w:hint="default" w:ascii="Times New Roman" w:hAnsi="Times New Roman" w:eastAsia="宋体" w:cs="Segoe UI"/>
                <w:i w:val="0"/>
                <w:iCs w:val="0"/>
                <w:caps w:val="0"/>
                <w:color w:val="auto"/>
                <w:spacing w:val="0"/>
                <w:sz w:val="21"/>
                <w:szCs w:val="24"/>
                <w:shd w:val="clear" w:fill="FFFFFF"/>
              </w:rPr>
              <w:t>包装规格5kg/桶，</w:t>
            </w:r>
            <w:r>
              <w:rPr>
                <w:rFonts w:hint="default" w:ascii="Times New Roman" w:hAnsi="Times New Roman" w:eastAsia="宋体" w:cs="Segoe UI"/>
                <w:i w:val="0"/>
                <w:iCs w:val="0"/>
                <w:caps w:val="0"/>
                <w:color w:val="auto"/>
                <w:spacing w:val="0"/>
                <w:kern w:val="0"/>
                <w:sz w:val="21"/>
                <w:szCs w:val="24"/>
                <w:shd w:val="clear" w:fill="FFFFFF"/>
                <w:lang w:val="en-US" w:eastAsia="zh-CN" w:bidi="ar-SA"/>
              </w:rPr>
              <w:t>合计产生废油墨桶约4</w:t>
            </w:r>
            <w:r>
              <w:rPr>
                <w:rFonts w:hint="eastAsia" w:ascii="Times New Roman" w:hAnsi="Times New Roman" w:cs="Segoe UI"/>
                <w:i w:val="0"/>
                <w:iCs w:val="0"/>
                <w:caps w:val="0"/>
                <w:color w:val="auto"/>
                <w:spacing w:val="0"/>
                <w:kern w:val="0"/>
                <w:sz w:val="21"/>
                <w:szCs w:val="24"/>
                <w:shd w:val="clear" w:fill="FFFFFF"/>
                <w:lang w:val="en-US" w:eastAsia="zh-CN" w:bidi="ar-SA"/>
              </w:rPr>
              <w:t>4</w:t>
            </w:r>
            <w:r>
              <w:rPr>
                <w:rFonts w:hint="default" w:ascii="Times New Roman" w:hAnsi="Times New Roman" w:eastAsia="宋体" w:cs="Segoe UI"/>
                <w:i w:val="0"/>
                <w:iCs w:val="0"/>
                <w:caps w:val="0"/>
                <w:color w:val="auto"/>
                <w:spacing w:val="0"/>
                <w:kern w:val="0"/>
                <w:sz w:val="21"/>
                <w:szCs w:val="24"/>
                <w:shd w:val="clear" w:fill="FFFFFF"/>
                <w:lang w:val="en-US" w:eastAsia="zh-CN" w:bidi="ar-SA"/>
              </w:rPr>
              <w:t>0个，单个空桶重量按0.3kg计，则废油墨桶产生量约0.1</w:t>
            </w:r>
            <w:r>
              <w:rPr>
                <w:rFonts w:hint="eastAsia" w:ascii="Times New Roman" w:hAnsi="Times New Roman" w:cs="Segoe UI"/>
                <w:i w:val="0"/>
                <w:iCs w:val="0"/>
                <w:caps w:val="0"/>
                <w:color w:val="auto"/>
                <w:spacing w:val="0"/>
                <w:kern w:val="0"/>
                <w:sz w:val="21"/>
                <w:szCs w:val="24"/>
                <w:shd w:val="clear" w:fill="FFFFFF"/>
                <w:lang w:val="en-US" w:eastAsia="zh-CN" w:bidi="ar-SA"/>
              </w:rPr>
              <w:t>32</w:t>
            </w:r>
            <w:r>
              <w:rPr>
                <w:rFonts w:hint="default" w:ascii="Times New Roman" w:hAnsi="Times New Roman" w:eastAsia="宋体" w:cs="Segoe UI"/>
                <w:i w:val="0"/>
                <w:iCs w:val="0"/>
                <w:caps w:val="0"/>
                <w:color w:val="auto"/>
                <w:spacing w:val="0"/>
                <w:kern w:val="0"/>
                <w:sz w:val="21"/>
                <w:szCs w:val="24"/>
                <w:shd w:val="clear" w:fill="FFFFFF"/>
                <w:lang w:val="en-US" w:eastAsia="zh-CN" w:bidi="ar-SA"/>
              </w:rPr>
              <w:t>t/a，属于危险废物（HW49），应交由有危险废物经营许可证的单位进行处理处置。</w:t>
            </w:r>
          </w:p>
          <w:p w14:paraId="6179805E">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⑦废网版：项目丝印过程会产生废网版，每年损耗约100块，每块约0.5kg，则年产生废网版0.05t/a，属于危险废物（HW16），应交由有危险废物经营许可证的单位进行处理处置。</w:t>
            </w:r>
          </w:p>
          <w:p w14:paraId="12FABC2E">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kern w:val="0"/>
                <w:sz w:val="21"/>
                <w:szCs w:val="24"/>
                <w:shd w:val="clear" w:fill="FFFFFF"/>
                <w:lang w:val="en-US" w:eastAsia="zh-CN" w:bidi="ar-SA"/>
              </w:rPr>
            </w:pPr>
            <w:r>
              <w:rPr>
                <w:rFonts w:hint="eastAsia" w:ascii="Times New Roman" w:hAnsi="Times New Roman" w:eastAsia="宋体" w:cs="微软雅黑"/>
                <w:i w:val="0"/>
                <w:iCs w:val="0"/>
                <w:caps w:val="0"/>
                <w:color w:val="auto"/>
                <w:spacing w:val="0"/>
                <w:sz w:val="21"/>
                <w:szCs w:val="24"/>
                <w:shd w:val="clear" w:fill="FFFFFF"/>
              </w:rPr>
              <w:t>⑧</w:t>
            </w:r>
            <w:r>
              <w:rPr>
                <w:rFonts w:hint="default" w:ascii="Times New Roman" w:hAnsi="Times New Roman" w:eastAsia="宋体" w:cs="Segoe UI"/>
                <w:i w:val="0"/>
                <w:iCs w:val="0"/>
                <w:caps w:val="0"/>
                <w:color w:val="auto"/>
                <w:spacing w:val="0"/>
                <w:sz w:val="21"/>
                <w:szCs w:val="24"/>
                <w:shd w:val="clear" w:fill="FFFFFF"/>
              </w:rPr>
              <w:t>废感光胶包装物：</w:t>
            </w:r>
            <w:r>
              <w:rPr>
                <w:rFonts w:hint="default" w:ascii="Times New Roman" w:hAnsi="Times New Roman" w:eastAsia="宋体" w:cs="Segoe UI"/>
                <w:i w:val="0"/>
                <w:iCs w:val="0"/>
                <w:caps w:val="0"/>
                <w:color w:val="auto"/>
                <w:spacing w:val="0"/>
                <w:kern w:val="0"/>
                <w:sz w:val="21"/>
                <w:szCs w:val="24"/>
                <w:shd w:val="clear" w:fill="FFFFFF"/>
                <w:lang w:val="en-US" w:eastAsia="zh-CN" w:bidi="ar-SA"/>
              </w:rPr>
              <w:t>项目感光胶年用量0.2t/a，包装规格5kg/桶，产生废感光胶包装桶约40个/a，单个空桶重量约0.3kg，则废感光胶包装桶产生量约0.012t/a，属于危险废物（HW49），应交由有危险废物经营许可证的单位进行处理处置。</w:t>
            </w:r>
          </w:p>
          <w:p w14:paraId="6AE337F0">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微软雅黑"/>
                <w:i w:val="0"/>
                <w:iCs w:val="0"/>
                <w:caps w:val="0"/>
                <w:color w:val="auto"/>
                <w:spacing w:val="0"/>
                <w:sz w:val="21"/>
                <w:szCs w:val="24"/>
                <w:shd w:val="clear" w:fill="FFFFFF"/>
                <w:lang w:val="en-US" w:eastAsia="zh-CN"/>
              </w:rPr>
            </w:pPr>
            <w:r>
              <w:rPr>
                <w:rFonts w:hint="eastAsia" w:ascii="Times New Roman" w:hAnsi="Times New Roman" w:eastAsia="宋体" w:cs="微软雅黑"/>
                <w:i w:val="0"/>
                <w:iCs w:val="0"/>
                <w:caps w:val="0"/>
                <w:color w:val="auto"/>
                <w:spacing w:val="0"/>
                <w:sz w:val="21"/>
                <w:szCs w:val="24"/>
                <w:shd w:val="clear" w:fill="FFFFFF"/>
                <w:lang w:val="en-US" w:eastAsia="zh-CN"/>
              </w:rPr>
              <w:t>⑨废菲林片</w:t>
            </w:r>
            <w:r>
              <w:rPr>
                <w:rFonts w:hint="default" w:ascii="Times New Roman" w:hAnsi="Times New Roman" w:eastAsia="宋体" w:cs="微软雅黑"/>
                <w:i w:val="0"/>
                <w:iCs w:val="0"/>
                <w:caps w:val="0"/>
                <w:color w:val="auto"/>
                <w:spacing w:val="0"/>
                <w:sz w:val="21"/>
                <w:szCs w:val="24"/>
                <w:shd w:val="clear" w:fill="FFFFFF"/>
                <w:lang w:val="en-US" w:eastAsia="zh-CN"/>
              </w:rPr>
              <w:t>：项目制版曝光工序使用菲林片，年用量0.2t/a，使用后因图案更换产生废菲林片，产生量约0.18t/a，属于危险废物（HW16），应交由有危险废物经营许可证的单位进行处理处置。</w:t>
            </w:r>
          </w:p>
          <w:p w14:paraId="2CA48AD4">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sz w:val="21"/>
                <w:szCs w:val="24"/>
                <w:lang w:val="zh-CN" w:eastAsia="zh-CN"/>
              </w:rPr>
            </w:pPr>
            <w:r>
              <w:rPr>
                <w:rFonts w:hint="default" w:ascii="Times New Roman" w:hAnsi="Times New Roman" w:eastAsia="宋体" w:cs="Times New Roman"/>
                <w:b/>
                <w:color w:val="auto"/>
                <w:sz w:val="21"/>
                <w:szCs w:val="24"/>
                <w:lang w:val="zh-CN" w:eastAsia="zh-CN"/>
              </w:rPr>
              <w:t>项目危险废物汇总表</w:t>
            </w:r>
          </w:p>
          <w:tbl>
            <w:tblPr>
              <w:tblStyle w:val="49"/>
              <w:tblW w:w="99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2"/>
              <w:gridCol w:w="1417"/>
              <w:gridCol w:w="924"/>
              <w:gridCol w:w="1259"/>
              <w:gridCol w:w="977"/>
              <w:gridCol w:w="898"/>
              <w:gridCol w:w="643"/>
              <w:gridCol w:w="669"/>
              <w:gridCol w:w="656"/>
              <w:gridCol w:w="724"/>
              <w:gridCol w:w="709"/>
              <w:gridCol w:w="678"/>
            </w:tblGrid>
            <w:tr w14:paraId="1DFBF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dxa"/>
                  <w:vAlign w:val="center"/>
                </w:tcPr>
                <w:p w14:paraId="0544B1C1">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h"/>
                      <w:b/>
                      <w:bCs/>
                      <w:color w:val="auto"/>
                      <w:kern w:val="0"/>
                      <w:sz w:val="21"/>
                      <w:szCs w:val="24"/>
                      <w:lang w:val="en-US" w:eastAsia="zh-CN" w:bidi="ar"/>
                    </w:rPr>
                    <w:t>序号</w:t>
                  </w:r>
                </w:p>
              </w:tc>
              <w:tc>
                <w:tcPr>
                  <w:tcW w:w="1417" w:type="dxa"/>
                  <w:vAlign w:val="center"/>
                </w:tcPr>
                <w:p w14:paraId="6165D193">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h"/>
                      <w:b/>
                      <w:bCs/>
                      <w:color w:val="auto"/>
                      <w:kern w:val="0"/>
                      <w:sz w:val="21"/>
                      <w:szCs w:val="24"/>
                      <w:lang w:val="en-US" w:eastAsia="zh-CN" w:bidi="ar"/>
                    </w:rPr>
                    <w:t>危险废物名称</w:t>
                  </w:r>
                </w:p>
              </w:tc>
              <w:tc>
                <w:tcPr>
                  <w:tcW w:w="924" w:type="dxa"/>
                  <w:vAlign w:val="center"/>
                </w:tcPr>
                <w:p w14:paraId="1795A7C9">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h"/>
                      <w:b/>
                      <w:bCs/>
                      <w:color w:val="auto"/>
                      <w:kern w:val="0"/>
                      <w:sz w:val="21"/>
                      <w:szCs w:val="24"/>
                      <w:lang w:val="en-US" w:eastAsia="zh-CN" w:bidi="ar"/>
                    </w:rPr>
                    <w:t>危险废物类别</w:t>
                  </w:r>
                </w:p>
              </w:tc>
              <w:tc>
                <w:tcPr>
                  <w:tcW w:w="1259" w:type="dxa"/>
                  <w:vAlign w:val="center"/>
                </w:tcPr>
                <w:p w14:paraId="4CFDDE21">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h"/>
                      <w:b/>
                      <w:bCs/>
                      <w:color w:val="auto"/>
                      <w:kern w:val="0"/>
                      <w:sz w:val="21"/>
                      <w:szCs w:val="24"/>
                      <w:lang w:val="en-US" w:eastAsia="zh-CN" w:bidi="ar"/>
                    </w:rPr>
                    <w:t>危险废物代码</w:t>
                  </w:r>
                </w:p>
              </w:tc>
              <w:tc>
                <w:tcPr>
                  <w:tcW w:w="977" w:type="dxa"/>
                  <w:vAlign w:val="center"/>
                </w:tcPr>
                <w:p w14:paraId="6CF348B0">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h"/>
                      <w:b/>
                      <w:bCs/>
                      <w:color w:val="auto"/>
                      <w:kern w:val="0"/>
                      <w:sz w:val="21"/>
                      <w:szCs w:val="24"/>
                      <w:lang w:val="en-US" w:eastAsia="zh-CN" w:bidi="ar"/>
                    </w:rPr>
                    <w:t>产生量（t/a）</w:t>
                  </w:r>
                </w:p>
              </w:tc>
              <w:tc>
                <w:tcPr>
                  <w:tcW w:w="898" w:type="dxa"/>
                  <w:vAlign w:val="center"/>
                </w:tcPr>
                <w:p w14:paraId="0E00C9C8">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h"/>
                      <w:b/>
                      <w:bCs/>
                      <w:color w:val="auto"/>
                      <w:kern w:val="0"/>
                      <w:sz w:val="21"/>
                      <w:szCs w:val="24"/>
                      <w:lang w:val="en-US" w:eastAsia="zh-CN" w:bidi="ar"/>
                    </w:rPr>
                    <w:t>产生工序及装置</w:t>
                  </w:r>
                </w:p>
              </w:tc>
              <w:tc>
                <w:tcPr>
                  <w:tcW w:w="643" w:type="dxa"/>
                  <w:vAlign w:val="center"/>
                </w:tcPr>
                <w:p w14:paraId="0DC6D566">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h"/>
                      <w:b/>
                      <w:bCs/>
                      <w:color w:val="auto"/>
                      <w:kern w:val="0"/>
                      <w:sz w:val="21"/>
                      <w:szCs w:val="24"/>
                      <w:lang w:val="en-US" w:eastAsia="zh-CN" w:bidi="ar"/>
                    </w:rPr>
                    <w:t>形态</w:t>
                  </w:r>
                </w:p>
              </w:tc>
              <w:tc>
                <w:tcPr>
                  <w:tcW w:w="669" w:type="dxa"/>
                  <w:vAlign w:val="center"/>
                </w:tcPr>
                <w:p w14:paraId="0D5F22DE">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h"/>
                      <w:b/>
                      <w:bCs/>
                      <w:color w:val="auto"/>
                      <w:kern w:val="0"/>
                      <w:sz w:val="21"/>
                      <w:szCs w:val="24"/>
                      <w:lang w:val="en-US" w:eastAsia="zh-CN" w:bidi="ar"/>
                    </w:rPr>
                    <w:t>主要成分</w:t>
                  </w:r>
                </w:p>
              </w:tc>
              <w:tc>
                <w:tcPr>
                  <w:tcW w:w="656" w:type="dxa"/>
                  <w:vAlign w:val="center"/>
                </w:tcPr>
                <w:p w14:paraId="0B6677D6">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h"/>
                      <w:b/>
                      <w:bCs/>
                      <w:color w:val="auto"/>
                      <w:kern w:val="0"/>
                      <w:sz w:val="21"/>
                      <w:szCs w:val="24"/>
                      <w:lang w:val="en-US" w:eastAsia="zh-CN" w:bidi="ar"/>
                    </w:rPr>
                    <w:t>有害成分</w:t>
                  </w:r>
                </w:p>
              </w:tc>
              <w:tc>
                <w:tcPr>
                  <w:tcW w:w="724" w:type="dxa"/>
                  <w:vAlign w:val="center"/>
                </w:tcPr>
                <w:p w14:paraId="0F05131C">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h"/>
                      <w:b/>
                      <w:bCs/>
                      <w:color w:val="auto"/>
                      <w:kern w:val="0"/>
                      <w:sz w:val="21"/>
                      <w:szCs w:val="24"/>
                      <w:lang w:val="en-US" w:eastAsia="zh-CN" w:bidi="ar"/>
                    </w:rPr>
                    <w:t>产废周期</w:t>
                  </w:r>
                </w:p>
              </w:tc>
              <w:tc>
                <w:tcPr>
                  <w:tcW w:w="709" w:type="dxa"/>
                  <w:vAlign w:val="center"/>
                </w:tcPr>
                <w:p w14:paraId="0BD182B5">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h"/>
                      <w:b/>
                      <w:bCs/>
                      <w:color w:val="auto"/>
                      <w:kern w:val="0"/>
                      <w:sz w:val="21"/>
                      <w:szCs w:val="24"/>
                      <w:lang w:val="en-US" w:eastAsia="zh-CN" w:bidi="ar"/>
                    </w:rPr>
                    <w:t>危险特性</w:t>
                  </w:r>
                </w:p>
              </w:tc>
              <w:tc>
                <w:tcPr>
                  <w:tcW w:w="678" w:type="dxa"/>
                  <w:vAlign w:val="center"/>
                </w:tcPr>
                <w:p w14:paraId="094EFADE">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h"/>
                      <w:b/>
                      <w:bCs/>
                      <w:color w:val="auto"/>
                      <w:kern w:val="0"/>
                      <w:sz w:val="21"/>
                      <w:szCs w:val="24"/>
                      <w:lang w:val="en-US" w:eastAsia="zh-CN" w:bidi="ar"/>
                    </w:rPr>
                    <w:t>污染防治措施</w:t>
                  </w:r>
                </w:p>
              </w:tc>
            </w:tr>
            <w:tr w14:paraId="441DE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dxa"/>
                  <w:vAlign w:val="center"/>
                </w:tcPr>
                <w:p w14:paraId="213B73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1</w:t>
                  </w:r>
                </w:p>
              </w:tc>
              <w:tc>
                <w:tcPr>
                  <w:tcW w:w="1417" w:type="dxa"/>
                  <w:vAlign w:val="center"/>
                </w:tcPr>
                <w:p w14:paraId="48DA22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ascii="Times New Roman" w:hAnsi="Times New Roman" w:eastAsia="宋体" w:cs="Times New Roman"/>
                      <w:b w:val="0"/>
                      <w:bCs w:val="0"/>
                      <w:color w:val="auto"/>
                      <w:sz w:val="21"/>
                      <w:szCs w:val="24"/>
                      <w:vertAlign w:val="baseline"/>
                      <w:lang w:val="zh-CN" w:eastAsia="zh-CN"/>
                    </w:rPr>
                  </w:pPr>
                  <w:r>
                    <w:rPr>
                      <w:rFonts w:hint="eastAsia" w:cs="Segoe UI"/>
                      <w:i w:val="0"/>
                      <w:iCs w:val="0"/>
                      <w:caps w:val="0"/>
                      <w:color w:val="auto"/>
                      <w:spacing w:val="0"/>
                      <w:sz w:val="21"/>
                      <w:szCs w:val="24"/>
                      <w:shd w:val="clear" w:fill="FFFFFF"/>
                      <w:lang w:eastAsia="zh-CN"/>
                    </w:rPr>
                    <w:t>废处理剂/清洁剂/胶粘剂包装桶</w:t>
                  </w:r>
                </w:p>
              </w:tc>
              <w:tc>
                <w:tcPr>
                  <w:tcW w:w="924" w:type="dxa"/>
                  <w:vAlign w:val="center"/>
                </w:tcPr>
                <w:p w14:paraId="1D9E94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HW49</w:t>
                  </w:r>
                </w:p>
              </w:tc>
              <w:tc>
                <w:tcPr>
                  <w:tcW w:w="1259" w:type="dxa"/>
                  <w:vAlign w:val="center"/>
                </w:tcPr>
                <w:p w14:paraId="664E5F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900</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041</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49</w:t>
                  </w:r>
                </w:p>
              </w:tc>
              <w:tc>
                <w:tcPr>
                  <w:tcW w:w="977" w:type="dxa"/>
                  <w:vAlign w:val="center"/>
                </w:tcPr>
                <w:p w14:paraId="5AB0C8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en-US" w:eastAsia="zh-CN"/>
                    </w:rPr>
                  </w:pPr>
                  <w:r>
                    <w:rPr>
                      <w:rFonts w:hint="eastAsia" w:cs="var(--dsw-font-markdown-table)"/>
                      <w:b w:val="0"/>
                      <w:bCs w:val="0"/>
                      <w:color w:val="auto"/>
                      <w:kern w:val="0"/>
                      <w:sz w:val="21"/>
                      <w:szCs w:val="24"/>
                      <w:lang w:val="en-US" w:eastAsia="zh-CN" w:bidi="ar"/>
                    </w:rPr>
                    <w:t>2.147</w:t>
                  </w:r>
                </w:p>
              </w:tc>
              <w:tc>
                <w:tcPr>
                  <w:tcW w:w="898" w:type="dxa"/>
                  <w:vAlign w:val="center"/>
                </w:tcPr>
                <w:p w14:paraId="60D663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生产过程</w:t>
                  </w:r>
                </w:p>
              </w:tc>
              <w:tc>
                <w:tcPr>
                  <w:tcW w:w="643" w:type="dxa"/>
                  <w:vAlign w:val="center"/>
                </w:tcPr>
                <w:p w14:paraId="393838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固态</w:t>
                  </w:r>
                </w:p>
              </w:tc>
              <w:tc>
                <w:tcPr>
                  <w:tcW w:w="669" w:type="dxa"/>
                  <w:vAlign w:val="center"/>
                </w:tcPr>
                <w:p w14:paraId="4F68C8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包装桶</w:t>
                  </w:r>
                </w:p>
              </w:tc>
              <w:tc>
                <w:tcPr>
                  <w:tcW w:w="656" w:type="dxa"/>
                  <w:vAlign w:val="center"/>
                </w:tcPr>
                <w:p w14:paraId="6831D1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有机物</w:t>
                  </w:r>
                </w:p>
              </w:tc>
              <w:tc>
                <w:tcPr>
                  <w:tcW w:w="724" w:type="dxa"/>
                  <w:vAlign w:val="center"/>
                </w:tcPr>
                <w:p w14:paraId="6FC0EC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每月</w:t>
                  </w:r>
                </w:p>
              </w:tc>
              <w:tc>
                <w:tcPr>
                  <w:tcW w:w="709" w:type="dxa"/>
                  <w:vAlign w:val="center"/>
                </w:tcPr>
                <w:p w14:paraId="0A3665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T/In</w:t>
                  </w:r>
                </w:p>
              </w:tc>
              <w:tc>
                <w:tcPr>
                  <w:tcW w:w="678" w:type="dxa"/>
                  <w:vMerge w:val="restart"/>
                  <w:vAlign w:val="center"/>
                </w:tcPr>
                <w:p w14:paraId="3A4774CA">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交由具有相关危险废物经营许可证的单位处理</w:t>
                  </w:r>
                </w:p>
              </w:tc>
            </w:tr>
            <w:tr w14:paraId="5A059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dxa"/>
                  <w:vAlign w:val="center"/>
                </w:tcPr>
                <w:p w14:paraId="1B4F7F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2</w:t>
                  </w:r>
                </w:p>
              </w:tc>
              <w:tc>
                <w:tcPr>
                  <w:tcW w:w="1417" w:type="dxa"/>
                  <w:vAlign w:val="center"/>
                </w:tcPr>
                <w:p w14:paraId="18AC25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废机油</w:t>
                  </w:r>
                </w:p>
              </w:tc>
              <w:tc>
                <w:tcPr>
                  <w:tcW w:w="924" w:type="dxa"/>
                  <w:vAlign w:val="center"/>
                </w:tcPr>
                <w:p w14:paraId="479A4C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HW08</w:t>
                  </w:r>
                </w:p>
              </w:tc>
              <w:tc>
                <w:tcPr>
                  <w:tcW w:w="1259" w:type="dxa"/>
                  <w:vAlign w:val="center"/>
                </w:tcPr>
                <w:p w14:paraId="11AA21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900</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249</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08</w:t>
                  </w:r>
                </w:p>
              </w:tc>
              <w:tc>
                <w:tcPr>
                  <w:tcW w:w="977" w:type="dxa"/>
                  <w:vAlign w:val="center"/>
                </w:tcPr>
                <w:p w14:paraId="27825F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0.05</w:t>
                  </w:r>
                </w:p>
              </w:tc>
              <w:tc>
                <w:tcPr>
                  <w:tcW w:w="898" w:type="dxa"/>
                  <w:vAlign w:val="center"/>
                </w:tcPr>
                <w:p w14:paraId="7042F3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设备维护</w:t>
                  </w:r>
                </w:p>
              </w:tc>
              <w:tc>
                <w:tcPr>
                  <w:tcW w:w="643" w:type="dxa"/>
                  <w:vAlign w:val="center"/>
                </w:tcPr>
                <w:p w14:paraId="6069D7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液态</w:t>
                  </w:r>
                </w:p>
              </w:tc>
              <w:tc>
                <w:tcPr>
                  <w:tcW w:w="669" w:type="dxa"/>
                  <w:vAlign w:val="center"/>
                </w:tcPr>
                <w:p w14:paraId="3AB4BC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矿物油</w:t>
                  </w:r>
                </w:p>
              </w:tc>
              <w:tc>
                <w:tcPr>
                  <w:tcW w:w="656" w:type="dxa"/>
                  <w:vAlign w:val="center"/>
                </w:tcPr>
                <w:p w14:paraId="300D49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矿物油</w:t>
                  </w:r>
                </w:p>
              </w:tc>
              <w:tc>
                <w:tcPr>
                  <w:tcW w:w="724" w:type="dxa"/>
                  <w:vAlign w:val="center"/>
                </w:tcPr>
                <w:p w14:paraId="71D26A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每季</w:t>
                  </w:r>
                </w:p>
              </w:tc>
              <w:tc>
                <w:tcPr>
                  <w:tcW w:w="709" w:type="dxa"/>
                  <w:vAlign w:val="center"/>
                </w:tcPr>
                <w:p w14:paraId="7904F0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T，I</w:t>
                  </w:r>
                </w:p>
              </w:tc>
              <w:tc>
                <w:tcPr>
                  <w:tcW w:w="678" w:type="dxa"/>
                  <w:vMerge w:val="continue"/>
                  <w:vAlign w:val="center"/>
                </w:tcPr>
                <w:p w14:paraId="2D5B1476">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color w:val="auto"/>
                      <w:sz w:val="21"/>
                      <w:szCs w:val="24"/>
                      <w:vertAlign w:val="baseline"/>
                      <w:lang w:val="zh-CN" w:eastAsia="zh-CN"/>
                    </w:rPr>
                  </w:pPr>
                </w:p>
              </w:tc>
            </w:tr>
            <w:tr w14:paraId="6F5A6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dxa"/>
                  <w:vAlign w:val="center"/>
                </w:tcPr>
                <w:p w14:paraId="1232FE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3</w:t>
                  </w:r>
                </w:p>
              </w:tc>
              <w:tc>
                <w:tcPr>
                  <w:tcW w:w="1417" w:type="dxa"/>
                  <w:vAlign w:val="center"/>
                </w:tcPr>
                <w:p w14:paraId="14EE72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含油废包装桶</w:t>
                  </w:r>
                </w:p>
              </w:tc>
              <w:tc>
                <w:tcPr>
                  <w:tcW w:w="924" w:type="dxa"/>
                  <w:vAlign w:val="center"/>
                </w:tcPr>
                <w:p w14:paraId="7ACDFE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HW08</w:t>
                  </w:r>
                </w:p>
              </w:tc>
              <w:tc>
                <w:tcPr>
                  <w:tcW w:w="1259" w:type="dxa"/>
                  <w:vAlign w:val="center"/>
                </w:tcPr>
                <w:p w14:paraId="242CA4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900</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249</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08</w:t>
                  </w:r>
                </w:p>
              </w:tc>
              <w:tc>
                <w:tcPr>
                  <w:tcW w:w="977" w:type="dxa"/>
                  <w:vAlign w:val="center"/>
                </w:tcPr>
                <w:p w14:paraId="0C45D0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0.05</w:t>
                  </w:r>
                </w:p>
              </w:tc>
              <w:tc>
                <w:tcPr>
                  <w:tcW w:w="898" w:type="dxa"/>
                  <w:vAlign w:val="center"/>
                </w:tcPr>
                <w:p w14:paraId="7280AC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设备维护</w:t>
                  </w:r>
                </w:p>
              </w:tc>
              <w:tc>
                <w:tcPr>
                  <w:tcW w:w="643" w:type="dxa"/>
                  <w:vAlign w:val="center"/>
                </w:tcPr>
                <w:p w14:paraId="5037DF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固态</w:t>
                  </w:r>
                </w:p>
              </w:tc>
              <w:tc>
                <w:tcPr>
                  <w:tcW w:w="669" w:type="dxa"/>
                  <w:vAlign w:val="center"/>
                </w:tcPr>
                <w:p w14:paraId="1B072C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包装桶</w:t>
                  </w:r>
                </w:p>
              </w:tc>
              <w:tc>
                <w:tcPr>
                  <w:tcW w:w="656" w:type="dxa"/>
                  <w:vAlign w:val="center"/>
                </w:tcPr>
                <w:p w14:paraId="08A506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矿物油</w:t>
                  </w:r>
                </w:p>
              </w:tc>
              <w:tc>
                <w:tcPr>
                  <w:tcW w:w="724" w:type="dxa"/>
                  <w:vAlign w:val="center"/>
                </w:tcPr>
                <w:p w14:paraId="725C5F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每季</w:t>
                  </w:r>
                </w:p>
              </w:tc>
              <w:tc>
                <w:tcPr>
                  <w:tcW w:w="709" w:type="dxa"/>
                  <w:vAlign w:val="center"/>
                </w:tcPr>
                <w:p w14:paraId="21E76F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T，I</w:t>
                  </w:r>
                </w:p>
              </w:tc>
              <w:tc>
                <w:tcPr>
                  <w:tcW w:w="678" w:type="dxa"/>
                  <w:vMerge w:val="continue"/>
                  <w:vAlign w:val="center"/>
                </w:tcPr>
                <w:p w14:paraId="361C5AB3">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color w:val="auto"/>
                      <w:sz w:val="21"/>
                      <w:szCs w:val="24"/>
                      <w:vertAlign w:val="baseline"/>
                      <w:lang w:val="zh-CN" w:eastAsia="zh-CN"/>
                    </w:rPr>
                  </w:pPr>
                </w:p>
              </w:tc>
            </w:tr>
            <w:tr w14:paraId="20B62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dxa"/>
                  <w:vAlign w:val="center"/>
                </w:tcPr>
                <w:p w14:paraId="79ED76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4</w:t>
                  </w:r>
                </w:p>
              </w:tc>
              <w:tc>
                <w:tcPr>
                  <w:tcW w:w="1417" w:type="dxa"/>
                  <w:vAlign w:val="center"/>
                </w:tcPr>
                <w:p w14:paraId="3A3704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含油废抹布、手套</w:t>
                  </w:r>
                </w:p>
              </w:tc>
              <w:tc>
                <w:tcPr>
                  <w:tcW w:w="924" w:type="dxa"/>
                  <w:vAlign w:val="center"/>
                </w:tcPr>
                <w:p w14:paraId="45697C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HW49</w:t>
                  </w:r>
                </w:p>
              </w:tc>
              <w:tc>
                <w:tcPr>
                  <w:tcW w:w="1259" w:type="dxa"/>
                  <w:vAlign w:val="center"/>
                </w:tcPr>
                <w:p w14:paraId="0EE3FF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900</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041</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49</w:t>
                  </w:r>
                </w:p>
              </w:tc>
              <w:tc>
                <w:tcPr>
                  <w:tcW w:w="977" w:type="dxa"/>
                  <w:vAlign w:val="center"/>
                </w:tcPr>
                <w:p w14:paraId="0E729D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0.07</w:t>
                  </w:r>
                </w:p>
              </w:tc>
              <w:tc>
                <w:tcPr>
                  <w:tcW w:w="898" w:type="dxa"/>
                  <w:vAlign w:val="center"/>
                </w:tcPr>
                <w:p w14:paraId="72879A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设备维护</w:t>
                  </w:r>
                </w:p>
              </w:tc>
              <w:tc>
                <w:tcPr>
                  <w:tcW w:w="643" w:type="dxa"/>
                  <w:vAlign w:val="center"/>
                </w:tcPr>
                <w:p w14:paraId="24BF49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固态</w:t>
                  </w:r>
                </w:p>
              </w:tc>
              <w:tc>
                <w:tcPr>
                  <w:tcW w:w="669" w:type="dxa"/>
                  <w:vAlign w:val="center"/>
                </w:tcPr>
                <w:p w14:paraId="2E7DA4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布料</w:t>
                  </w:r>
                </w:p>
              </w:tc>
              <w:tc>
                <w:tcPr>
                  <w:tcW w:w="656" w:type="dxa"/>
                  <w:vAlign w:val="center"/>
                </w:tcPr>
                <w:p w14:paraId="28E7F3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矿物油</w:t>
                  </w:r>
                </w:p>
              </w:tc>
              <w:tc>
                <w:tcPr>
                  <w:tcW w:w="724" w:type="dxa"/>
                  <w:vAlign w:val="center"/>
                </w:tcPr>
                <w:p w14:paraId="1358BA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每月</w:t>
                  </w:r>
                </w:p>
              </w:tc>
              <w:tc>
                <w:tcPr>
                  <w:tcW w:w="709" w:type="dxa"/>
                  <w:vAlign w:val="center"/>
                </w:tcPr>
                <w:p w14:paraId="01961A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T/In</w:t>
                  </w:r>
                </w:p>
              </w:tc>
              <w:tc>
                <w:tcPr>
                  <w:tcW w:w="678" w:type="dxa"/>
                  <w:vMerge w:val="continue"/>
                  <w:vAlign w:val="center"/>
                </w:tcPr>
                <w:p w14:paraId="0FE9AE6E">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color w:val="auto"/>
                      <w:sz w:val="21"/>
                      <w:szCs w:val="24"/>
                      <w:vertAlign w:val="baseline"/>
                      <w:lang w:val="zh-CN" w:eastAsia="zh-CN"/>
                    </w:rPr>
                  </w:pPr>
                </w:p>
              </w:tc>
            </w:tr>
            <w:tr w14:paraId="278F7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dxa"/>
                  <w:vAlign w:val="center"/>
                </w:tcPr>
                <w:p w14:paraId="23F375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5</w:t>
                  </w:r>
                </w:p>
              </w:tc>
              <w:tc>
                <w:tcPr>
                  <w:tcW w:w="1417" w:type="dxa"/>
                  <w:vAlign w:val="center"/>
                </w:tcPr>
                <w:p w14:paraId="645B60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废活性炭</w:t>
                  </w:r>
                </w:p>
              </w:tc>
              <w:tc>
                <w:tcPr>
                  <w:tcW w:w="924" w:type="dxa"/>
                  <w:vAlign w:val="center"/>
                </w:tcPr>
                <w:p w14:paraId="7B5783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HW49</w:t>
                  </w:r>
                </w:p>
              </w:tc>
              <w:tc>
                <w:tcPr>
                  <w:tcW w:w="1259" w:type="dxa"/>
                  <w:vAlign w:val="center"/>
                </w:tcPr>
                <w:p w14:paraId="16FBFA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900</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039</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49</w:t>
                  </w:r>
                </w:p>
              </w:tc>
              <w:tc>
                <w:tcPr>
                  <w:tcW w:w="977" w:type="dxa"/>
                  <w:vAlign w:val="center"/>
                </w:tcPr>
                <w:p w14:paraId="3C3972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en-US" w:eastAsia="zh-CN"/>
                    </w:rPr>
                  </w:pPr>
                  <w:r>
                    <w:rPr>
                      <w:rFonts w:hint="eastAsia" w:cs="Times New Roman"/>
                      <w:b w:val="0"/>
                      <w:bCs w:val="0"/>
                      <w:color w:val="auto"/>
                      <w:sz w:val="21"/>
                      <w:szCs w:val="24"/>
                      <w:vertAlign w:val="baseline"/>
                      <w:lang w:val="en-US" w:eastAsia="zh-CN"/>
                    </w:rPr>
                    <w:t>89.579</w:t>
                  </w:r>
                </w:p>
              </w:tc>
              <w:tc>
                <w:tcPr>
                  <w:tcW w:w="898" w:type="dxa"/>
                  <w:vAlign w:val="center"/>
                </w:tcPr>
                <w:p w14:paraId="56A3A9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废气治理</w:t>
                  </w:r>
                </w:p>
              </w:tc>
              <w:tc>
                <w:tcPr>
                  <w:tcW w:w="643" w:type="dxa"/>
                  <w:vAlign w:val="center"/>
                </w:tcPr>
                <w:p w14:paraId="580DAE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固态</w:t>
                  </w:r>
                </w:p>
              </w:tc>
              <w:tc>
                <w:tcPr>
                  <w:tcW w:w="669" w:type="dxa"/>
                  <w:vAlign w:val="center"/>
                </w:tcPr>
                <w:p w14:paraId="1F595A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活性炭</w:t>
                  </w:r>
                </w:p>
              </w:tc>
              <w:tc>
                <w:tcPr>
                  <w:tcW w:w="656" w:type="dxa"/>
                  <w:vAlign w:val="center"/>
                </w:tcPr>
                <w:p w14:paraId="1E9EFE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有机物</w:t>
                  </w:r>
                </w:p>
              </w:tc>
              <w:tc>
                <w:tcPr>
                  <w:tcW w:w="724" w:type="dxa"/>
                  <w:vAlign w:val="center"/>
                </w:tcPr>
                <w:p w14:paraId="56B83A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每季</w:t>
                  </w:r>
                </w:p>
              </w:tc>
              <w:tc>
                <w:tcPr>
                  <w:tcW w:w="709" w:type="dxa"/>
                  <w:vAlign w:val="center"/>
                </w:tcPr>
                <w:p w14:paraId="382EC6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T</w:t>
                  </w:r>
                </w:p>
              </w:tc>
              <w:tc>
                <w:tcPr>
                  <w:tcW w:w="678" w:type="dxa"/>
                  <w:vMerge w:val="continue"/>
                  <w:vAlign w:val="center"/>
                </w:tcPr>
                <w:p w14:paraId="54C5B002">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color w:val="auto"/>
                      <w:sz w:val="21"/>
                      <w:szCs w:val="24"/>
                      <w:vertAlign w:val="baseline"/>
                      <w:lang w:val="zh-CN" w:eastAsia="zh-CN"/>
                    </w:rPr>
                  </w:pPr>
                </w:p>
              </w:tc>
            </w:tr>
            <w:tr w14:paraId="2A80B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dxa"/>
                  <w:vAlign w:val="center"/>
                </w:tcPr>
                <w:p w14:paraId="04A418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6</w:t>
                  </w:r>
                </w:p>
              </w:tc>
              <w:tc>
                <w:tcPr>
                  <w:tcW w:w="1417" w:type="dxa"/>
                  <w:vAlign w:val="center"/>
                </w:tcPr>
                <w:p w14:paraId="4908C9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废油墨桶</w:t>
                  </w:r>
                </w:p>
              </w:tc>
              <w:tc>
                <w:tcPr>
                  <w:tcW w:w="924" w:type="dxa"/>
                  <w:vAlign w:val="center"/>
                </w:tcPr>
                <w:p w14:paraId="3941A5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HW49</w:t>
                  </w:r>
                </w:p>
              </w:tc>
              <w:tc>
                <w:tcPr>
                  <w:tcW w:w="1259" w:type="dxa"/>
                  <w:vAlign w:val="center"/>
                </w:tcPr>
                <w:p w14:paraId="4E4454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900</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041</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49</w:t>
                  </w:r>
                </w:p>
              </w:tc>
              <w:tc>
                <w:tcPr>
                  <w:tcW w:w="977" w:type="dxa"/>
                  <w:vAlign w:val="center"/>
                </w:tcPr>
                <w:p w14:paraId="40DDD4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en-US" w:eastAsia="zh-CN"/>
                    </w:rPr>
                  </w:pPr>
                  <w:r>
                    <w:rPr>
                      <w:rFonts w:hint="default" w:ascii="Times New Roman" w:hAnsi="Times New Roman" w:eastAsia="宋体" w:cs="var(--dsw-font-markdown-table)"/>
                      <w:b w:val="0"/>
                      <w:bCs w:val="0"/>
                      <w:color w:val="auto"/>
                      <w:kern w:val="0"/>
                      <w:sz w:val="21"/>
                      <w:szCs w:val="24"/>
                      <w:lang w:val="en-US" w:eastAsia="zh-CN" w:bidi="ar"/>
                    </w:rPr>
                    <w:t>0.1</w:t>
                  </w:r>
                  <w:r>
                    <w:rPr>
                      <w:rFonts w:hint="eastAsia" w:cs="var(--dsw-font-markdown-table)"/>
                      <w:b w:val="0"/>
                      <w:bCs w:val="0"/>
                      <w:color w:val="auto"/>
                      <w:kern w:val="0"/>
                      <w:sz w:val="21"/>
                      <w:szCs w:val="24"/>
                      <w:lang w:val="en-US" w:eastAsia="zh-CN" w:bidi="ar"/>
                    </w:rPr>
                    <w:t>32</w:t>
                  </w:r>
                </w:p>
              </w:tc>
              <w:tc>
                <w:tcPr>
                  <w:tcW w:w="898" w:type="dxa"/>
                  <w:vAlign w:val="center"/>
                </w:tcPr>
                <w:p w14:paraId="58AB3C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丝印/UV打印</w:t>
                  </w:r>
                </w:p>
              </w:tc>
              <w:tc>
                <w:tcPr>
                  <w:tcW w:w="643" w:type="dxa"/>
                  <w:vAlign w:val="center"/>
                </w:tcPr>
                <w:p w14:paraId="59EC94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固态</w:t>
                  </w:r>
                </w:p>
              </w:tc>
              <w:tc>
                <w:tcPr>
                  <w:tcW w:w="669" w:type="dxa"/>
                  <w:vAlign w:val="center"/>
                </w:tcPr>
                <w:p w14:paraId="46BBFE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包装桶</w:t>
                  </w:r>
                </w:p>
              </w:tc>
              <w:tc>
                <w:tcPr>
                  <w:tcW w:w="656" w:type="dxa"/>
                  <w:vAlign w:val="center"/>
                </w:tcPr>
                <w:p w14:paraId="4339EB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油墨</w:t>
                  </w:r>
                </w:p>
              </w:tc>
              <w:tc>
                <w:tcPr>
                  <w:tcW w:w="724" w:type="dxa"/>
                  <w:vAlign w:val="center"/>
                </w:tcPr>
                <w:p w14:paraId="7C676E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每月</w:t>
                  </w:r>
                </w:p>
              </w:tc>
              <w:tc>
                <w:tcPr>
                  <w:tcW w:w="709" w:type="dxa"/>
                  <w:vAlign w:val="center"/>
                </w:tcPr>
                <w:p w14:paraId="4FA3C2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T/In</w:t>
                  </w:r>
                </w:p>
              </w:tc>
              <w:tc>
                <w:tcPr>
                  <w:tcW w:w="678" w:type="dxa"/>
                  <w:vMerge w:val="continue"/>
                  <w:vAlign w:val="center"/>
                </w:tcPr>
                <w:p w14:paraId="48487FC2">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color w:val="auto"/>
                      <w:sz w:val="21"/>
                      <w:szCs w:val="24"/>
                      <w:vertAlign w:val="baseline"/>
                      <w:lang w:val="zh-CN" w:eastAsia="zh-CN"/>
                    </w:rPr>
                  </w:pPr>
                </w:p>
              </w:tc>
            </w:tr>
            <w:tr w14:paraId="5BAB8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dxa"/>
                  <w:vAlign w:val="center"/>
                </w:tcPr>
                <w:p w14:paraId="346963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7</w:t>
                  </w:r>
                </w:p>
              </w:tc>
              <w:tc>
                <w:tcPr>
                  <w:tcW w:w="1417" w:type="dxa"/>
                  <w:vAlign w:val="center"/>
                </w:tcPr>
                <w:p w14:paraId="5DDAB1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废网版</w:t>
                  </w:r>
                </w:p>
              </w:tc>
              <w:tc>
                <w:tcPr>
                  <w:tcW w:w="924" w:type="dxa"/>
                  <w:vAlign w:val="center"/>
                </w:tcPr>
                <w:p w14:paraId="4F674C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HW16</w:t>
                  </w:r>
                </w:p>
              </w:tc>
              <w:tc>
                <w:tcPr>
                  <w:tcW w:w="1259" w:type="dxa"/>
                  <w:vAlign w:val="center"/>
                </w:tcPr>
                <w:p w14:paraId="54F810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231</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005</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16</w:t>
                  </w:r>
                </w:p>
              </w:tc>
              <w:tc>
                <w:tcPr>
                  <w:tcW w:w="977" w:type="dxa"/>
                  <w:vAlign w:val="center"/>
                </w:tcPr>
                <w:p w14:paraId="60AAD4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0.05</w:t>
                  </w:r>
                </w:p>
              </w:tc>
              <w:tc>
                <w:tcPr>
                  <w:tcW w:w="898" w:type="dxa"/>
                  <w:vAlign w:val="center"/>
                </w:tcPr>
                <w:p w14:paraId="61EB33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丝印</w:t>
                  </w:r>
                </w:p>
              </w:tc>
              <w:tc>
                <w:tcPr>
                  <w:tcW w:w="643" w:type="dxa"/>
                  <w:vAlign w:val="center"/>
                </w:tcPr>
                <w:p w14:paraId="3022A7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固态</w:t>
                  </w:r>
                </w:p>
              </w:tc>
              <w:tc>
                <w:tcPr>
                  <w:tcW w:w="669" w:type="dxa"/>
                  <w:vAlign w:val="center"/>
                </w:tcPr>
                <w:p w14:paraId="5ABF3C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网版</w:t>
                  </w:r>
                </w:p>
              </w:tc>
              <w:tc>
                <w:tcPr>
                  <w:tcW w:w="656" w:type="dxa"/>
                  <w:vAlign w:val="center"/>
                </w:tcPr>
                <w:p w14:paraId="58732B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油墨</w:t>
                  </w:r>
                </w:p>
              </w:tc>
              <w:tc>
                <w:tcPr>
                  <w:tcW w:w="724" w:type="dxa"/>
                  <w:vAlign w:val="center"/>
                </w:tcPr>
                <w:p w14:paraId="5BA2C5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每季</w:t>
                  </w:r>
                </w:p>
              </w:tc>
              <w:tc>
                <w:tcPr>
                  <w:tcW w:w="709" w:type="dxa"/>
                  <w:vAlign w:val="center"/>
                </w:tcPr>
                <w:p w14:paraId="1EB183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T</w:t>
                  </w:r>
                </w:p>
              </w:tc>
              <w:tc>
                <w:tcPr>
                  <w:tcW w:w="678" w:type="dxa"/>
                  <w:vMerge w:val="continue"/>
                  <w:vAlign w:val="center"/>
                </w:tcPr>
                <w:p w14:paraId="63DDB55B">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color w:val="auto"/>
                      <w:sz w:val="21"/>
                      <w:szCs w:val="24"/>
                      <w:vertAlign w:val="baseline"/>
                      <w:lang w:val="zh-CN" w:eastAsia="zh-CN"/>
                    </w:rPr>
                  </w:pPr>
                </w:p>
              </w:tc>
            </w:tr>
            <w:tr w14:paraId="7FCA4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dxa"/>
                  <w:vAlign w:val="center"/>
                </w:tcPr>
                <w:p w14:paraId="09D8D6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8</w:t>
                  </w:r>
                </w:p>
              </w:tc>
              <w:tc>
                <w:tcPr>
                  <w:tcW w:w="1417" w:type="dxa"/>
                  <w:vAlign w:val="center"/>
                </w:tcPr>
                <w:p w14:paraId="6E5CF3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废感光胶包装物</w:t>
                  </w:r>
                </w:p>
              </w:tc>
              <w:tc>
                <w:tcPr>
                  <w:tcW w:w="924" w:type="dxa"/>
                  <w:vAlign w:val="center"/>
                </w:tcPr>
                <w:p w14:paraId="65FABA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HW49</w:t>
                  </w:r>
                </w:p>
              </w:tc>
              <w:tc>
                <w:tcPr>
                  <w:tcW w:w="1259" w:type="dxa"/>
                  <w:vAlign w:val="center"/>
                </w:tcPr>
                <w:p w14:paraId="1B480D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900</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041</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49</w:t>
                  </w:r>
                </w:p>
              </w:tc>
              <w:tc>
                <w:tcPr>
                  <w:tcW w:w="977" w:type="dxa"/>
                  <w:vAlign w:val="center"/>
                </w:tcPr>
                <w:p w14:paraId="620B26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0.012</w:t>
                  </w:r>
                </w:p>
              </w:tc>
              <w:tc>
                <w:tcPr>
                  <w:tcW w:w="898" w:type="dxa"/>
                  <w:vAlign w:val="center"/>
                </w:tcPr>
                <w:p w14:paraId="0E1F03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制版</w:t>
                  </w:r>
                </w:p>
              </w:tc>
              <w:tc>
                <w:tcPr>
                  <w:tcW w:w="643" w:type="dxa"/>
                  <w:vAlign w:val="center"/>
                </w:tcPr>
                <w:p w14:paraId="3D9A7F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固态</w:t>
                  </w:r>
                </w:p>
              </w:tc>
              <w:tc>
                <w:tcPr>
                  <w:tcW w:w="669" w:type="dxa"/>
                  <w:vAlign w:val="center"/>
                </w:tcPr>
                <w:p w14:paraId="560E5B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包装桶</w:t>
                  </w:r>
                </w:p>
              </w:tc>
              <w:tc>
                <w:tcPr>
                  <w:tcW w:w="656" w:type="dxa"/>
                  <w:vAlign w:val="center"/>
                </w:tcPr>
                <w:p w14:paraId="284543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感光胶</w:t>
                  </w:r>
                </w:p>
              </w:tc>
              <w:tc>
                <w:tcPr>
                  <w:tcW w:w="724" w:type="dxa"/>
                  <w:vAlign w:val="center"/>
                </w:tcPr>
                <w:p w14:paraId="06F380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每季</w:t>
                  </w:r>
                </w:p>
              </w:tc>
              <w:tc>
                <w:tcPr>
                  <w:tcW w:w="709" w:type="dxa"/>
                  <w:vAlign w:val="center"/>
                </w:tcPr>
                <w:p w14:paraId="5D8F5D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T/In</w:t>
                  </w:r>
                </w:p>
              </w:tc>
              <w:tc>
                <w:tcPr>
                  <w:tcW w:w="678" w:type="dxa"/>
                  <w:vMerge w:val="continue"/>
                  <w:vAlign w:val="center"/>
                </w:tcPr>
                <w:p w14:paraId="3B9B90C8">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color w:val="auto"/>
                      <w:sz w:val="21"/>
                      <w:szCs w:val="24"/>
                      <w:vertAlign w:val="baseline"/>
                      <w:lang w:val="zh-CN" w:eastAsia="zh-CN"/>
                    </w:rPr>
                  </w:pPr>
                </w:p>
              </w:tc>
            </w:tr>
            <w:tr w14:paraId="7E325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dxa"/>
                  <w:vAlign w:val="center"/>
                </w:tcPr>
                <w:p w14:paraId="226AC9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9</w:t>
                  </w:r>
                </w:p>
              </w:tc>
              <w:tc>
                <w:tcPr>
                  <w:tcW w:w="1417" w:type="dxa"/>
                  <w:vAlign w:val="center"/>
                </w:tcPr>
                <w:p w14:paraId="19B6CD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废菲林片</w:t>
                  </w:r>
                </w:p>
              </w:tc>
              <w:tc>
                <w:tcPr>
                  <w:tcW w:w="924" w:type="dxa"/>
                  <w:vAlign w:val="center"/>
                </w:tcPr>
                <w:p w14:paraId="1D6181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HW16</w:t>
                  </w:r>
                </w:p>
              </w:tc>
              <w:tc>
                <w:tcPr>
                  <w:tcW w:w="1259" w:type="dxa"/>
                  <w:vAlign w:val="center"/>
                </w:tcPr>
                <w:p w14:paraId="4B1666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231</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002</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16</w:t>
                  </w:r>
                </w:p>
              </w:tc>
              <w:tc>
                <w:tcPr>
                  <w:tcW w:w="977" w:type="dxa"/>
                  <w:vAlign w:val="center"/>
                </w:tcPr>
                <w:p w14:paraId="53AB62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0.18</w:t>
                  </w:r>
                </w:p>
              </w:tc>
              <w:tc>
                <w:tcPr>
                  <w:tcW w:w="898" w:type="dxa"/>
                  <w:vAlign w:val="center"/>
                </w:tcPr>
                <w:p w14:paraId="0CFD4A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制版</w:t>
                  </w:r>
                </w:p>
              </w:tc>
              <w:tc>
                <w:tcPr>
                  <w:tcW w:w="643" w:type="dxa"/>
                  <w:vAlign w:val="center"/>
                </w:tcPr>
                <w:p w14:paraId="311B67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固态</w:t>
                  </w:r>
                </w:p>
              </w:tc>
              <w:tc>
                <w:tcPr>
                  <w:tcW w:w="669" w:type="dxa"/>
                  <w:vAlign w:val="center"/>
                </w:tcPr>
                <w:p w14:paraId="528179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菲林片</w:t>
                  </w:r>
                </w:p>
              </w:tc>
              <w:tc>
                <w:tcPr>
                  <w:tcW w:w="656" w:type="dxa"/>
                  <w:vAlign w:val="center"/>
                </w:tcPr>
                <w:p w14:paraId="5811B9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感光材料</w:t>
                  </w:r>
                </w:p>
              </w:tc>
              <w:tc>
                <w:tcPr>
                  <w:tcW w:w="724" w:type="dxa"/>
                  <w:vAlign w:val="center"/>
                </w:tcPr>
                <w:p w14:paraId="25374E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每季</w:t>
                  </w:r>
                </w:p>
              </w:tc>
              <w:tc>
                <w:tcPr>
                  <w:tcW w:w="709" w:type="dxa"/>
                  <w:vAlign w:val="center"/>
                </w:tcPr>
                <w:p w14:paraId="1CC246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T</w:t>
                  </w:r>
                </w:p>
              </w:tc>
              <w:tc>
                <w:tcPr>
                  <w:tcW w:w="678" w:type="dxa"/>
                  <w:vMerge w:val="continue"/>
                  <w:vAlign w:val="center"/>
                </w:tcPr>
                <w:p w14:paraId="23CC90A7">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color w:val="auto"/>
                      <w:sz w:val="21"/>
                      <w:szCs w:val="24"/>
                      <w:vertAlign w:val="baseline"/>
                      <w:lang w:val="zh-CN" w:eastAsia="zh-CN"/>
                    </w:rPr>
                  </w:pPr>
                </w:p>
              </w:tc>
            </w:tr>
          </w:tbl>
          <w:p w14:paraId="66AE198F">
            <w:pPr>
              <w:pStyle w:val="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rPr>
            </w:pPr>
            <w:bookmarkStart w:id="66" w:name="_Toc16155"/>
            <w:bookmarkStart w:id="67" w:name="_Toc9915"/>
            <w:r>
              <w:rPr>
                <w:rFonts w:hint="default" w:ascii="Times New Roman" w:hAnsi="Times New Roman" w:eastAsia="宋体" w:cs="Segoe UI"/>
                <w:i w:val="0"/>
                <w:iCs w:val="0"/>
                <w:caps w:val="0"/>
                <w:color w:val="auto"/>
                <w:spacing w:val="0"/>
                <w:sz w:val="21"/>
                <w:shd w:val="clear" w:fill="FFFFFF"/>
              </w:rPr>
              <w:t>2、固体废物治理措施</w:t>
            </w:r>
            <w:bookmarkEnd w:id="66"/>
            <w:bookmarkEnd w:id="67"/>
          </w:p>
          <w:p w14:paraId="395E997D">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b/>
                <w:bCs/>
                <w:i w:val="0"/>
                <w:iCs w:val="0"/>
                <w:caps w:val="0"/>
                <w:color w:val="auto"/>
                <w:spacing w:val="0"/>
                <w:sz w:val="21"/>
                <w:szCs w:val="24"/>
                <w:shd w:val="clear" w:fill="FFFFFF"/>
              </w:rPr>
              <w:t>（1）生活垃圾</w:t>
            </w:r>
          </w:p>
          <w:p w14:paraId="280579E1">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本项目产生的生活垃圾须避雨集中堆放，统一由环卫部门运往垃圾处理厂作无害化处理，日产日清。</w:t>
            </w:r>
          </w:p>
          <w:p w14:paraId="3E32980C">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b/>
                <w:bCs/>
                <w:i w:val="0"/>
                <w:iCs w:val="0"/>
                <w:caps w:val="0"/>
                <w:color w:val="auto"/>
                <w:spacing w:val="0"/>
                <w:sz w:val="21"/>
                <w:szCs w:val="24"/>
                <w:shd w:val="clear" w:fill="FFFFFF"/>
              </w:rPr>
              <w:t>（2）一般工业固体废物</w:t>
            </w:r>
          </w:p>
          <w:p w14:paraId="1B25A10C">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针对一般工业固体废物的储存提出以下要求：</w:t>
            </w:r>
          </w:p>
          <w:p w14:paraId="7B08CCFC">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①一般固体废物根据不同属性类别的固废进行分类收集、储存，禁止将不相容（相互反应）固体废物在同一容器内混装。</w:t>
            </w:r>
          </w:p>
          <w:p w14:paraId="762A3FE7">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②堆放一般工业固体废物的高度应根据地面承载能力确定，以避免地基下沉的影响，特别是不均匀或局部下沉的影响。</w:t>
            </w:r>
          </w:p>
          <w:p w14:paraId="2D4B2CBA">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③为加强监督管理，一般工业固体废物储存场要按照相关的规定设置环境保护图形标志。</w:t>
            </w:r>
          </w:p>
          <w:p w14:paraId="0352E8AB">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一般工业固体废物的贮存设施、场所必须采取防扬散、防流失、防渗漏或者其他防止污染环境的措施，必须符合国家环境保护标准，并对未处理的固体废物做出妥善处理，安全存放。对暂时不能利用或者不能回收利用的一般工业固体废物，必须配套建设防雨淋、防渗漏、易识别等符合环境保护标准和管理要求的贮存设施或场所，以及足够的流转空间，按照国家环境保护的技术和管理要求，有专人看管，建立便于核查的进、出物料的台账记录和固体废物明细表。</w:t>
            </w:r>
          </w:p>
          <w:p w14:paraId="269F86ED">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b/>
                <w:bCs/>
                <w:i w:val="0"/>
                <w:iCs w:val="0"/>
                <w:caps w:val="0"/>
                <w:color w:val="auto"/>
                <w:spacing w:val="0"/>
                <w:sz w:val="21"/>
                <w:szCs w:val="24"/>
                <w:shd w:val="clear" w:fill="FFFFFF"/>
              </w:rPr>
              <w:t>（3）危险废物</w:t>
            </w:r>
          </w:p>
          <w:p w14:paraId="27501311">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集中收集交由具有相关危险废物经营许可证的单位处理。</w:t>
            </w:r>
            <w:r>
              <w:rPr>
                <w:rFonts w:hint="eastAsia" w:ascii="Times New Roman" w:hAnsi="Times New Roman" w:cs="Segoe UI"/>
                <w:i w:val="0"/>
                <w:iCs w:val="0"/>
                <w:caps w:val="0"/>
                <w:color w:val="auto"/>
                <w:spacing w:val="0"/>
                <w:sz w:val="21"/>
                <w:szCs w:val="24"/>
                <w:shd w:val="clear" w:fill="FFFFFF"/>
                <w:lang w:eastAsia="zh-CN"/>
              </w:rPr>
              <w:t>对</w:t>
            </w:r>
            <w:r>
              <w:rPr>
                <w:rFonts w:hint="default" w:ascii="Times New Roman" w:hAnsi="Times New Roman" w:eastAsia="宋体" w:cs="Segoe UI"/>
                <w:i w:val="0"/>
                <w:iCs w:val="0"/>
                <w:caps w:val="0"/>
                <w:color w:val="auto"/>
                <w:spacing w:val="0"/>
                <w:sz w:val="21"/>
                <w:szCs w:val="24"/>
                <w:shd w:val="clear" w:fill="FFFFFF"/>
              </w:rPr>
              <w:t>危险废物管理要求如下：</w:t>
            </w:r>
          </w:p>
          <w:p w14:paraId="5F4EEE55">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①危险废物：统一收集、暂存、转移、处置危险废物的设施、场所，必须设置危险废物识别标志；</w:t>
            </w:r>
          </w:p>
          <w:p w14:paraId="515D26F1">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②禁止企业随意倾倒、堆置危险废物；</w:t>
            </w:r>
          </w:p>
          <w:p w14:paraId="33699DB4">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③禁止将危险废物混入非危险废物中收集、暂存、转移、处置，收集、贮存转移危险废物时，严格按照危险废物特性分类进行。禁止混合收集、贮存、运输、转移性质不相容且未经安全性处置的危险废物；</w:t>
            </w:r>
          </w:p>
          <w:p w14:paraId="1FAEAEFE">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④危险固废储存区应根据不同性质的危废进行分区堆放储存，存储区必须严格按照《危险废物贮存污染控制标准》（</w:t>
            </w:r>
            <w:r>
              <w:rPr>
                <w:rFonts w:hint="eastAsia" w:ascii="Times New Roman" w:hAnsi="Times New Roman" w:cs="Segoe UI"/>
                <w:i w:val="0"/>
                <w:iCs w:val="0"/>
                <w:caps w:val="0"/>
                <w:color w:val="auto"/>
                <w:spacing w:val="0"/>
                <w:sz w:val="21"/>
                <w:szCs w:val="24"/>
                <w:shd w:val="clear" w:fill="FFFFFF"/>
                <w:lang w:eastAsia="zh-CN"/>
              </w:rPr>
              <w:t>GB18597-2023</w:t>
            </w:r>
            <w:r>
              <w:rPr>
                <w:rFonts w:hint="default" w:ascii="Times New Roman" w:hAnsi="Times New Roman" w:eastAsia="宋体" w:cs="Segoe UI"/>
                <w:i w:val="0"/>
                <w:iCs w:val="0"/>
                <w:caps w:val="0"/>
                <w:color w:val="auto"/>
                <w:spacing w:val="0"/>
                <w:sz w:val="21"/>
                <w:szCs w:val="24"/>
                <w:shd w:val="clear" w:fill="FFFFFF"/>
              </w:rPr>
              <w:t>）的要求建设和维护使用；对暂存间进出口设置0.2m高的缓坡，并对暂存间墙体及地面做环氧树脂防腐、防渗措施。</w:t>
            </w:r>
          </w:p>
          <w:p w14:paraId="3416DDA3">
            <w:pPr>
              <w:pStyle w:val="9"/>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sz w:val="21"/>
                <w:szCs w:val="24"/>
                <w:lang w:val="zh-CN" w:eastAsia="zh-CN"/>
              </w:rPr>
            </w:pPr>
            <w:r>
              <w:rPr>
                <w:rFonts w:hint="default" w:ascii="Times New Roman" w:hAnsi="Times New Roman" w:eastAsia="宋体" w:cs="Times New Roman"/>
                <w:b/>
                <w:color w:val="auto"/>
                <w:sz w:val="21"/>
                <w:szCs w:val="24"/>
                <w:lang w:val="zh-CN" w:eastAsia="zh-CN"/>
              </w:rPr>
              <w:t>项目危险废物贮存场所基本情况表</w:t>
            </w:r>
          </w:p>
          <w:tbl>
            <w:tblPr>
              <w:tblStyle w:val="49"/>
              <w:tblW w:w="99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7"/>
              <w:gridCol w:w="998"/>
              <w:gridCol w:w="1295"/>
              <w:gridCol w:w="820"/>
              <w:gridCol w:w="1263"/>
              <w:gridCol w:w="736"/>
              <w:gridCol w:w="1127"/>
              <w:gridCol w:w="1105"/>
              <w:gridCol w:w="1105"/>
              <w:gridCol w:w="1170"/>
            </w:tblGrid>
            <w:tr w14:paraId="45676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37" w:type="dxa"/>
                  <w:vAlign w:val="center"/>
                </w:tcPr>
                <w:p w14:paraId="29F90E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h"/>
                      <w:b/>
                      <w:bCs/>
                      <w:color w:val="auto"/>
                      <w:kern w:val="0"/>
                      <w:sz w:val="21"/>
                      <w:szCs w:val="24"/>
                      <w:lang w:val="en-US" w:eastAsia="zh-CN" w:bidi="ar"/>
                    </w:rPr>
                    <w:t>序号</w:t>
                  </w:r>
                </w:p>
              </w:tc>
              <w:tc>
                <w:tcPr>
                  <w:tcW w:w="998" w:type="dxa"/>
                  <w:vAlign w:val="center"/>
                </w:tcPr>
                <w:p w14:paraId="13E529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h"/>
                      <w:b/>
                      <w:bCs/>
                      <w:color w:val="auto"/>
                      <w:kern w:val="0"/>
                      <w:sz w:val="21"/>
                      <w:szCs w:val="24"/>
                      <w:lang w:val="en-US" w:eastAsia="zh-CN" w:bidi="ar"/>
                    </w:rPr>
                    <w:t>贮存场所（设施）名称</w:t>
                  </w:r>
                </w:p>
              </w:tc>
              <w:tc>
                <w:tcPr>
                  <w:tcW w:w="1295" w:type="dxa"/>
                  <w:vAlign w:val="center"/>
                </w:tcPr>
                <w:p w14:paraId="57602B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h"/>
                      <w:b/>
                      <w:bCs/>
                      <w:color w:val="auto"/>
                      <w:kern w:val="0"/>
                      <w:sz w:val="21"/>
                      <w:szCs w:val="24"/>
                      <w:lang w:val="en-US" w:eastAsia="zh-CN" w:bidi="ar"/>
                    </w:rPr>
                    <w:t>危险废物名称</w:t>
                  </w:r>
                </w:p>
              </w:tc>
              <w:tc>
                <w:tcPr>
                  <w:tcW w:w="820" w:type="dxa"/>
                  <w:vAlign w:val="center"/>
                </w:tcPr>
                <w:p w14:paraId="4189A8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h"/>
                      <w:b/>
                      <w:bCs/>
                      <w:color w:val="auto"/>
                      <w:kern w:val="0"/>
                      <w:sz w:val="21"/>
                      <w:szCs w:val="24"/>
                      <w:lang w:val="en-US" w:eastAsia="zh-CN" w:bidi="ar"/>
                    </w:rPr>
                    <w:t>危险废物类别</w:t>
                  </w:r>
                </w:p>
              </w:tc>
              <w:tc>
                <w:tcPr>
                  <w:tcW w:w="1263" w:type="dxa"/>
                  <w:vAlign w:val="center"/>
                </w:tcPr>
                <w:p w14:paraId="1F42BC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h"/>
                      <w:b/>
                      <w:bCs/>
                      <w:color w:val="auto"/>
                      <w:kern w:val="0"/>
                      <w:sz w:val="21"/>
                      <w:szCs w:val="24"/>
                      <w:lang w:val="en-US" w:eastAsia="zh-CN" w:bidi="ar"/>
                    </w:rPr>
                    <w:t>危险废物代码</w:t>
                  </w:r>
                </w:p>
              </w:tc>
              <w:tc>
                <w:tcPr>
                  <w:tcW w:w="736" w:type="dxa"/>
                  <w:vAlign w:val="center"/>
                </w:tcPr>
                <w:p w14:paraId="39582C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h"/>
                      <w:b/>
                      <w:bCs/>
                      <w:color w:val="auto"/>
                      <w:kern w:val="0"/>
                      <w:sz w:val="21"/>
                      <w:szCs w:val="24"/>
                      <w:lang w:val="en-US" w:eastAsia="zh-CN" w:bidi="ar"/>
                    </w:rPr>
                    <w:t>位置</w:t>
                  </w:r>
                </w:p>
              </w:tc>
              <w:tc>
                <w:tcPr>
                  <w:tcW w:w="1127" w:type="dxa"/>
                  <w:vAlign w:val="center"/>
                </w:tcPr>
                <w:p w14:paraId="3E1A17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h"/>
                      <w:b/>
                      <w:bCs/>
                      <w:color w:val="auto"/>
                      <w:kern w:val="0"/>
                      <w:sz w:val="21"/>
                      <w:szCs w:val="24"/>
                      <w:lang w:val="en-US" w:eastAsia="zh-CN" w:bidi="ar"/>
                    </w:rPr>
                    <w:t>占地面积</w:t>
                  </w:r>
                </w:p>
              </w:tc>
              <w:tc>
                <w:tcPr>
                  <w:tcW w:w="1105" w:type="dxa"/>
                  <w:vAlign w:val="center"/>
                </w:tcPr>
                <w:p w14:paraId="071AE4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h"/>
                      <w:b/>
                      <w:bCs/>
                      <w:color w:val="auto"/>
                      <w:kern w:val="0"/>
                      <w:sz w:val="21"/>
                      <w:szCs w:val="24"/>
                      <w:lang w:val="en-US" w:eastAsia="zh-CN" w:bidi="ar"/>
                    </w:rPr>
                    <w:t>贮存方式</w:t>
                  </w:r>
                </w:p>
              </w:tc>
              <w:tc>
                <w:tcPr>
                  <w:tcW w:w="1105" w:type="dxa"/>
                  <w:vAlign w:val="center"/>
                </w:tcPr>
                <w:p w14:paraId="14A242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h"/>
                      <w:b/>
                      <w:bCs/>
                      <w:color w:val="auto"/>
                      <w:kern w:val="0"/>
                      <w:sz w:val="21"/>
                      <w:szCs w:val="24"/>
                      <w:lang w:val="en-US" w:eastAsia="zh-CN" w:bidi="ar"/>
                    </w:rPr>
                    <w:t>贮存能力</w:t>
                  </w:r>
                </w:p>
              </w:tc>
              <w:tc>
                <w:tcPr>
                  <w:tcW w:w="1170" w:type="dxa"/>
                  <w:vAlign w:val="center"/>
                </w:tcPr>
                <w:p w14:paraId="3B2014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h"/>
                      <w:b/>
                      <w:bCs/>
                      <w:color w:val="auto"/>
                      <w:kern w:val="0"/>
                      <w:sz w:val="21"/>
                      <w:szCs w:val="24"/>
                      <w:lang w:val="en-US" w:eastAsia="zh-CN" w:bidi="ar"/>
                    </w:rPr>
                    <w:t>贮存周期</w:t>
                  </w:r>
                </w:p>
              </w:tc>
            </w:tr>
            <w:tr w14:paraId="08597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37" w:type="dxa"/>
                  <w:vAlign w:val="center"/>
                </w:tcPr>
                <w:p w14:paraId="1D03DD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1</w:t>
                  </w:r>
                </w:p>
              </w:tc>
              <w:tc>
                <w:tcPr>
                  <w:tcW w:w="998" w:type="dxa"/>
                  <w:vMerge w:val="restart"/>
                  <w:vAlign w:val="center"/>
                </w:tcPr>
                <w:p w14:paraId="12C438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危废暂存间</w:t>
                  </w:r>
                </w:p>
              </w:tc>
              <w:tc>
                <w:tcPr>
                  <w:tcW w:w="1295" w:type="dxa"/>
                  <w:vAlign w:val="center"/>
                </w:tcPr>
                <w:p w14:paraId="2F7291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ascii="Times New Roman" w:hAnsi="Times New Roman" w:eastAsia="宋体" w:cs="Times New Roman"/>
                      <w:b/>
                      <w:color w:val="auto"/>
                      <w:sz w:val="21"/>
                      <w:szCs w:val="24"/>
                      <w:vertAlign w:val="baseline"/>
                      <w:lang w:val="zh-CN" w:eastAsia="zh-CN"/>
                    </w:rPr>
                  </w:pPr>
                  <w:r>
                    <w:rPr>
                      <w:rFonts w:hint="eastAsia" w:cs="Segoe UI"/>
                      <w:i w:val="0"/>
                      <w:iCs w:val="0"/>
                      <w:caps w:val="0"/>
                      <w:color w:val="auto"/>
                      <w:spacing w:val="0"/>
                      <w:sz w:val="21"/>
                      <w:szCs w:val="24"/>
                      <w:shd w:val="clear" w:fill="FFFFFF"/>
                      <w:lang w:eastAsia="zh-CN"/>
                    </w:rPr>
                    <w:t>废处理剂/清洁剂/胶粘剂包装桶</w:t>
                  </w:r>
                </w:p>
              </w:tc>
              <w:tc>
                <w:tcPr>
                  <w:tcW w:w="820" w:type="dxa"/>
                  <w:vAlign w:val="center"/>
                </w:tcPr>
                <w:p w14:paraId="540F90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HW49</w:t>
                  </w:r>
                </w:p>
              </w:tc>
              <w:tc>
                <w:tcPr>
                  <w:tcW w:w="1263" w:type="dxa"/>
                  <w:vAlign w:val="center"/>
                </w:tcPr>
                <w:p w14:paraId="43D7B8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900</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041</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49</w:t>
                  </w:r>
                </w:p>
              </w:tc>
              <w:tc>
                <w:tcPr>
                  <w:tcW w:w="736" w:type="dxa"/>
                  <w:vMerge w:val="restart"/>
                  <w:vAlign w:val="center"/>
                </w:tcPr>
                <w:p w14:paraId="1A87AB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危废暂存间</w:t>
                  </w:r>
                </w:p>
              </w:tc>
              <w:tc>
                <w:tcPr>
                  <w:tcW w:w="1127" w:type="dxa"/>
                  <w:vAlign w:val="center"/>
                </w:tcPr>
                <w:p w14:paraId="60E600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3m²</w:t>
                  </w:r>
                </w:p>
              </w:tc>
              <w:tc>
                <w:tcPr>
                  <w:tcW w:w="1105" w:type="dxa"/>
                  <w:vAlign w:val="center"/>
                </w:tcPr>
                <w:p w14:paraId="3CEB35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托盘堆放</w:t>
                  </w:r>
                </w:p>
              </w:tc>
              <w:tc>
                <w:tcPr>
                  <w:tcW w:w="1105" w:type="dxa"/>
                  <w:vAlign w:val="center"/>
                </w:tcPr>
                <w:p w14:paraId="22685E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0.2t</w:t>
                  </w:r>
                </w:p>
              </w:tc>
              <w:tc>
                <w:tcPr>
                  <w:tcW w:w="1170" w:type="dxa"/>
                  <w:vAlign w:val="center"/>
                </w:tcPr>
                <w:p w14:paraId="251593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3个月</w:t>
                  </w:r>
                </w:p>
              </w:tc>
            </w:tr>
            <w:tr w14:paraId="26096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37" w:type="dxa"/>
                  <w:vAlign w:val="center"/>
                </w:tcPr>
                <w:p w14:paraId="3847A7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2</w:t>
                  </w:r>
                </w:p>
              </w:tc>
              <w:tc>
                <w:tcPr>
                  <w:tcW w:w="998" w:type="dxa"/>
                  <w:vMerge w:val="continue"/>
                  <w:vAlign w:val="center"/>
                </w:tcPr>
                <w:p w14:paraId="262BDE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p>
              </w:tc>
              <w:tc>
                <w:tcPr>
                  <w:tcW w:w="1295" w:type="dxa"/>
                  <w:vAlign w:val="center"/>
                </w:tcPr>
                <w:p w14:paraId="40E250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废机油</w:t>
                  </w:r>
                </w:p>
              </w:tc>
              <w:tc>
                <w:tcPr>
                  <w:tcW w:w="820" w:type="dxa"/>
                  <w:vAlign w:val="center"/>
                </w:tcPr>
                <w:p w14:paraId="6458FA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HW08</w:t>
                  </w:r>
                </w:p>
              </w:tc>
              <w:tc>
                <w:tcPr>
                  <w:tcW w:w="1263" w:type="dxa"/>
                  <w:vAlign w:val="center"/>
                </w:tcPr>
                <w:p w14:paraId="34B491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900</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249</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08</w:t>
                  </w:r>
                </w:p>
              </w:tc>
              <w:tc>
                <w:tcPr>
                  <w:tcW w:w="736" w:type="dxa"/>
                  <w:vMerge w:val="continue"/>
                  <w:vAlign w:val="center"/>
                </w:tcPr>
                <w:p w14:paraId="62FB98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p>
              </w:tc>
              <w:tc>
                <w:tcPr>
                  <w:tcW w:w="1127" w:type="dxa"/>
                  <w:vAlign w:val="center"/>
                </w:tcPr>
                <w:p w14:paraId="44FE32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1m²</w:t>
                  </w:r>
                </w:p>
              </w:tc>
              <w:tc>
                <w:tcPr>
                  <w:tcW w:w="1105" w:type="dxa"/>
                  <w:vAlign w:val="center"/>
                </w:tcPr>
                <w:p w14:paraId="109724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专用桶装密闭</w:t>
                  </w:r>
                </w:p>
              </w:tc>
              <w:tc>
                <w:tcPr>
                  <w:tcW w:w="1105" w:type="dxa"/>
                  <w:vAlign w:val="center"/>
                </w:tcPr>
                <w:p w14:paraId="34BF78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0.05t</w:t>
                  </w:r>
                </w:p>
              </w:tc>
              <w:tc>
                <w:tcPr>
                  <w:tcW w:w="1170" w:type="dxa"/>
                  <w:vAlign w:val="center"/>
                </w:tcPr>
                <w:p w14:paraId="21B20E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1年</w:t>
                  </w:r>
                </w:p>
              </w:tc>
            </w:tr>
            <w:tr w14:paraId="1777A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37" w:type="dxa"/>
                  <w:vAlign w:val="center"/>
                </w:tcPr>
                <w:p w14:paraId="26489A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3</w:t>
                  </w:r>
                </w:p>
              </w:tc>
              <w:tc>
                <w:tcPr>
                  <w:tcW w:w="998" w:type="dxa"/>
                  <w:vMerge w:val="continue"/>
                  <w:vAlign w:val="center"/>
                </w:tcPr>
                <w:p w14:paraId="26A4C8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p>
              </w:tc>
              <w:tc>
                <w:tcPr>
                  <w:tcW w:w="1295" w:type="dxa"/>
                  <w:vAlign w:val="center"/>
                </w:tcPr>
                <w:p w14:paraId="10F0D7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含油废包装桶</w:t>
                  </w:r>
                </w:p>
              </w:tc>
              <w:tc>
                <w:tcPr>
                  <w:tcW w:w="820" w:type="dxa"/>
                  <w:vAlign w:val="center"/>
                </w:tcPr>
                <w:p w14:paraId="374D6A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HW08</w:t>
                  </w:r>
                </w:p>
              </w:tc>
              <w:tc>
                <w:tcPr>
                  <w:tcW w:w="1263" w:type="dxa"/>
                  <w:vAlign w:val="center"/>
                </w:tcPr>
                <w:p w14:paraId="3D364C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900</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249</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08</w:t>
                  </w:r>
                </w:p>
              </w:tc>
              <w:tc>
                <w:tcPr>
                  <w:tcW w:w="736" w:type="dxa"/>
                  <w:vMerge w:val="continue"/>
                  <w:vAlign w:val="center"/>
                </w:tcPr>
                <w:p w14:paraId="481359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p>
              </w:tc>
              <w:tc>
                <w:tcPr>
                  <w:tcW w:w="1127" w:type="dxa"/>
                  <w:vAlign w:val="center"/>
                </w:tcPr>
                <w:p w14:paraId="3E6CC8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1m²</w:t>
                  </w:r>
                </w:p>
              </w:tc>
              <w:tc>
                <w:tcPr>
                  <w:tcW w:w="1105" w:type="dxa"/>
                  <w:vAlign w:val="center"/>
                </w:tcPr>
                <w:p w14:paraId="1E7AE9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托盘堆放</w:t>
                  </w:r>
                </w:p>
              </w:tc>
              <w:tc>
                <w:tcPr>
                  <w:tcW w:w="1105" w:type="dxa"/>
                  <w:vAlign w:val="center"/>
                </w:tcPr>
                <w:p w14:paraId="120F75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0.05t</w:t>
                  </w:r>
                </w:p>
              </w:tc>
              <w:tc>
                <w:tcPr>
                  <w:tcW w:w="1170" w:type="dxa"/>
                  <w:vAlign w:val="center"/>
                </w:tcPr>
                <w:p w14:paraId="391C12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1年</w:t>
                  </w:r>
                </w:p>
              </w:tc>
            </w:tr>
            <w:tr w14:paraId="70E54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37" w:type="dxa"/>
                  <w:vAlign w:val="center"/>
                </w:tcPr>
                <w:p w14:paraId="3612BE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4</w:t>
                  </w:r>
                </w:p>
              </w:tc>
              <w:tc>
                <w:tcPr>
                  <w:tcW w:w="998" w:type="dxa"/>
                  <w:vMerge w:val="continue"/>
                  <w:vAlign w:val="center"/>
                </w:tcPr>
                <w:p w14:paraId="2BE66D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p>
              </w:tc>
              <w:tc>
                <w:tcPr>
                  <w:tcW w:w="1295" w:type="dxa"/>
                  <w:vAlign w:val="center"/>
                </w:tcPr>
                <w:p w14:paraId="3E6920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含油废抹布、手套</w:t>
                  </w:r>
                </w:p>
              </w:tc>
              <w:tc>
                <w:tcPr>
                  <w:tcW w:w="820" w:type="dxa"/>
                  <w:vAlign w:val="center"/>
                </w:tcPr>
                <w:p w14:paraId="242B0F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HW49</w:t>
                  </w:r>
                </w:p>
              </w:tc>
              <w:tc>
                <w:tcPr>
                  <w:tcW w:w="1263" w:type="dxa"/>
                  <w:vAlign w:val="center"/>
                </w:tcPr>
                <w:p w14:paraId="544EB5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900</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041</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49</w:t>
                  </w:r>
                </w:p>
              </w:tc>
              <w:tc>
                <w:tcPr>
                  <w:tcW w:w="736" w:type="dxa"/>
                  <w:vMerge w:val="continue"/>
                  <w:vAlign w:val="center"/>
                </w:tcPr>
                <w:p w14:paraId="2F9EB5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p>
              </w:tc>
              <w:tc>
                <w:tcPr>
                  <w:tcW w:w="1127" w:type="dxa"/>
                  <w:vAlign w:val="center"/>
                </w:tcPr>
                <w:p w14:paraId="6D63E5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1m²</w:t>
                  </w:r>
                </w:p>
              </w:tc>
              <w:tc>
                <w:tcPr>
                  <w:tcW w:w="1105" w:type="dxa"/>
                  <w:vAlign w:val="center"/>
                </w:tcPr>
                <w:p w14:paraId="16196F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袋装密封</w:t>
                  </w:r>
                </w:p>
              </w:tc>
              <w:tc>
                <w:tcPr>
                  <w:tcW w:w="1105" w:type="dxa"/>
                  <w:vAlign w:val="center"/>
                </w:tcPr>
                <w:p w14:paraId="5F0DB2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0.05t</w:t>
                  </w:r>
                </w:p>
              </w:tc>
              <w:tc>
                <w:tcPr>
                  <w:tcW w:w="1170" w:type="dxa"/>
                  <w:vAlign w:val="center"/>
                </w:tcPr>
                <w:p w14:paraId="2EF8B6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半年</w:t>
                  </w:r>
                </w:p>
              </w:tc>
            </w:tr>
            <w:tr w14:paraId="6B8D9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37" w:type="dxa"/>
                  <w:vAlign w:val="center"/>
                </w:tcPr>
                <w:p w14:paraId="3EFBCF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5</w:t>
                  </w:r>
                </w:p>
              </w:tc>
              <w:tc>
                <w:tcPr>
                  <w:tcW w:w="998" w:type="dxa"/>
                  <w:vMerge w:val="continue"/>
                  <w:vAlign w:val="center"/>
                </w:tcPr>
                <w:p w14:paraId="5791F3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p>
              </w:tc>
              <w:tc>
                <w:tcPr>
                  <w:tcW w:w="1295" w:type="dxa"/>
                  <w:vAlign w:val="center"/>
                </w:tcPr>
                <w:p w14:paraId="5B0350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废活性炭</w:t>
                  </w:r>
                </w:p>
              </w:tc>
              <w:tc>
                <w:tcPr>
                  <w:tcW w:w="820" w:type="dxa"/>
                  <w:vAlign w:val="center"/>
                </w:tcPr>
                <w:p w14:paraId="3DDC70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HW49</w:t>
                  </w:r>
                </w:p>
              </w:tc>
              <w:tc>
                <w:tcPr>
                  <w:tcW w:w="1263" w:type="dxa"/>
                  <w:vAlign w:val="center"/>
                </w:tcPr>
                <w:p w14:paraId="2CC48A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900</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039</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49</w:t>
                  </w:r>
                </w:p>
              </w:tc>
              <w:tc>
                <w:tcPr>
                  <w:tcW w:w="736" w:type="dxa"/>
                  <w:vMerge w:val="continue"/>
                  <w:vAlign w:val="center"/>
                </w:tcPr>
                <w:p w14:paraId="50FEFD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p>
              </w:tc>
              <w:tc>
                <w:tcPr>
                  <w:tcW w:w="1127" w:type="dxa"/>
                  <w:vAlign w:val="center"/>
                </w:tcPr>
                <w:p w14:paraId="51C858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20m²</w:t>
                  </w:r>
                </w:p>
              </w:tc>
              <w:tc>
                <w:tcPr>
                  <w:tcW w:w="1105" w:type="dxa"/>
                  <w:vAlign w:val="center"/>
                </w:tcPr>
                <w:p w14:paraId="4DE804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袋装密封</w:t>
                  </w:r>
                </w:p>
              </w:tc>
              <w:tc>
                <w:tcPr>
                  <w:tcW w:w="1105" w:type="dxa"/>
                  <w:vAlign w:val="center"/>
                </w:tcPr>
                <w:p w14:paraId="5C3B68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50t</w:t>
                  </w:r>
                </w:p>
              </w:tc>
              <w:tc>
                <w:tcPr>
                  <w:tcW w:w="1170" w:type="dxa"/>
                  <w:vAlign w:val="center"/>
                </w:tcPr>
                <w:p w14:paraId="3650BC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3个月</w:t>
                  </w:r>
                </w:p>
              </w:tc>
            </w:tr>
            <w:tr w14:paraId="09BCC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37" w:type="dxa"/>
                  <w:vAlign w:val="center"/>
                </w:tcPr>
                <w:p w14:paraId="16DFEE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6</w:t>
                  </w:r>
                </w:p>
              </w:tc>
              <w:tc>
                <w:tcPr>
                  <w:tcW w:w="998" w:type="dxa"/>
                  <w:vMerge w:val="continue"/>
                  <w:vAlign w:val="center"/>
                </w:tcPr>
                <w:p w14:paraId="2D0663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p>
              </w:tc>
              <w:tc>
                <w:tcPr>
                  <w:tcW w:w="1295" w:type="dxa"/>
                  <w:vAlign w:val="center"/>
                </w:tcPr>
                <w:p w14:paraId="157C23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废油墨桶</w:t>
                  </w:r>
                </w:p>
              </w:tc>
              <w:tc>
                <w:tcPr>
                  <w:tcW w:w="820" w:type="dxa"/>
                  <w:vAlign w:val="center"/>
                </w:tcPr>
                <w:p w14:paraId="6C26EF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HW49</w:t>
                  </w:r>
                </w:p>
              </w:tc>
              <w:tc>
                <w:tcPr>
                  <w:tcW w:w="1263" w:type="dxa"/>
                  <w:vAlign w:val="center"/>
                </w:tcPr>
                <w:p w14:paraId="18FAE9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900</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041</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49</w:t>
                  </w:r>
                </w:p>
              </w:tc>
              <w:tc>
                <w:tcPr>
                  <w:tcW w:w="736" w:type="dxa"/>
                  <w:vMerge w:val="continue"/>
                  <w:vAlign w:val="center"/>
                </w:tcPr>
                <w:p w14:paraId="37D508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p>
              </w:tc>
              <w:tc>
                <w:tcPr>
                  <w:tcW w:w="1127" w:type="dxa"/>
                  <w:vAlign w:val="center"/>
                </w:tcPr>
                <w:p w14:paraId="4D8D1A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1m²</w:t>
                  </w:r>
                </w:p>
              </w:tc>
              <w:tc>
                <w:tcPr>
                  <w:tcW w:w="1105" w:type="dxa"/>
                  <w:vAlign w:val="center"/>
                </w:tcPr>
                <w:p w14:paraId="3EBFC8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托盘堆放</w:t>
                  </w:r>
                </w:p>
              </w:tc>
              <w:tc>
                <w:tcPr>
                  <w:tcW w:w="1105" w:type="dxa"/>
                  <w:vAlign w:val="center"/>
                </w:tcPr>
                <w:p w14:paraId="22B0A2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0.05t</w:t>
                  </w:r>
                </w:p>
              </w:tc>
              <w:tc>
                <w:tcPr>
                  <w:tcW w:w="1170" w:type="dxa"/>
                  <w:vAlign w:val="center"/>
                </w:tcPr>
                <w:p w14:paraId="4DBE33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3个月</w:t>
                  </w:r>
                </w:p>
              </w:tc>
            </w:tr>
            <w:tr w14:paraId="4F93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37" w:type="dxa"/>
                  <w:vAlign w:val="center"/>
                </w:tcPr>
                <w:p w14:paraId="54C1F4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7</w:t>
                  </w:r>
                </w:p>
              </w:tc>
              <w:tc>
                <w:tcPr>
                  <w:tcW w:w="998" w:type="dxa"/>
                  <w:vMerge w:val="continue"/>
                  <w:vAlign w:val="center"/>
                </w:tcPr>
                <w:p w14:paraId="4E9ED5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p>
              </w:tc>
              <w:tc>
                <w:tcPr>
                  <w:tcW w:w="1295" w:type="dxa"/>
                  <w:vAlign w:val="center"/>
                </w:tcPr>
                <w:p w14:paraId="5F3EF3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废网版</w:t>
                  </w:r>
                </w:p>
              </w:tc>
              <w:tc>
                <w:tcPr>
                  <w:tcW w:w="820" w:type="dxa"/>
                  <w:vAlign w:val="center"/>
                </w:tcPr>
                <w:p w14:paraId="4CEA83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HW16</w:t>
                  </w:r>
                </w:p>
              </w:tc>
              <w:tc>
                <w:tcPr>
                  <w:tcW w:w="1263" w:type="dxa"/>
                  <w:vAlign w:val="center"/>
                </w:tcPr>
                <w:p w14:paraId="63BC81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231</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005</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16</w:t>
                  </w:r>
                </w:p>
              </w:tc>
              <w:tc>
                <w:tcPr>
                  <w:tcW w:w="736" w:type="dxa"/>
                  <w:vMerge w:val="continue"/>
                  <w:vAlign w:val="center"/>
                </w:tcPr>
                <w:p w14:paraId="10F490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p>
              </w:tc>
              <w:tc>
                <w:tcPr>
                  <w:tcW w:w="1127" w:type="dxa"/>
                  <w:vAlign w:val="center"/>
                </w:tcPr>
                <w:p w14:paraId="16B4C7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1m²</w:t>
                  </w:r>
                </w:p>
              </w:tc>
              <w:tc>
                <w:tcPr>
                  <w:tcW w:w="1105" w:type="dxa"/>
                  <w:vAlign w:val="center"/>
                </w:tcPr>
                <w:p w14:paraId="139EBD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袋装密封</w:t>
                  </w:r>
                </w:p>
              </w:tc>
              <w:tc>
                <w:tcPr>
                  <w:tcW w:w="1105" w:type="dxa"/>
                  <w:vAlign w:val="center"/>
                </w:tcPr>
                <w:p w14:paraId="334A3A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0.05t</w:t>
                  </w:r>
                </w:p>
              </w:tc>
              <w:tc>
                <w:tcPr>
                  <w:tcW w:w="1170" w:type="dxa"/>
                  <w:vAlign w:val="center"/>
                </w:tcPr>
                <w:p w14:paraId="091969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1年</w:t>
                  </w:r>
                </w:p>
              </w:tc>
            </w:tr>
            <w:tr w14:paraId="12166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37" w:type="dxa"/>
                  <w:vAlign w:val="center"/>
                </w:tcPr>
                <w:p w14:paraId="254B7E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eastAsia" w:cs="var(--dsw-font-markdown-table)"/>
                      <w:color w:val="auto"/>
                      <w:kern w:val="0"/>
                      <w:sz w:val="21"/>
                      <w:szCs w:val="24"/>
                      <w:lang w:val="en-US" w:eastAsia="zh-CN" w:bidi="ar"/>
                    </w:rPr>
                    <w:t>8</w:t>
                  </w:r>
                </w:p>
              </w:tc>
              <w:tc>
                <w:tcPr>
                  <w:tcW w:w="998" w:type="dxa"/>
                  <w:vMerge w:val="continue"/>
                  <w:vAlign w:val="center"/>
                </w:tcPr>
                <w:p w14:paraId="483DDC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p>
              </w:tc>
              <w:tc>
                <w:tcPr>
                  <w:tcW w:w="1295" w:type="dxa"/>
                  <w:vAlign w:val="center"/>
                </w:tcPr>
                <w:p w14:paraId="377487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废感光胶包装物</w:t>
                  </w:r>
                </w:p>
              </w:tc>
              <w:tc>
                <w:tcPr>
                  <w:tcW w:w="820" w:type="dxa"/>
                  <w:vAlign w:val="center"/>
                </w:tcPr>
                <w:p w14:paraId="101D02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HW49</w:t>
                  </w:r>
                </w:p>
              </w:tc>
              <w:tc>
                <w:tcPr>
                  <w:tcW w:w="1263" w:type="dxa"/>
                  <w:vAlign w:val="center"/>
                </w:tcPr>
                <w:p w14:paraId="0ECA9C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b w:val="0"/>
                      <w:bCs w:val="0"/>
                      <w:color w:val="auto"/>
                      <w:kern w:val="0"/>
                      <w:sz w:val="21"/>
                      <w:szCs w:val="24"/>
                      <w:lang w:val="en-US" w:eastAsia="zh-CN" w:bidi="ar"/>
                    </w:rPr>
                    <w:t>900</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041</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49</w:t>
                  </w:r>
                </w:p>
              </w:tc>
              <w:tc>
                <w:tcPr>
                  <w:tcW w:w="736" w:type="dxa"/>
                  <w:vMerge w:val="continue"/>
                  <w:vAlign w:val="center"/>
                </w:tcPr>
                <w:p w14:paraId="62CD88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p>
              </w:tc>
              <w:tc>
                <w:tcPr>
                  <w:tcW w:w="1127" w:type="dxa"/>
                  <w:vAlign w:val="center"/>
                </w:tcPr>
                <w:p w14:paraId="73F491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1m²</w:t>
                  </w:r>
                </w:p>
              </w:tc>
              <w:tc>
                <w:tcPr>
                  <w:tcW w:w="1105" w:type="dxa"/>
                  <w:vAlign w:val="center"/>
                </w:tcPr>
                <w:p w14:paraId="6E00A6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托盘堆放</w:t>
                  </w:r>
                </w:p>
              </w:tc>
              <w:tc>
                <w:tcPr>
                  <w:tcW w:w="1105" w:type="dxa"/>
                  <w:vAlign w:val="center"/>
                </w:tcPr>
                <w:p w14:paraId="28C9D5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0.02t</w:t>
                  </w:r>
                </w:p>
              </w:tc>
              <w:tc>
                <w:tcPr>
                  <w:tcW w:w="1170" w:type="dxa"/>
                  <w:vAlign w:val="center"/>
                </w:tcPr>
                <w:p w14:paraId="584C77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color w:val="auto"/>
                      <w:sz w:val="21"/>
                      <w:szCs w:val="24"/>
                      <w:vertAlign w:val="baseline"/>
                      <w:lang w:val="zh-CN" w:eastAsia="zh-CN"/>
                    </w:rPr>
                  </w:pPr>
                  <w:r>
                    <w:rPr>
                      <w:rFonts w:hint="default" w:ascii="Times New Roman" w:hAnsi="Times New Roman" w:eastAsia="宋体" w:cs="var(--dsw-font-markdown-table)"/>
                      <w:color w:val="auto"/>
                      <w:kern w:val="0"/>
                      <w:sz w:val="21"/>
                      <w:szCs w:val="24"/>
                      <w:lang w:val="en-US" w:eastAsia="zh-CN" w:bidi="ar"/>
                    </w:rPr>
                    <w:t>1年</w:t>
                  </w:r>
                </w:p>
              </w:tc>
            </w:tr>
            <w:tr w14:paraId="55AAC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337" w:type="dxa"/>
                  <w:vAlign w:val="center"/>
                </w:tcPr>
                <w:p w14:paraId="6670F7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cs="var(--dsw-font-markdown-table)"/>
                      <w:color w:val="auto"/>
                      <w:kern w:val="0"/>
                      <w:sz w:val="21"/>
                      <w:szCs w:val="24"/>
                      <w:lang w:val="en-US" w:eastAsia="zh-CN" w:bidi="ar"/>
                    </w:rPr>
                  </w:pPr>
                  <w:r>
                    <w:rPr>
                      <w:rFonts w:hint="eastAsia" w:cs="var(--dsw-font-markdown-table)"/>
                      <w:color w:val="auto"/>
                      <w:kern w:val="0"/>
                      <w:sz w:val="21"/>
                      <w:szCs w:val="24"/>
                      <w:lang w:val="en-US" w:eastAsia="zh-CN" w:bidi="ar"/>
                    </w:rPr>
                    <w:t>9</w:t>
                  </w:r>
                </w:p>
              </w:tc>
              <w:tc>
                <w:tcPr>
                  <w:tcW w:w="998" w:type="dxa"/>
                  <w:vMerge w:val="continue"/>
                  <w:vAlign w:val="center"/>
                </w:tcPr>
                <w:p w14:paraId="239E59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1295" w:type="dxa"/>
                  <w:vAlign w:val="center"/>
                </w:tcPr>
                <w:p w14:paraId="2128E4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废菲林片</w:t>
                  </w:r>
                </w:p>
              </w:tc>
              <w:tc>
                <w:tcPr>
                  <w:tcW w:w="820" w:type="dxa"/>
                  <w:vAlign w:val="center"/>
                </w:tcPr>
                <w:p w14:paraId="686F3F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HW16</w:t>
                  </w:r>
                </w:p>
              </w:tc>
              <w:tc>
                <w:tcPr>
                  <w:tcW w:w="1263" w:type="dxa"/>
                  <w:vAlign w:val="center"/>
                </w:tcPr>
                <w:p w14:paraId="5338D9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231</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002</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16</w:t>
                  </w:r>
                </w:p>
              </w:tc>
              <w:tc>
                <w:tcPr>
                  <w:tcW w:w="736" w:type="dxa"/>
                  <w:vMerge w:val="continue"/>
                  <w:vAlign w:val="center"/>
                </w:tcPr>
                <w:p w14:paraId="0AC7DF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p>
              </w:tc>
              <w:tc>
                <w:tcPr>
                  <w:tcW w:w="1127" w:type="dxa"/>
                  <w:vAlign w:val="center"/>
                </w:tcPr>
                <w:p w14:paraId="4160D9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1m²</w:t>
                  </w:r>
                </w:p>
              </w:tc>
              <w:tc>
                <w:tcPr>
                  <w:tcW w:w="1105" w:type="dxa"/>
                  <w:vAlign w:val="center"/>
                </w:tcPr>
                <w:p w14:paraId="56CD4B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袋装密封</w:t>
                  </w:r>
                </w:p>
              </w:tc>
              <w:tc>
                <w:tcPr>
                  <w:tcW w:w="1105" w:type="dxa"/>
                  <w:vAlign w:val="center"/>
                </w:tcPr>
                <w:p w14:paraId="07A9B9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0.1t</w:t>
                  </w:r>
                </w:p>
              </w:tc>
              <w:tc>
                <w:tcPr>
                  <w:tcW w:w="1170" w:type="dxa"/>
                  <w:vAlign w:val="center"/>
                </w:tcPr>
                <w:p w14:paraId="783E07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半年</w:t>
                  </w:r>
                </w:p>
              </w:tc>
            </w:tr>
          </w:tbl>
          <w:p w14:paraId="261A9F9F">
            <w:pPr>
              <w:pStyle w:val="4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经上述措施治理后，项目产生的固体废物对周边环境的影响不大。</w:t>
            </w:r>
          </w:p>
          <w:p w14:paraId="209287C3">
            <w:pPr>
              <w:pStyle w:val="3"/>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var(--dsw-font-markdown-h2)"/>
                <w:color w:val="auto"/>
                <w:sz w:val="21"/>
              </w:rPr>
            </w:pPr>
            <w:bookmarkStart w:id="68" w:name="_Toc30405"/>
            <w:bookmarkStart w:id="69" w:name="_Toc31874"/>
            <w:r>
              <w:rPr>
                <w:rFonts w:hint="default" w:ascii="Times New Roman" w:hAnsi="Times New Roman" w:eastAsia="宋体" w:cs="var(--dsw-font-markdown-h2)"/>
                <w:i w:val="0"/>
                <w:iCs w:val="0"/>
                <w:caps w:val="0"/>
                <w:color w:val="auto"/>
                <w:spacing w:val="0"/>
                <w:sz w:val="21"/>
                <w:shd w:val="clear" w:fill="FFFFFF"/>
              </w:rPr>
              <w:t>五、土壤和地下水环境影响分析</w:t>
            </w:r>
            <w:bookmarkEnd w:id="68"/>
            <w:bookmarkEnd w:id="69"/>
          </w:p>
          <w:p w14:paraId="2F1A0C9C">
            <w:pPr>
              <w:pStyle w:val="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var(--dsw-font-markdown-h3)"/>
                <w:color w:val="auto"/>
                <w:sz w:val="21"/>
              </w:rPr>
            </w:pPr>
            <w:bookmarkStart w:id="70" w:name="_Toc7950"/>
            <w:bookmarkStart w:id="71" w:name="_Toc1435"/>
            <w:r>
              <w:rPr>
                <w:rFonts w:hint="default" w:ascii="Times New Roman" w:hAnsi="Times New Roman" w:eastAsia="宋体" w:cs="var(--dsw-font-markdown-h3)"/>
                <w:i w:val="0"/>
                <w:iCs w:val="0"/>
                <w:caps w:val="0"/>
                <w:color w:val="auto"/>
                <w:spacing w:val="0"/>
                <w:sz w:val="21"/>
                <w:shd w:val="clear" w:fill="FFFFFF"/>
              </w:rPr>
              <w:t>1、土壤环境影响分析</w:t>
            </w:r>
            <w:bookmarkEnd w:id="70"/>
            <w:bookmarkEnd w:id="71"/>
          </w:p>
          <w:p w14:paraId="38B57A53">
            <w:pPr>
              <w:pStyle w:val="5"/>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var(--dsw-font-markdown-h4)"/>
                <w:color w:val="auto"/>
                <w:sz w:val="21"/>
              </w:rPr>
            </w:pPr>
            <w:r>
              <w:rPr>
                <w:rFonts w:hint="default" w:ascii="Times New Roman" w:hAnsi="Times New Roman" w:eastAsia="宋体" w:cs="var(--dsw-font-markdown-h4)"/>
                <w:i w:val="0"/>
                <w:iCs w:val="0"/>
                <w:caps w:val="0"/>
                <w:color w:val="auto"/>
                <w:spacing w:val="0"/>
                <w:sz w:val="21"/>
                <w:shd w:val="clear" w:fill="FFFFFF"/>
              </w:rPr>
              <w:t>（1）土壤污染源识别</w:t>
            </w:r>
          </w:p>
          <w:p w14:paraId="4F40EFF2">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本项目对土壤环境可能造成影响的污染源主要为：</w:t>
            </w:r>
          </w:p>
          <w:p w14:paraId="7CD2213C">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①液态化学品在储存和使用过程中发生泄漏，通过地表漫流或垂直入渗进入土壤环境；</w:t>
            </w:r>
          </w:p>
          <w:p w14:paraId="1EF645C3">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②危险废物（废机油、废活性炭、废胶桶等）在暂存过程中发生泄漏，渗入土壤环境；</w:t>
            </w:r>
          </w:p>
          <w:p w14:paraId="3DE6D8AE">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③生产废水（冲版废水等）在暂存过程中发生泄漏，通过地表漫流或垂直入渗进入土壤环境；</w:t>
            </w:r>
          </w:p>
          <w:p w14:paraId="744DEAA0">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④废气污染物（非甲烷总烃、颗粒物等）通过大气沉降进入土壤环境。</w:t>
            </w:r>
          </w:p>
          <w:p w14:paraId="51CB976A">
            <w:pPr>
              <w:pStyle w:val="5"/>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var(--dsw-font-markdown-h4)"/>
                <w:color w:val="auto"/>
                <w:sz w:val="21"/>
              </w:rPr>
            </w:pPr>
            <w:r>
              <w:rPr>
                <w:rFonts w:hint="default" w:ascii="Times New Roman" w:hAnsi="Times New Roman" w:eastAsia="宋体" w:cs="var(--dsw-font-markdown-h4)"/>
                <w:i w:val="0"/>
                <w:iCs w:val="0"/>
                <w:caps w:val="0"/>
                <w:color w:val="auto"/>
                <w:spacing w:val="0"/>
                <w:sz w:val="21"/>
                <w:shd w:val="clear" w:fill="FFFFFF"/>
              </w:rPr>
              <w:t>（2）影响途径分析</w:t>
            </w:r>
          </w:p>
          <w:p w14:paraId="00D5A202">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本项目对土壤环境的影响途径主要为垂直入渗、地面漫流和大气沉降。</w:t>
            </w:r>
          </w:p>
          <w:p w14:paraId="60A83D64">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b/>
                <w:bCs/>
                <w:i w:val="0"/>
                <w:iCs w:val="0"/>
                <w:caps w:val="0"/>
                <w:color w:val="auto"/>
                <w:spacing w:val="0"/>
                <w:sz w:val="21"/>
                <w:szCs w:val="21"/>
                <w:shd w:val="clear" w:fill="FFFFFF"/>
              </w:rPr>
              <w:t>①垂直入渗</w:t>
            </w:r>
          </w:p>
          <w:p w14:paraId="4D1061DD">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项目液态化学品、危险废物（废机油、废活性炭等）和生产废水若发生泄漏，且防渗措施不到位，污染物可能通过垂直入渗进入土壤层，对土壤环境造成污染。项目厂区地面已全部进行硬底化处理，危险废物暂存间、化学品仓等重点区域按要求进行防腐防渗处理，设置围堰或缓坡。在落实分区防渗和日常管理的基础上，垂直入渗对土壤环境的影响较小。</w:t>
            </w:r>
          </w:p>
          <w:p w14:paraId="41CA635E">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b/>
                <w:bCs/>
                <w:i w:val="0"/>
                <w:iCs w:val="0"/>
                <w:caps w:val="0"/>
                <w:color w:val="auto"/>
                <w:spacing w:val="0"/>
                <w:sz w:val="21"/>
                <w:szCs w:val="21"/>
                <w:shd w:val="clear" w:fill="FFFFFF"/>
              </w:rPr>
              <w:t>②地面漫流</w:t>
            </w:r>
          </w:p>
          <w:p w14:paraId="76B14D6F">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项目液态化学品、危险废物和生产废水若发生泄漏，且未及时采取截留措施，污染物可能通过地面漫流扩散至厂区其他区域，对土壤环境造成污染。项目化学品仓设置围堰，危险废物暂存间设置门槛/围堰，生产废水暂存区设置围堰，厂区门口设置缓坡，事故状态下可将泄漏物截留在厂区内，防止漫流至外环境。因此，地面漫流对土壤环境的影响较小。</w:t>
            </w:r>
          </w:p>
          <w:p w14:paraId="0E29117C">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b/>
                <w:bCs/>
                <w:i w:val="0"/>
                <w:iCs w:val="0"/>
                <w:caps w:val="0"/>
                <w:color w:val="auto"/>
                <w:spacing w:val="0"/>
                <w:sz w:val="21"/>
                <w:szCs w:val="21"/>
                <w:shd w:val="clear" w:fill="FFFFFF"/>
              </w:rPr>
              <w:t>③大气沉降</w:t>
            </w:r>
          </w:p>
          <w:p w14:paraId="32FC7B2F">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项目运营期排放的废气污染物主要为非甲烷总烃、总VOCs、颗粒物、臭气浓度等，不涉及重金属、持久性有机污染物等有毒有害物质。经收集处理后，废气污染物均能达标排放，大气沉降对土壤环境的影响较小。</w:t>
            </w:r>
          </w:p>
          <w:p w14:paraId="759AD636">
            <w:pPr>
              <w:pStyle w:val="5"/>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var(--dsw-font-markdown-h4)"/>
                <w:color w:val="auto"/>
                <w:sz w:val="21"/>
              </w:rPr>
            </w:pPr>
            <w:r>
              <w:rPr>
                <w:rFonts w:hint="default" w:ascii="Times New Roman" w:hAnsi="Times New Roman" w:eastAsia="宋体" w:cs="var(--dsw-font-markdown-h4)"/>
                <w:i w:val="0"/>
                <w:iCs w:val="0"/>
                <w:caps w:val="0"/>
                <w:color w:val="auto"/>
                <w:spacing w:val="0"/>
                <w:sz w:val="21"/>
                <w:shd w:val="clear" w:fill="FFFFFF"/>
              </w:rPr>
              <w:t>（3）土壤污染防治措施</w:t>
            </w:r>
          </w:p>
          <w:p w14:paraId="62D600B6">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为有效防治土壤污染，建设单位拟采取以下措施：</w:t>
            </w:r>
          </w:p>
          <w:p w14:paraId="3ACCCC7F">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①</w:t>
            </w:r>
            <w:r>
              <w:rPr>
                <w:rFonts w:hint="default" w:ascii="Times New Roman" w:hAnsi="Times New Roman" w:eastAsia="宋体" w:cs="var(--dsw-font-markdown-base)"/>
                <w:b/>
                <w:bCs/>
                <w:i w:val="0"/>
                <w:iCs w:val="0"/>
                <w:caps w:val="0"/>
                <w:color w:val="auto"/>
                <w:spacing w:val="0"/>
                <w:sz w:val="21"/>
                <w:szCs w:val="21"/>
                <w:shd w:val="clear" w:fill="FFFFFF"/>
              </w:rPr>
              <w:t>源头控制</w:t>
            </w:r>
            <w:r>
              <w:rPr>
                <w:rFonts w:hint="default" w:ascii="Times New Roman" w:hAnsi="Times New Roman" w:eastAsia="宋体" w:cs="var(--dsw-font-markdown-base)"/>
                <w:i w:val="0"/>
                <w:iCs w:val="0"/>
                <w:caps w:val="0"/>
                <w:color w:val="auto"/>
                <w:spacing w:val="0"/>
                <w:sz w:val="21"/>
                <w:szCs w:val="21"/>
                <w:shd w:val="clear" w:fill="FFFFFF"/>
              </w:rPr>
              <w:t>：加强液态化学品、危险废物和生产废水的管理，减少跑、冒、滴、漏现象；选用优质设备和管道，定期检查维护，防止泄漏事故发生。</w:t>
            </w:r>
          </w:p>
          <w:p w14:paraId="42444FE5">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var(--dsw-font-markdown-base)"/>
                <w:i w:val="0"/>
                <w:iCs w:val="0"/>
                <w:caps w:val="0"/>
                <w:color w:val="auto"/>
                <w:spacing w:val="0"/>
                <w:sz w:val="21"/>
                <w:szCs w:val="21"/>
                <w:shd w:val="clear" w:fill="FFFFFF"/>
              </w:rPr>
            </w:pPr>
            <w:r>
              <w:rPr>
                <w:rFonts w:hint="default" w:ascii="Times New Roman" w:hAnsi="Times New Roman" w:eastAsia="宋体" w:cs="var(--dsw-font-markdown-base)"/>
                <w:i w:val="0"/>
                <w:iCs w:val="0"/>
                <w:caps w:val="0"/>
                <w:color w:val="auto"/>
                <w:spacing w:val="0"/>
                <w:sz w:val="21"/>
                <w:szCs w:val="21"/>
                <w:shd w:val="clear" w:fill="FFFFFF"/>
              </w:rPr>
              <w:t>②</w:t>
            </w:r>
            <w:r>
              <w:rPr>
                <w:rFonts w:hint="default" w:ascii="Times New Roman" w:hAnsi="Times New Roman" w:eastAsia="宋体" w:cs="var(--dsw-font-markdown-base)"/>
                <w:b/>
                <w:bCs/>
                <w:i w:val="0"/>
                <w:iCs w:val="0"/>
                <w:caps w:val="0"/>
                <w:color w:val="auto"/>
                <w:spacing w:val="0"/>
                <w:sz w:val="21"/>
                <w:szCs w:val="21"/>
                <w:shd w:val="clear" w:fill="FFFFFF"/>
              </w:rPr>
              <w:t>分区防控</w:t>
            </w:r>
            <w:r>
              <w:rPr>
                <w:rFonts w:hint="default" w:ascii="Times New Roman" w:hAnsi="Times New Roman" w:eastAsia="宋体" w:cs="var(--dsw-font-markdown-base)"/>
                <w:i w:val="0"/>
                <w:iCs w:val="0"/>
                <w:caps w:val="0"/>
                <w:color w:val="auto"/>
                <w:spacing w:val="0"/>
                <w:sz w:val="21"/>
                <w:szCs w:val="21"/>
                <w:shd w:val="clear" w:fill="FFFFFF"/>
              </w:rPr>
              <w:t>：根据厂区各区域可能对土壤环境造成污染的风险程度，划分为重点防渗区、一般防渗区和简单防渗区，分别采取不同的防渗措施。</w:t>
            </w:r>
          </w:p>
          <w:tbl>
            <w:tblPr>
              <w:tblStyle w:val="49"/>
              <w:tblW w:w="99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4012"/>
              <w:gridCol w:w="4464"/>
            </w:tblGrid>
            <w:tr w14:paraId="500A8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0" w:type="dxa"/>
                  <w:vAlign w:val="center"/>
                </w:tcPr>
                <w:p w14:paraId="596FE8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h"/>
                      <w:b/>
                      <w:bCs/>
                      <w:color w:val="auto"/>
                      <w:kern w:val="0"/>
                      <w:sz w:val="21"/>
                      <w:szCs w:val="24"/>
                      <w:lang w:val="en-US" w:eastAsia="zh-CN" w:bidi="ar"/>
                    </w:rPr>
                    <w:t>防渗分区</w:t>
                  </w:r>
                </w:p>
              </w:tc>
              <w:tc>
                <w:tcPr>
                  <w:tcW w:w="4012" w:type="dxa"/>
                  <w:vAlign w:val="center"/>
                </w:tcPr>
                <w:p w14:paraId="2F8640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h"/>
                      <w:b/>
                      <w:bCs/>
                      <w:color w:val="auto"/>
                      <w:kern w:val="0"/>
                      <w:sz w:val="21"/>
                      <w:szCs w:val="24"/>
                      <w:lang w:val="en-US" w:eastAsia="zh-CN" w:bidi="ar"/>
                    </w:rPr>
                    <w:t>区域</w:t>
                  </w:r>
                </w:p>
              </w:tc>
              <w:tc>
                <w:tcPr>
                  <w:tcW w:w="4464" w:type="dxa"/>
                  <w:vAlign w:val="center"/>
                </w:tcPr>
                <w:p w14:paraId="33EB1E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h"/>
                      <w:b/>
                      <w:bCs/>
                      <w:color w:val="auto"/>
                      <w:kern w:val="0"/>
                      <w:sz w:val="21"/>
                      <w:szCs w:val="24"/>
                      <w:lang w:val="en-US" w:eastAsia="zh-CN" w:bidi="ar"/>
                    </w:rPr>
                    <w:t>防渗要求</w:t>
                  </w:r>
                </w:p>
              </w:tc>
            </w:tr>
            <w:tr w14:paraId="0A2D9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0" w:type="dxa"/>
                  <w:vAlign w:val="center"/>
                </w:tcPr>
                <w:p w14:paraId="356591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
                      <w:color w:val="auto"/>
                      <w:kern w:val="0"/>
                      <w:sz w:val="21"/>
                      <w:szCs w:val="24"/>
                      <w:lang w:val="en-US" w:eastAsia="zh-CN" w:bidi="ar"/>
                    </w:rPr>
                    <w:t>重点防渗区</w:t>
                  </w:r>
                </w:p>
              </w:tc>
              <w:tc>
                <w:tcPr>
                  <w:tcW w:w="4012" w:type="dxa"/>
                  <w:vAlign w:val="center"/>
                </w:tcPr>
                <w:p w14:paraId="669E7C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
                      <w:color w:val="auto"/>
                      <w:kern w:val="0"/>
                      <w:sz w:val="21"/>
                      <w:szCs w:val="24"/>
                      <w:lang w:val="en-US" w:eastAsia="zh-CN" w:bidi="ar"/>
                    </w:rPr>
                    <w:t>危险废物暂存间、化学品仓、废水暂存区</w:t>
                  </w:r>
                </w:p>
              </w:tc>
              <w:tc>
                <w:tcPr>
                  <w:tcW w:w="4464" w:type="dxa"/>
                  <w:vAlign w:val="center"/>
                </w:tcPr>
                <w:p w14:paraId="136525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
                      <w:color w:val="auto"/>
                      <w:kern w:val="0"/>
                      <w:sz w:val="21"/>
                      <w:szCs w:val="24"/>
                      <w:lang w:val="en-US" w:eastAsia="zh-CN" w:bidi="ar"/>
                    </w:rPr>
                    <w:t>等效黏土防渗层Mb≥6.0m，K≤1×10⁻⁷cm/s</w:t>
                  </w:r>
                </w:p>
              </w:tc>
            </w:tr>
            <w:tr w14:paraId="40C72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0" w:type="dxa"/>
                  <w:vAlign w:val="center"/>
                </w:tcPr>
                <w:p w14:paraId="0A0476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
                      <w:color w:val="auto"/>
                      <w:kern w:val="0"/>
                      <w:sz w:val="21"/>
                      <w:szCs w:val="24"/>
                      <w:lang w:val="en-US" w:eastAsia="zh-CN" w:bidi="ar"/>
                    </w:rPr>
                    <w:t>一般防渗区</w:t>
                  </w:r>
                </w:p>
              </w:tc>
              <w:tc>
                <w:tcPr>
                  <w:tcW w:w="4012" w:type="dxa"/>
                  <w:vAlign w:val="center"/>
                </w:tcPr>
                <w:p w14:paraId="09BF9A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
                      <w:color w:val="auto"/>
                      <w:kern w:val="0"/>
                      <w:sz w:val="21"/>
                      <w:szCs w:val="24"/>
                      <w:lang w:val="en-US" w:eastAsia="zh-CN" w:bidi="ar"/>
                    </w:rPr>
                    <w:t>生产车间、一般固废暂存区</w:t>
                  </w:r>
                </w:p>
              </w:tc>
              <w:tc>
                <w:tcPr>
                  <w:tcW w:w="4464" w:type="dxa"/>
                  <w:vAlign w:val="center"/>
                </w:tcPr>
                <w:p w14:paraId="0FA18B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
                      <w:color w:val="auto"/>
                      <w:kern w:val="0"/>
                      <w:sz w:val="21"/>
                      <w:szCs w:val="24"/>
                      <w:lang w:val="en-US" w:eastAsia="zh-CN" w:bidi="ar"/>
                    </w:rPr>
                    <w:t>等效黏土防渗层Mb≥1.5m，K≤1×10⁻⁷cm/s</w:t>
                  </w:r>
                </w:p>
              </w:tc>
            </w:tr>
            <w:tr w14:paraId="2A91D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0" w:type="dxa"/>
                  <w:vAlign w:val="center"/>
                </w:tcPr>
                <w:p w14:paraId="1DE8A9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
                      <w:color w:val="auto"/>
                      <w:kern w:val="0"/>
                      <w:sz w:val="21"/>
                      <w:szCs w:val="24"/>
                      <w:lang w:val="en-US" w:eastAsia="zh-CN" w:bidi="ar"/>
                    </w:rPr>
                    <w:t>简单防渗区</w:t>
                  </w:r>
                </w:p>
              </w:tc>
              <w:tc>
                <w:tcPr>
                  <w:tcW w:w="4012" w:type="dxa"/>
                  <w:vAlign w:val="center"/>
                </w:tcPr>
                <w:p w14:paraId="53B5C3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
                      <w:color w:val="auto"/>
                      <w:kern w:val="0"/>
                      <w:sz w:val="21"/>
                      <w:szCs w:val="24"/>
                      <w:lang w:val="en-US" w:eastAsia="zh-CN" w:bidi="ar"/>
                    </w:rPr>
                    <w:t>办公区</w:t>
                  </w:r>
                </w:p>
              </w:tc>
              <w:tc>
                <w:tcPr>
                  <w:tcW w:w="4464" w:type="dxa"/>
                  <w:vAlign w:val="center"/>
                </w:tcPr>
                <w:p w14:paraId="2B026C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
                      <w:color w:val="auto"/>
                      <w:kern w:val="0"/>
                      <w:sz w:val="21"/>
                      <w:szCs w:val="24"/>
                      <w:lang w:val="en-US" w:eastAsia="zh-CN" w:bidi="ar"/>
                    </w:rPr>
                    <w:t>一般地面硬化</w:t>
                  </w:r>
                </w:p>
              </w:tc>
            </w:tr>
          </w:tbl>
          <w:p w14:paraId="6972CC78">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③</w:t>
            </w:r>
            <w:r>
              <w:rPr>
                <w:rFonts w:hint="default" w:ascii="Times New Roman" w:hAnsi="Times New Roman" w:eastAsia="宋体" w:cs="var(--dsw-font-markdown-base)"/>
                <w:b/>
                <w:bCs/>
                <w:i w:val="0"/>
                <w:iCs w:val="0"/>
                <w:caps w:val="0"/>
                <w:color w:val="auto"/>
                <w:spacing w:val="0"/>
                <w:sz w:val="21"/>
                <w:szCs w:val="21"/>
                <w:shd w:val="clear" w:fill="FFFFFF"/>
              </w:rPr>
              <w:t>过程控制</w:t>
            </w:r>
            <w:r>
              <w:rPr>
                <w:rFonts w:hint="default" w:ascii="Times New Roman" w:hAnsi="Times New Roman" w:eastAsia="宋体" w:cs="var(--dsw-font-markdown-base)"/>
                <w:i w:val="0"/>
                <w:iCs w:val="0"/>
                <w:caps w:val="0"/>
                <w:color w:val="auto"/>
                <w:spacing w:val="0"/>
                <w:sz w:val="21"/>
                <w:szCs w:val="21"/>
                <w:shd w:val="clear" w:fill="FFFFFF"/>
              </w:rPr>
              <w:t>：危险废物暂存间、化学品仓设置围堰或缓坡，地面涂刷防渗漆；生产废水暂存区设置围堰，做好防渗处理；定期检查防渗设施的完好性，发现破损及时修复。</w:t>
            </w:r>
          </w:p>
          <w:p w14:paraId="1BB56DD4">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④</w:t>
            </w:r>
            <w:r>
              <w:rPr>
                <w:rFonts w:hint="default" w:ascii="Times New Roman" w:hAnsi="Times New Roman" w:eastAsia="宋体" w:cs="var(--dsw-font-markdown-base)"/>
                <w:b/>
                <w:bCs/>
                <w:i w:val="0"/>
                <w:iCs w:val="0"/>
                <w:caps w:val="0"/>
                <w:color w:val="auto"/>
                <w:spacing w:val="0"/>
                <w:sz w:val="21"/>
                <w:szCs w:val="21"/>
                <w:shd w:val="clear" w:fill="FFFFFF"/>
              </w:rPr>
              <w:t>加强管理</w:t>
            </w:r>
            <w:r>
              <w:rPr>
                <w:rFonts w:hint="default" w:ascii="Times New Roman" w:hAnsi="Times New Roman" w:eastAsia="宋体" w:cs="var(--dsw-font-markdown-base)"/>
                <w:i w:val="0"/>
                <w:iCs w:val="0"/>
                <w:caps w:val="0"/>
                <w:color w:val="auto"/>
                <w:spacing w:val="0"/>
                <w:sz w:val="21"/>
                <w:szCs w:val="21"/>
                <w:shd w:val="clear" w:fill="FFFFFF"/>
              </w:rPr>
              <w:t>：建立土壤污染隐患排查制度，定期对重点区域进行巡查；制定突发环境事件应急预案，配备应急物资，一旦发生泄漏事故，立即启动应急措施，将污染物控制在最小范围内。</w:t>
            </w:r>
          </w:p>
          <w:p w14:paraId="52CD3B9C">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综上所述，在落实各项土壤污染防治措施的前提下，项目对土壤环境的影响较小。</w:t>
            </w:r>
          </w:p>
          <w:p w14:paraId="51C1EBA6">
            <w:pPr>
              <w:pStyle w:val="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var(--dsw-font-markdown-h3)"/>
                <w:color w:val="auto"/>
                <w:sz w:val="21"/>
              </w:rPr>
            </w:pPr>
            <w:bookmarkStart w:id="72" w:name="_Toc5993"/>
            <w:bookmarkStart w:id="73" w:name="_Toc1365"/>
            <w:r>
              <w:rPr>
                <w:rFonts w:hint="default" w:ascii="Times New Roman" w:hAnsi="Times New Roman" w:eastAsia="宋体" w:cs="var(--dsw-font-markdown-h3)"/>
                <w:i w:val="0"/>
                <w:iCs w:val="0"/>
                <w:caps w:val="0"/>
                <w:color w:val="auto"/>
                <w:spacing w:val="0"/>
                <w:sz w:val="21"/>
                <w:shd w:val="clear" w:fill="FFFFFF"/>
              </w:rPr>
              <w:t>2、地下水环境影响分析</w:t>
            </w:r>
            <w:bookmarkEnd w:id="72"/>
            <w:bookmarkEnd w:id="73"/>
          </w:p>
          <w:p w14:paraId="7285E730">
            <w:pPr>
              <w:pStyle w:val="5"/>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var(--dsw-font-markdown-h4)"/>
                <w:color w:val="auto"/>
                <w:sz w:val="21"/>
              </w:rPr>
            </w:pPr>
            <w:r>
              <w:rPr>
                <w:rFonts w:hint="default" w:ascii="Times New Roman" w:hAnsi="Times New Roman" w:eastAsia="宋体" w:cs="var(--dsw-font-markdown-h4)"/>
                <w:i w:val="0"/>
                <w:iCs w:val="0"/>
                <w:caps w:val="0"/>
                <w:color w:val="auto"/>
                <w:spacing w:val="0"/>
                <w:sz w:val="21"/>
                <w:shd w:val="clear" w:fill="FFFFFF"/>
              </w:rPr>
              <w:t>（1）地下水污染源识别</w:t>
            </w:r>
          </w:p>
          <w:p w14:paraId="1873358C">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本项目对地下水环境可能造成影响的污染源主要为：</w:t>
            </w:r>
          </w:p>
          <w:p w14:paraId="31962CFB">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①液态化学品在储存和使用过程中发生泄漏，通过垂直入渗进入地下水环境；</w:t>
            </w:r>
          </w:p>
          <w:p w14:paraId="18050E95">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②危险废物（废机油、废活性炭等）在暂存过程中发生泄漏，渗入地下水环境；</w:t>
            </w:r>
          </w:p>
          <w:p w14:paraId="551E0937">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③生产废水（冲版废水等）在暂存过程中发生泄漏，通过垂直入渗进入地下水环境。</w:t>
            </w:r>
          </w:p>
          <w:p w14:paraId="4848FC04">
            <w:pPr>
              <w:pStyle w:val="5"/>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var(--dsw-font-markdown-h4)"/>
                <w:color w:val="auto"/>
                <w:sz w:val="21"/>
              </w:rPr>
            </w:pPr>
            <w:r>
              <w:rPr>
                <w:rFonts w:hint="default" w:ascii="Times New Roman" w:hAnsi="Times New Roman" w:eastAsia="宋体" w:cs="var(--dsw-font-markdown-h4)"/>
                <w:i w:val="0"/>
                <w:iCs w:val="0"/>
                <w:caps w:val="0"/>
                <w:color w:val="auto"/>
                <w:spacing w:val="0"/>
                <w:sz w:val="21"/>
                <w:shd w:val="clear" w:fill="FFFFFF"/>
              </w:rPr>
              <w:t>（2）影响途径分析</w:t>
            </w:r>
          </w:p>
          <w:p w14:paraId="4A1EE6BB">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项目不开采地下水，也不进行地下水的回灌。项目对地下水环境的影响途径主要为液态化学品、危险废物和生产废水发生泄漏后通过垂直入渗进入地下水层。</w:t>
            </w:r>
          </w:p>
          <w:p w14:paraId="5DAD3D1B">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项目厂区地面已全部进行硬底化处理，危险废物暂存间、化学品仓、废水暂存区等重点区域按要求进行防腐防渗处理，设置围堰或缓坡。在落实分区防渗和日常管理的基础上，污染物下渗进入地下水环境的可能性较小，对地下水水质不会造成明显的不良影响。</w:t>
            </w:r>
          </w:p>
          <w:p w14:paraId="5FA1D851">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根据《建设项目环境影响报告表编制技术指南（污染影响类）（试行）》，项目厂界外500米范围内无地下水集中式饮用水水源和热水、矿泉水、温泉等特殊地下水资源保护区，因此不需开展地下水专项评价。</w:t>
            </w:r>
          </w:p>
          <w:p w14:paraId="519712E3">
            <w:pPr>
              <w:pStyle w:val="5"/>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var(--dsw-font-markdown-h4)"/>
                <w:color w:val="auto"/>
                <w:sz w:val="21"/>
              </w:rPr>
            </w:pPr>
            <w:r>
              <w:rPr>
                <w:rFonts w:hint="default" w:ascii="Times New Roman" w:hAnsi="Times New Roman" w:eastAsia="宋体" w:cs="var(--dsw-font-markdown-h4)"/>
                <w:i w:val="0"/>
                <w:iCs w:val="0"/>
                <w:caps w:val="0"/>
                <w:color w:val="auto"/>
                <w:spacing w:val="0"/>
                <w:sz w:val="21"/>
                <w:shd w:val="clear" w:fill="FFFFFF"/>
              </w:rPr>
              <w:t>（3）地下水污染防治措施</w:t>
            </w:r>
          </w:p>
          <w:p w14:paraId="3CE826C7">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为有效防治地下水污染，建设单位拟采取以下措施：</w:t>
            </w:r>
          </w:p>
          <w:p w14:paraId="70FBB36B">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b/>
                <w:bCs/>
                <w:i w:val="0"/>
                <w:iCs w:val="0"/>
                <w:caps w:val="0"/>
                <w:color w:val="auto"/>
                <w:spacing w:val="0"/>
                <w:sz w:val="21"/>
                <w:szCs w:val="21"/>
                <w:shd w:val="clear" w:fill="FFFFFF"/>
              </w:rPr>
              <w:t>①源头控制</w:t>
            </w:r>
          </w:p>
          <w:p w14:paraId="09E46FB7">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加强对液态化学品、危险废物和生产废水的管理，减少污染物的跑、冒、滴、漏；选用优质设备和管道，定期检查维护，防止泄漏事故发生；从源头上减少污染物的产生量和排放量。</w:t>
            </w:r>
          </w:p>
          <w:p w14:paraId="59956643">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b/>
                <w:bCs/>
                <w:i w:val="0"/>
                <w:iCs w:val="0"/>
                <w:caps w:val="0"/>
                <w:color w:val="auto"/>
                <w:spacing w:val="0"/>
                <w:sz w:val="21"/>
                <w:szCs w:val="21"/>
                <w:shd w:val="clear" w:fill="FFFFFF"/>
              </w:rPr>
              <w:t>②分区防控</w:t>
            </w:r>
          </w:p>
          <w:p w14:paraId="78159D9A">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var(--dsw-font-markdown-base)"/>
                <w:i w:val="0"/>
                <w:iCs w:val="0"/>
                <w:caps w:val="0"/>
                <w:color w:val="auto"/>
                <w:spacing w:val="0"/>
                <w:sz w:val="21"/>
                <w:szCs w:val="21"/>
                <w:shd w:val="clear" w:fill="FFFFFF"/>
              </w:rPr>
            </w:pPr>
            <w:r>
              <w:rPr>
                <w:rFonts w:hint="default" w:ascii="Times New Roman" w:hAnsi="Times New Roman" w:eastAsia="宋体" w:cs="var(--dsw-font-markdown-base)"/>
                <w:i w:val="0"/>
                <w:iCs w:val="0"/>
                <w:caps w:val="0"/>
                <w:color w:val="auto"/>
                <w:spacing w:val="0"/>
                <w:sz w:val="21"/>
                <w:szCs w:val="21"/>
                <w:shd w:val="clear" w:fill="FFFFFF"/>
              </w:rPr>
              <w:t>根据厂区各区域可能对地下水环境造成污染的风险程度，划分为重点防渗区、一般防渗区和简单防渗区。</w:t>
            </w:r>
          </w:p>
          <w:tbl>
            <w:tblPr>
              <w:tblStyle w:val="49"/>
              <w:tblW w:w="99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0"/>
              <w:gridCol w:w="4079"/>
              <w:gridCol w:w="4407"/>
            </w:tblGrid>
            <w:tr w14:paraId="05304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0" w:type="dxa"/>
                  <w:vAlign w:val="center"/>
                </w:tcPr>
                <w:p w14:paraId="2D9F37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h"/>
                      <w:b/>
                      <w:bCs/>
                      <w:color w:val="auto"/>
                      <w:kern w:val="0"/>
                      <w:sz w:val="21"/>
                      <w:szCs w:val="24"/>
                      <w:lang w:val="en-US" w:eastAsia="zh-CN" w:bidi="ar"/>
                    </w:rPr>
                    <w:t>防渗分区</w:t>
                  </w:r>
                </w:p>
              </w:tc>
              <w:tc>
                <w:tcPr>
                  <w:tcW w:w="4079" w:type="dxa"/>
                  <w:vAlign w:val="center"/>
                </w:tcPr>
                <w:p w14:paraId="6BD19E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h"/>
                      <w:b/>
                      <w:bCs/>
                      <w:color w:val="auto"/>
                      <w:kern w:val="0"/>
                      <w:sz w:val="21"/>
                      <w:szCs w:val="24"/>
                      <w:lang w:val="en-US" w:eastAsia="zh-CN" w:bidi="ar"/>
                    </w:rPr>
                    <w:t>区域</w:t>
                  </w:r>
                </w:p>
              </w:tc>
              <w:tc>
                <w:tcPr>
                  <w:tcW w:w="4407" w:type="dxa"/>
                  <w:vAlign w:val="center"/>
                </w:tcPr>
                <w:p w14:paraId="3B6188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h"/>
                      <w:b/>
                      <w:bCs/>
                      <w:color w:val="auto"/>
                      <w:kern w:val="0"/>
                      <w:sz w:val="21"/>
                      <w:szCs w:val="24"/>
                      <w:lang w:val="en-US" w:eastAsia="zh-CN" w:bidi="ar"/>
                    </w:rPr>
                    <w:t>防渗要求</w:t>
                  </w:r>
                </w:p>
              </w:tc>
            </w:tr>
            <w:tr w14:paraId="69293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0" w:type="dxa"/>
                  <w:vAlign w:val="center"/>
                </w:tcPr>
                <w:p w14:paraId="415EAD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
                      <w:color w:val="auto"/>
                      <w:kern w:val="0"/>
                      <w:sz w:val="21"/>
                      <w:szCs w:val="24"/>
                      <w:lang w:val="en-US" w:eastAsia="zh-CN" w:bidi="ar"/>
                    </w:rPr>
                    <w:t>重点防渗区</w:t>
                  </w:r>
                </w:p>
              </w:tc>
              <w:tc>
                <w:tcPr>
                  <w:tcW w:w="4079" w:type="dxa"/>
                  <w:vAlign w:val="center"/>
                </w:tcPr>
                <w:p w14:paraId="6AF52D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
                      <w:color w:val="auto"/>
                      <w:kern w:val="0"/>
                      <w:sz w:val="21"/>
                      <w:szCs w:val="24"/>
                      <w:lang w:val="en-US" w:eastAsia="zh-CN" w:bidi="ar"/>
                    </w:rPr>
                    <w:t>危险废物暂存间、化学品仓、废水暂存区</w:t>
                  </w:r>
                </w:p>
              </w:tc>
              <w:tc>
                <w:tcPr>
                  <w:tcW w:w="4407" w:type="dxa"/>
                  <w:vAlign w:val="center"/>
                </w:tcPr>
                <w:p w14:paraId="472D4B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
                      <w:color w:val="auto"/>
                      <w:kern w:val="0"/>
                      <w:sz w:val="21"/>
                      <w:szCs w:val="24"/>
                      <w:lang w:val="en-US" w:eastAsia="zh-CN" w:bidi="ar"/>
                    </w:rPr>
                    <w:t>等效黏土防渗层Mb≥6.0m，K≤1×10⁻⁷cm/s</w:t>
                  </w:r>
                </w:p>
              </w:tc>
            </w:tr>
            <w:tr w14:paraId="718E1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0" w:type="dxa"/>
                  <w:vAlign w:val="center"/>
                </w:tcPr>
                <w:p w14:paraId="66CC96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
                      <w:color w:val="auto"/>
                      <w:kern w:val="0"/>
                      <w:sz w:val="21"/>
                      <w:szCs w:val="24"/>
                      <w:lang w:val="en-US" w:eastAsia="zh-CN" w:bidi="ar"/>
                    </w:rPr>
                    <w:t>一般防渗区</w:t>
                  </w:r>
                </w:p>
              </w:tc>
              <w:tc>
                <w:tcPr>
                  <w:tcW w:w="4079" w:type="dxa"/>
                  <w:vAlign w:val="center"/>
                </w:tcPr>
                <w:p w14:paraId="6C7A56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
                      <w:color w:val="auto"/>
                      <w:kern w:val="0"/>
                      <w:sz w:val="21"/>
                      <w:szCs w:val="24"/>
                      <w:lang w:val="en-US" w:eastAsia="zh-CN" w:bidi="ar"/>
                    </w:rPr>
                    <w:t>生产车间、一般固废暂存区</w:t>
                  </w:r>
                </w:p>
              </w:tc>
              <w:tc>
                <w:tcPr>
                  <w:tcW w:w="4407" w:type="dxa"/>
                  <w:vAlign w:val="center"/>
                </w:tcPr>
                <w:p w14:paraId="0E7BFA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
                      <w:color w:val="auto"/>
                      <w:kern w:val="0"/>
                      <w:sz w:val="21"/>
                      <w:szCs w:val="24"/>
                      <w:lang w:val="en-US" w:eastAsia="zh-CN" w:bidi="ar"/>
                    </w:rPr>
                    <w:t>等效黏土防渗层Mb≥1.5m，K≤1×10⁻⁷cm/s</w:t>
                  </w:r>
                </w:p>
              </w:tc>
            </w:tr>
            <w:tr w14:paraId="5AE37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0" w:type="dxa"/>
                  <w:vAlign w:val="center"/>
                </w:tcPr>
                <w:p w14:paraId="770E71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
                      <w:color w:val="auto"/>
                      <w:kern w:val="0"/>
                      <w:sz w:val="21"/>
                      <w:szCs w:val="24"/>
                      <w:lang w:val="en-US" w:eastAsia="zh-CN" w:bidi="ar"/>
                    </w:rPr>
                    <w:t>简单防渗区</w:t>
                  </w:r>
                </w:p>
              </w:tc>
              <w:tc>
                <w:tcPr>
                  <w:tcW w:w="4079" w:type="dxa"/>
                  <w:vAlign w:val="center"/>
                </w:tcPr>
                <w:p w14:paraId="7853DA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
                      <w:color w:val="auto"/>
                      <w:kern w:val="0"/>
                      <w:sz w:val="21"/>
                      <w:szCs w:val="24"/>
                      <w:lang w:val="en-US" w:eastAsia="zh-CN" w:bidi="ar"/>
                    </w:rPr>
                    <w:t>办公区</w:t>
                  </w:r>
                </w:p>
              </w:tc>
              <w:tc>
                <w:tcPr>
                  <w:tcW w:w="4407" w:type="dxa"/>
                  <w:vAlign w:val="center"/>
                </w:tcPr>
                <w:p w14:paraId="621AF2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base)"/>
                      <w:i w:val="0"/>
                      <w:iCs w:val="0"/>
                      <w:caps w:val="0"/>
                      <w:color w:val="auto"/>
                      <w:spacing w:val="0"/>
                      <w:sz w:val="21"/>
                      <w:szCs w:val="21"/>
                      <w:shd w:val="clear" w:fill="FFFFFF"/>
                      <w:vertAlign w:val="baseline"/>
                    </w:rPr>
                  </w:pPr>
                  <w:r>
                    <w:rPr>
                      <w:rFonts w:hint="default" w:ascii="Times New Roman" w:hAnsi="Times New Roman" w:eastAsia="宋体" w:cs="var(--dsw-font-markdown-table)"/>
                      <w:color w:val="auto"/>
                      <w:kern w:val="0"/>
                      <w:sz w:val="21"/>
                      <w:szCs w:val="24"/>
                      <w:lang w:val="en-US" w:eastAsia="zh-CN" w:bidi="ar"/>
                    </w:rPr>
                    <w:t>一般地面硬化</w:t>
                  </w:r>
                </w:p>
              </w:tc>
            </w:tr>
          </w:tbl>
          <w:p w14:paraId="3220F362">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重点防渗区采用水泥基渗透结晶抗渗混凝土（厚度不宜小于150mm）+水泥基渗透结晶型防渗涂层（厚度不小于0.8mm）结构型式，渗透系数≤1.0×10⁻¹⁰cm/s；一般防渗区采用抗渗混凝土（厚度不宜小于100mm），渗透系数≤1.0×10⁻⁸cm/s。</w:t>
            </w:r>
          </w:p>
          <w:p w14:paraId="1DB20A3F">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b/>
                <w:bCs/>
                <w:i w:val="0"/>
                <w:iCs w:val="0"/>
                <w:caps w:val="0"/>
                <w:color w:val="auto"/>
                <w:spacing w:val="0"/>
                <w:sz w:val="21"/>
                <w:szCs w:val="21"/>
                <w:shd w:val="clear" w:fill="FFFFFF"/>
              </w:rPr>
              <w:t>③过程控制</w:t>
            </w:r>
          </w:p>
          <w:p w14:paraId="5E15D0A2">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危险废物暂存间、化学品仓设置围堰或缓坡，地面涂刷防渗漆；生产废水暂存区设置围堰，做好防渗处理；厂区门口设置缓坡，事故状态下可将泄漏物截留在厂区内。</w:t>
            </w:r>
          </w:p>
          <w:p w14:paraId="61E89CC4">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b/>
                <w:bCs/>
                <w:i w:val="0"/>
                <w:iCs w:val="0"/>
                <w:caps w:val="0"/>
                <w:color w:val="auto"/>
                <w:spacing w:val="0"/>
                <w:sz w:val="21"/>
                <w:szCs w:val="21"/>
                <w:shd w:val="clear" w:fill="FFFFFF"/>
              </w:rPr>
              <w:t>④加强管理</w:t>
            </w:r>
          </w:p>
          <w:p w14:paraId="74C9F992">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建立地下水污染隐患排查制度，定期对重点区域进行巡查；制定突发环境事件应急预案，配备应急物资，一旦发生泄漏事故，立即启动应急措施。</w:t>
            </w:r>
          </w:p>
          <w:p w14:paraId="53E744AB">
            <w:pPr>
              <w:pStyle w:val="5"/>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var(--dsw-font-markdown-h4)"/>
                <w:color w:val="auto"/>
                <w:sz w:val="21"/>
              </w:rPr>
            </w:pPr>
            <w:r>
              <w:rPr>
                <w:rFonts w:hint="default" w:ascii="Times New Roman" w:hAnsi="Times New Roman" w:eastAsia="宋体" w:cs="var(--dsw-font-markdown-h4)"/>
                <w:i w:val="0"/>
                <w:iCs w:val="0"/>
                <w:caps w:val="0"/>
                <w:color w:val="auto"/>
                <w:spacing w:val="0"/>
                <w:sz w:val="21"/>
                <w:shd w:val="clear" w:fill="FFFFFF"/>
              </w:rPr>
              <w:t>（4）地下水环境质量现状</w:t>
            </w:r>
          </w:p>
          <w:p w14:paraId="3FA550A6">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项目厂界外500米范围内无地下水集中式饮用水水源和热水、矿泉水、温泉等特殊地下水资源保护区。项目不开采地下水，也不进行地下水的回灌。项目厂区地面已全部进行硬底化处理，且针对不同区域已进行不同的防渗处理。因此，本项目不开展地下水环境质量现状调查。</w:t>
            </w:r>
          </w:p>
          <w:p w14:paraId="5BBC34BB">
            <w:pPr>
              <w:pStyle w:val="5"/>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var(--dsw-font-markdown-h4)"/>
                <w:color w:val="auto"/>
                <w:sz w:val="21"/>
              </w:rPr>
            </w:pPr>
            <w:r>
              <w:rPr>
                <w:rFonts w:hint="default" w:ascii="Times New Roman" w:hAnsi="Times New Roman" w:eastAsia="宋体" w:cs="var(--dsw-font-markdown-h4)"/>
                <w:i w:val="0"/>
                <w:iCs w:val="0"/>
                <w:caps w:val="0"/>
                <w:color w:val="auto"/>
                <w:spacing w:val="0"/>
                <w:sz w:val="21"/>
                <w:shd w:val="clear" w:fill="FFFFFF"/>
              </w:rPr>
              <w:t>（5）跟踪监测要求</w:t>
            </w:r>
          </w:p>
          <w:p w14:paraId="7E69CA57">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在落实各项地下水污染防治措施的前提下，项目对地下水环境的影响较小。因此，项目不设地下水跟踪监测计划。</w:t>
            </w:r>
          </w:p>
          <w:p w14:paraId="0E627B5F">
            <w:pPr>
              <w:pStyle w:val="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var(--dsw-font-markdown-h3)"/>
                <w:color w:val="auto"/>
                <w:sz w:val="21"/>
              </w:rPr>
            </w:pPr>
            <w:bookmarkStart w:id="74" w:name="_Toc3632"/>
            <w:bookmarkStart w:id="75" w:name="_Toc13692"/>
            <w:r>
              <w:rPr>
                <w:rFonts w:hint="default" w:ascii="Times New Roman" w:hAnsi="Times New Roman" w:eastAsia="宋体" w:cs="var(--dsw-font-markdown-h3)"/>
                <w:i w:val="0"/>
                <w:iCs w:val="0"/>
                <w:caps w:val="0"/>
                <w:color w:val="auto"/>
                <w:spacing w:val="0"/>
                <w:sz w:val="21"/>
                <w:shd w:val="clear" w:fill="FFFFFF"/>
              </w:rPr>
              <w:t>3、小结</w:t>
            </w:r>
            <w:bookmarkEnd w:id="74"/>
            <w:bookmarkEnd w:id="75"/>
          </w:p>
          <w:p w14:paraId="053BAE35">
            <w:pPr>
              <w:pStyle w:val="44"/>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rPr>
            </w:pPr>
            <w:r>
              <w:rPr>
                <w:rFonts w:hint="default" w:ascii="Times New Roman" w:hAnsi="Times New Roman" w:eastAsia="宋体" w:cs="var(--dsw-font-markdown-base)"/>
                <w:i w:val="0"/>
                <w:iCs w:val="0"/>
                <w:caps w:val="0"/>
                <w:color w:val="auto"/>
                <w:spacing w:val="0"/>
                <w:sz w:val="21"/>
                <w:szCs w:val="21"/>
                <w:shd w:val="clear" w:fill="FFFFFF"/>
              </w:rPr>
              <w:t>综上所述，本项目对土壤和地下水环境的污染途径主要为液态化学品、危险废物和生产废水发生泄漏后通过垂直入渗进入土壤和地下水环境。项目厂区地面已全部进行硬底化处理，危险废物暂存间、化学品仓、废水暂存区等重点区域按要求进行防腐防渗处理，设置围堰或缓坡。在落实分区防渗和日常管理的基础上，项目对土壤和地下水环境影响较小，不设跟踪监测计划。</w:t>
            </w:r>
          </w:p>
          <w:p w14:paraId="352C536E">
            <w:pPr>
              <w:keepNext w:val="0"/>
              <w:keepLines w:val="0"/>
              <w:pageBreakBefore w:val="0"/>
              <w:widowControl/>
              <w:suppressLineNumbers w:val="0"/>
              <w:tabs>
                <w:tab w:val="left" w:pos="576"/>
              </w:tabs>
              <w:kinsoku/>
              <w:wordWrap/>
              <w:overflowPunct/>
              <w:topLinePunct w:val="0"/>
              <w:autoSpaceDE/>
              <w:autoSpaceDN/>
              <w:bidi w:val="0"/>
              <w:snapToGrid/>
              <w:spacing w:before="0" w:beforeAutospacing="0" w:after="0" w:afterAutospacing="0" w:line="360" w:lineRule="auto"/>
              <w:ind w:left="0" w:leftChars="0" w:right="0" w:rightChars="0" w:firstLine="422" w:firstLineChars="200"/>
              <w:jc w:val="both"/>
              <w:textAlignment w:val="auto"/>
              <w:outlineLvl w:val="1"/>
              <w:rPr>
                <w:rFonts w:hint="default" w:ascii="Times New Roman" w:hAnsi="Times New Roman" w:eastAsia="宋体" w:cs="var(--dsw-font-markdown-h2)"/>
                <w:b/>
                <w:bCs/>
                <w:color w:val="auto"/>
                <w:kern w:val="2"/>
                <w:sz w:val="21"/>
                <w:szCs w:val="32"/>
                <w:lang w:val="en-US" w:eastAsia="zh-CN" w:bidi="ar-SA"/>
              </w:rPr>
            </w:pPr>
            <w:bookmarkStart w:id="76" w:name="_Toc30074"/>
            <w:bookmarkStart w:id="77" w:name="_Toc4158"/>
            <w:r>
              <w:rPr>
                <w:rFonts w:hint="default" w:ascii="Times New Roman" w:hAnsi="Times New Roman" w:eastAsia="宋体" w:cs="var(--dsw-font-markdown-h2)"/>
                <w:b/>
                <w:bCs/>
                <w:i w:val="0"/>
                <w:iCs w:val="0"/>
                <w:caps w:val="0"/>
                <w:color w:val="auto"/>
                <w:spacing w:val="0"/>
                <w:kern w:val="2"/>
                <w:sz w:val="21"/>
                <w:szCs w:val="32"/>
                <w:lang w:val="en-US" w:eastAsia="zh-CN" w:bidi="ar-SA"/>
              </w:rPr>
              <w:t>六、环境风险影响分析</w:t>
            </w:r>
            <w:bookmarkEnd w:id="76"/>
            <w:bookmarkEnd w:id="77"/>
          </w:p>
          <w:p w14:paraId="2E6B3B72">
            <w:pPr>
              <w:keepNext w:val="0"/>
              <w:keepLines w:val="0"/>
              <w:widowControl/>
              <w:suppressLineNumbers w:val="0"/>
              <w:tabs>
                <w:tab w:val="left" w:pos="864"/>
              </w:tabs>
              <w:spacing w:before="0" w:beforeAutospacing="0" w:after="0" w:afterAutospacing="0" w:line="360" w:lineRule="auto"/>
              <w:ind w:left="0" w:leftChars="0" w:right="0" w:rightChars="0" w:firstLine="0" w:firstLineChars="0"/>
              <w:jc w:val="both"/>
              <w:outlineLvl w:val="3"/>
              <w:rPr>
                <w:rFonts w:hint="default" w:ascii="Times New Roman" w:hAnsi="Times New Roman" w:eastAsia="宋体" w:cs="Segoe UI"/>
                <w:b/>
                <w:bCs/>
                <w:i w:val="0"/>
                <w:iCs w:val="0"/>
                <w:caps w:val="0"/>
                <w:strike w:val="0"/>
                <w:color w:val="auto"/>
                <w:spacing w:val="0"/>
                <w:kern w:val="2"/>
                <w:sz w:val="21"/>
                <w:szCs w:val="24"/>
                <w:u w:val="none"/>
                <w:lang w:val="en-US" w:eastAsia="zh-CN" w:bidi="ar-SA"/>
              </w:rPr>
            </w:pPr>
            <w:r>
              <w:rPr>
                <w:rFonts w:hint="default" w:ascii="Times New Roman" w:hAnsi="Times New Roman" w:eastAsia="宋体" w:cs="Segoe UI"/>
                <w:b/>
                <w:bCs/>
                <w:i w:val="0"/>
                <w:iCs w:val="0"/>
                <w:caps w:val="0"/>
                <w:strike w:val="0"/>
                <w:color w:val="auto"/>
                <w:spacing w:val="0"/>
                <w:kern w:val="2"/>
                <w:sz w:val="21"/>
                <w:szCs w:val="24"/>
                <w:u w:val="none"/>
                <w:lang w:val="en-US" w:eastAsia="zh-CN" w:bidi="ar-SA"/>
              </w:rPr>
              <w:t>1、风险调查</w:t>
            </w:r>
          </w:p>
          <w:p w14:paraId="6657F323">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var(--dsw-font-markdown-base)"/>
                <w:i w:val="0"/>
                <w:iCs w:val="0"/>
                <w:caps w:val="0"/>
                <w:color w:val="auto"/>
                <w:spacing w:val="0"/>
                <w:kern w:val="0"/>
                <w:sz w:val="21"/>
                <w:szCs w:val="21"/>
                <w:lang w:val="en-US" w:eastAsia="zh-CN" w:bidi="ar-SA"/>
              </w:rPr>
            </w:pPr>
            <w:r>
              <w:rPr>
                <w:rFonts w:hint="default" w:ascii="Times New Roman" w:hAnsi="Times New Roman" w:eastAsia="宋体" w:cs="var(--dsw-font-markdown-base)"/>
                <w:i w:val="0"/>
                <w:iCs w:val="0"/>
                <w:caps w:val="0"/>
                <w:color w:val="auto"/>
                <w:spacing w:val="0"/>
                <w:kern w:val="0"/>
                <w:sz w:val="21"/>
                <w:szCs w:val="21"/>
                <w:lang w:val="en-US" w:eastAsia="zh-CN" w:bidi="ar-SA"/>
              </w:rPr>
              <w:t>根据《建设项目环境风险评价技术导则》（</w:t>
            </w:r>
            <w:r>
              <w:rPr>
                <w:rFonts w:hint="eastAsia" w:cs="var(--dsw-font-markdown-base)"/>
                <w:i w:val="0"/>
                <w:iCs w:val="0"/>
                <w:caps w:val="0"/>
                <w:color w:val="auto"/>
                <w:spacing w:val="0"/>
                <w:kern w:val="0"/>
                <w:sz w:val="21"/>
                <w:szCs w:val="21"/>
                <w:lang w:val="en-US" w:eastAsia="zh-CN" w:bidi="ar-SA"/>
              </w:rPr>
              <w:t>HJ169-2018</w:t>
            </w:r>
            <w:r>
              <w:rPr>
                <w:rFonts w:hint="default" w:ascii="Times New Roman" w:hAnsi="Times New Roman" w:eastAsia="宋体" w:cs="var(--dsw-font-markdown-base)"/>
                <w:i w:val="0"/>
                <w:iCs w:val="0"/>
                <w:caps w:val="0"/>
                <w:color w:val="auto"/>
                <w:spacing w:val="0"/>
                <w:kern w:val="0"/>
                <w:sz w:val="21"/>
                <w:szCs w:val="21"/>
                <w:lang w:val="en-US" w:eastAsia="zh-CN" w:bidi="ar-SA"/>
              </w:rPr>
              <w:t>）附录B.1和《危险化学品重大危险源辨识》（</w:t>
            </w:r>
            <w:r>
              <w:rPr>
                <w:rFonts w:hint="eastAsia" w:cs="var(--dsw-font-markdown-base)"/>
                <w:i w:val="0"/>
                <w:iCs w:val="0"/>
                <w:caps w:val="0"/>
                <w:color w:val="auto"/>
                <w:spacing w:val="0"/>
                <w:kern w:val="0"/>
                <w:sz w:val="21"/>
                <w:szCs w:val="21"/>
                <w:lang w:val="en-US" w:eastAsia="zh-CN" w:bidi="ar-SA"/>
              </w:rPr>
              <w:t>GB18218-2018）</w:t>
            </w:r>
            <w:r>
              <w:rPr>
                <w:rFonts w:hint="default" w:ascii="Times New Roman" w:hAnsi="Times New Roman" w:eastAsia="宋体" w:cs="var(--dsw-font-markdown-base)"/>
                <w:i w:val="0"/>
                <w:iCs w:val="0"/>
                <w:caps w:val="0"/>
                <w:color w:val="auto"/>
                <w:spacing w:val="0"/>
                <w:kern w:val="0"/>
                <w:sz w:val="21"/>
                <w:szCs w:val="21"/>
                <w:lang w:val="en-US" w:eastAsia="zh-CN" w:bidi="ar-SA"/>
              </w:rPr>
              <w:t>中所规定的环境风险物质和危险化学品，结合本项目原辅材料清单，本项目涉及的环境风险物质主要为机油及废机油</w:t>
            </w:r>
            <w:r>
              <w:rPr>
                <w:rFonts w:hint="eastAsia" w:cs="var(--dsw-font-markdown-base)"/>
                <w:i w:val="0"/>
                <w:iCs w:val="0"/>
                <w:caps w:val="0"/>
                <w:color w:val="auto"/>
                <w:spacing w:val="0"/>
                <w:kern w:val="0"/>
                <w:sz w:val="21"/>
                <w:szCs w:val="21"/>
                <w:lang w:val="en-US" w:eastAsia="zh-CN" w:bidi="ar-SA"/>
              </w:rPr>
              <w:t>等。</w:t>
            </w:r>
          </w:p>
          <w:p w14:paraId="788BDE9F">
            <w:pPr>
              <w:keepNext w:val="0"/>
              <w:keepLines w:val="0"/>
              <w:pageBreakBefore w:val="0"/>
              <w:widowControl/>
              <w:suppressLineNumbers w:val="0"/>
              <w:tabs>
                <w:tab w:val="left" w:pos="864"/>
              </w:tabs>
              <w:kinsoku/>
              <w:wordWrap/>
              <w:overflowPunct/>
              <w:topLinePunct w:val="0"/>
              <w:autoSpaceDE/>
              <w:autoSpaceDN/>
              <w:bidi w:val="0"/>
              <w:snapToGrid/>
              <w:spacing w:before="0" w:beforeAutospacing="0" w:after="0" w:afterAutospacing="0" w:line="360" w:lineRule="auto"/>
              <w:ind w:left="0" w:leftChars="0" w:right="0" w:rightChars="0" w:firstLine="422" w:firstLineChars="200"/>
              <w:jc w:val="both"/>
              <w:textAlignment w:val="auto"/>
              <w:outlineLvl w:val="3"/>
              <w:rPr>
                <w:rFonts w:hint="default" w:ascii="Times New Roman" w:hAnsi="Times New Roman" w:eastAsia="宋体" w:cs="var(--dsw-font-markdown-h4)"/>
                <w:b/>
                <w:bCs/>
                <w:color w:val="auto"/>
                <w:kern w:val="2"/>
                <w:sz w:val="21"/>
                <w:szCs w:val="28"/>
                <w:lang w:val="en-US" w:eastAsia="zh-CN" w:bidi="ar-SA"/>
              </w:rPr>
            </w:pPr>
            <w:r>
              <w:rPr>
                <w:rFonts w:hint="default" w:ascii="Times New Roman" w:hAnsi="Times New Roman" w:eastAsia="宋体" w:cs="var(--dsw-font-markdown-h4)"/>
                <w:b/>
                <w:bCs/>
                <w:i w:val="0"/>
                <w:iCs w:val="0"/>
                <w:caps w:val="0"/>
                <w:color w:val="auto"/>
                <w:spacing w:val="0"/>
                <w:kern w:val="2"/>
                <w:sz w:val="21"/>
                <w:szCs w:val="28"/>
                <w:lang w:val="en-US" w:eastAsia="zh-CN" w:bidi="ar-SA"/>
              </w:rPr>
              <w:t>（1）危险物质数量与临界量比值（Q）</w:t>
            </w:r>
          </w:p>
          <w:p w14:paraId="7CDBB3B7">
            <w:pPr>
              <w:keepNext w:val="0"/>
              <w:keepLines w:val="0"/>
              <w:suppressLineNumbers w:val="0"/>
              <w:adjustRightInd w:val="0"/>
              <w:snapToGrid w:val="0"/>
              <w:spacing w:before="0" w:beforeAutospacing="0" w:after="0" w:afterAutospacing="0" w:line="360" w:lineRule="auto"/>
              <w:ind w:left="0" w:right="0" w:firstLine="420" w:firstLineChars="200"/>
              <w:rPr>
                <w:rFonts w:hint="default" w:ascii="Times New Roman" w:hAnsi="Times New Roman" w:cs="Times New Roman"/>
                <w:color w:val="auto"/>
                <w:sz w:val="21"/>
                <w:szCs w:val="22"/>
                <w:highlight w:val="none"/>
              </w:rPr>
            </w:pPr>
            <w:r>
              <w:rPr>
                <w:rFonts w:hint="default" w:ascii="Times New Roman" w:hAnsi="Times New Roman" w:cs="Times New Roman"/>
                <w:color w:val="auto"/>
                <w:sz w:val="21"/>
                <w:szCs w:val="22"/>
                <w:highlight w:val="none"/>
              </w:rPr>
              <w:t>根据《建设项目环境风险评价技术导则》（HJ169-2018）表B.1突发环境事件风险物质及临界量、表B.2其他危险物质临界量推荐值，以及《危险化学品重大危险源辨识》（GB18218-2018），计算所涉及的每种危险物质在厂界内的最大存在总量与其附录B中对应临界量的比值Q。</w:t>
            </w:r>
          </w:p>
          <w:p w14:paraId="4A137860">
            <w:pPr>
              <w:keepNext w:val="0"/>
              <w:keepLines w:val="0"/>
              <w:suppressLineNumbers w:val="0"/>
              <w:adjustRightInd w:val="0"/>
              <w:snapToGrid w:val="0"/>
              <w:spacing w:before="0" w:beforeAutospacing="0" w:after="0" w:afterAutospacing="0" w:line="360" w:lineRule="auto"/>
              <w:ind w:left="0" w:right="0" w:firstLine="420" w:firstLineChars="200"/>
              <w:rPr>
                <w:rFonts w:hint="default" w:ascii="Times New Roman" w:hAnsi="Times New Roman" w:cs="Times New Roman"/>
                <w:color w:val="auto"/>
                <w:sz w:val="21"/>
                <w:szCs w:val="22"/>
                <w:highlight w:val="none"/>
              </w:rPr>
            </w:pPr>
            <w:r>
              <w:rPr>
                <w:rFonts w:hint="default" w:ascii="Times New Roman" w:hAnsi="Times New Roman" w:cs="Times New Roman"/>
                <w:color w:val="auto"/>
                <w:sz w:val="21"/>
                <w:szCs w:val="22"/>
                <w:highlight w:val="none"/>
              </w:rPr>
              <w:t>当只涉及一种危险物质时，计算该物质的总量与其临界量比值，即为Q；当存在多种危险物质时，则按照下式计算物质总量与其临界量比值Q：</w:t>
            </w:r>
          </w:p>
          <w:p w14:paraId="61D0D3F6">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cs="Times New Roman"/>
                <w:color w:val="auto"/>
                <w:sz w:val="21"/>
                <w:szCs w:val="22"/>
                <w:highlight w:val="none"/>
              </w:rPr>
            </w:pPr>
            <m:oMathPara>
              <m:oMath>
                <m:r>
                  <m:rPr>
                    <m:sty m:val="p"/>
                  </m:rPr>
                  <w:rPr>
                    <w:rFonts w:hint="default" w:ascii="Times New Roman" w:hAnsi="Times New Roman" w:cs="Times New Roman"/>
                    <w:color w:val="auto"/>
                    <w:kern w:val="0"/>
                    <w:sz w:val="21"/>
                    <w:szCs w:val="22"/>
                    <w:highlight w:val="none"/>
                  </w:rPr>
                  <m:t>Q=</m:t>
                </m:r>
                <m:nary>
                  <m:naryPr>
                    <m:chr m:val="∑"/>
                    <m:limLoc m:val="undOvr"/>
                    <m:subHide m:val="1"/>
                    <m:supHide m:val="1"/>
                    <m:ctrlPr>
                      <w:rPr>
                        <w:rFonts w:hint="default" w:ascii="Cambria Math" w:hAnsi="Cambria Math" w:cs="Times New Roman"/>
                        <w:color w:val="auto"/>
                        <w:kern w:val="0"/>
                        <w:sz w:val="21"/>
                        <w:szCs w:val="22"/>
                        <w:highlight w:val="none"/>
                      </w:rPr>
                    </m:ctrlPr>
                  </m:naryPr>
                  <m:sub>
                    <m:ctrlPr>
                      <w:rPr>
                        <w:rFonts w:hint="default" w:ascii="Cambria Math" w:hAnsi="Cambria Math" w:cs="Times New Roman"/>
                        <w:color w:val="auto"/>
                        <w:sz w:val="21"/>
                        <w:szCs w:val="22"/>
                        <w:highlight w:val="none"/>
                      </w:rPr>
                    </m:ctrlPr>
                  </m:sub>
                  <m:sup>
                    <m:ctrlPr>
                      <w:rPr>
                        <w:rFonts w:hint="default" w:ascii="Cambria Math" w:hAnsi="Cambria Math" w:cs="Times New Roman"/>
                        <w:color w:val="auto"/>
                        <w:sz w:val="21"/>
                        <w:szCs w:val="22"/>
                        <w:highlight w:val="none"/>
                      </w:rPr>
                    </m:ctrlPr>
                  </m:sup>
                  <m:e>
                    <m:f>
                      <m:fPr>
                        <m:ctrlPr>
                          <w:rPr>
                            <w:rFonts w:hint="default" w:ascii="Cambria Math" w:hAnsi="Cambria Math" w:cs="Times New Roman"/>
                            <w:color w:val="auto"/>
                            <w:kern w:val="0"/>
                            <w:sz w:val="21"/>
                            <w:szCs w:val="22"/>
                            <w:highlight w:val="none"/>
                          </w:rPr>
                        </m:ctrlPr>
                      </m:fPr>
                      <m:num>
                        <m:sSub>
                          <m:sSubPr>
                            <m:ctrlPr>
                              <w:rPr>
                                <w:rFonts w:hint="default" w:ascii="Cambria Math" w:hAnsi="Cambria Math" w:cs="Times New Roman"/>
                                <w:color w:val="auto"/>
                                <w:kern w:val="0"/>
                                <w:sz w:val="21"/>
                                <w:szCs w:val="22"/>
                                <w:highlight w:val="none"/>
                              </w:rPr>
                            </m:ctrlPr>
                          </m:sSubPr>
                          <m:e>
                            <m:r>
                              <m:rPr>
                                <m:sty m:val="p"/>
                              </m:rPr>
                              <w:rPr>
                                <w:rFonts w:hint="default" w:ascii="Times New Roman" w:hAnsi="Times New Roman" w:cs="Times New Roman"/>
                                <w:color w:val="auto"/>
                                <w:kern w:val="0"/>
                                <w:sz w:val="21"/>
                                <w:szCs w:val="22"/>
                                <w:highlight w:val="none"/>
                              </w:rPr>
                              <m:t>q</m:t>
                            </m:r>
                            <m:ctrlPr>
                              <w:rPr>
                                <w:rFonts w:hint="default" w:ascii="Cambria Math" w:hAnsi="Cambria Math" w:cs="Times New Roman"/>
                                <w:color w:val="auto"/>
                                <w:sz w:val="21"/>
                                <w:szCs w:val="22"/>
                                <w:highlight w:val="none"/>
                              </w:rPr>
                            </m:ctrlPr>
                          </m:e>
                          <m:sub>
                            <m:r>
                              <m:rPr>
                                <m:sty m:val="p"/>
                              </m:rPr>
                              <w:rPr>
                                <w:rFonts w:hint="default" w:ascii="Times New Roman" w:hAnsi="Times New Roman" w:cs="Times New Roman"/>
                                <w:color w:val="auto"/>
                                <w:kern w:val="0"/>
                                <w:sz w:val="21"/>
                                <w:szCs w:val="22"/>
                                <w:highlight w:val="none"/>
                              </w:rPr>
                              <m:t>i</m:t>
                            </m:r>
                            <m:ctrlPr>
                              <w:rPr>
                                <w:rFonts w:hint="default" w:ascii="Cambria Math" w:hAnsi="Cambria Math" w:cs="Times New Roman"/>
                                <w:color w:val="auto"/>
                                <w:sz w:val="21"/>
                                <w:szCs w:val="22"/>
                                <w:highlight w:val="none"/>
                              </w:rPr>
                            </m:ctrlPr>
                          </m:sub>
                        </m:sSub>
                        <m:ctrlPr>
                          <w:rPr>
                            <w:rFonts w:hint="default" w:ascii="Cambria Math" w:hAnsi="Cambria Math" w:cs="Times New Roman"/>
                            <w:color w:val="auto"/>
                            <w:kern w:val="0"/>
                            <w:sz w:val="21"/>
                            <w:szCs w:val="22"/>
                            <w:highlight w:val="none"/>
                          </w:rPr>
                        </m:ctrlPr>
                      </m:num>
                      <m:den>
                        <m:sSub>
                          <m:sSubPr>
                            <m:ctrlPr>
                              <w:rPr>
                                <w:rFonts w:hint="default" w:ascii="Cambria Math" w:hAnsi="Cambria Math" w:cs="Times New Roman"/>
                                <w:color w:val="auto"/>
                                <w:kern w:val="0"/>
                                <w:sz w:val="21"/>
                                <w:szCs w:val="22"/>
                                <w:highlight w:val="none"/>
                              </w:rPr>
                            </m:ctrlPr>
                          </m:sSubPr>
                          <m:e>
                            <m:r>
                              <m:rPr>
                                <m:sty m:val="p"/>
                              </m:rPr>
                              <w:rPr>
                                <w:rFonts w:hint="default" w:ascii="Times New Roman" w:hAnsi="Times New Roman" w:cs="Times New Roman"/>
                                <w:color w:val="auto"/>
                                <w:kern w:val="0"/>
                                <w:sz w:val="21"/>
                                <w:szCs w:val="22"/>
                                <w:highlight w:val="none"/>
                              </w:rPr>
                              <m:t>Q</m:t>
                            </m:r>
                            <m:ctrlPr>
                              <w:rPr>
                                <w:rFonts w:hint="default" w:ascii="Cambria Math" w:hAnsi="Cambria Math" w:cs="Times New Roman"/>
                                <w:color w:val="auto"/>
                                <w:sz w:val="21"/>
                                <w:szCs w:val="22"/>
                                <w:highlight w:val="none"/>
                              </w:rPr>
                            </m:ctrlPr>
                          </m:e>
                          <m:sub>
                            <m:r>
                              <m:rPr>
                                <m:sty m:val="p"/>
                              </m:rPr>
                              <w:rPr>
                                <w:rFonts w:hint="default" w:ascii="Times New Roman" w:hAnsi="Times New Roman" w:cs="Times New Roman"/>
                                <w:color w:val="auto"/>
                                <w:kern w:val="0"/>
                                <w:sz w:val="21"/>
                                <w:szCs w:val="22"/>
                                <w:highlight w:val="none"/>
                              </w:rPr>
                              <m:t>i</m:t>
                            </m:r>
                            <m:ctrlPr>
                              <w:rPr>
                                <w:rFonts w:hint="default" w:ascii="Cambria Math" w:hAnsi="Cambria Math" w:cs="Times New Roman"/>
                                <w:color w:val="auto"/>
                                <w:sz w:val="21"/>
                                <w:szCs w:val="22"/>
                                <w:highlight w:val="none"/>
                              </w:rPr>
                            </m:ctrlPr>
                          </m:sub>
                        </m:sSub>
                        <m:ctrlPr>
                          <w:rPr>
                            <w:rFonts w:hint="default" w:ascii="Cambria Math" w:hAnsi="Cambria Math" w:cs="Times New Roman"/>
                            <w:color w:val="auto"/>
                            <w:kern w:val="0"/>
                            <w:sz w:val="21"/>
                            <w:szCs w:val="22"/>
                            <w:highlight w:val="none"/>
                          </w:rPr>
                        </m:ctrlPr>
                      </m:den>
                    </m:f>
                    <m:r>
                      <m:rPr>
                        <m:sty m:val="p"/>
                      </m:rPr>
                      <w:rPr>
                        <w:rFonts w:hint="default" w:ascii="Times New Roman" w:hAnsi="Times New Roman" w:cs="Times New Roman"/>
                        <w:color w:val="auto"/>
                        <w:kern w:val="0"/>
                        <w:sz w:val="21"/>
                        <w:szCs w:val="22"/>
                        <w:highlight w:val="none"/>
                      </w:rPr>
                      <m:t>=</m:t>
                    </m:r>
                    <m:ctrlPr>
                      <w:rPr>
                        <w:rFonts w:hint="default" w:ascii="Cambria Math" w:hAnsi="Cambria Math" w:cs="Times New Roman"/>
                        <w:color w:val="auto"/>
                        <w:kern w:val="0"/>
                        <w:sz w:val="21"/>
                        <w:szCs w:val="22"/>
                        <w:highlight w:val="none"/>
                      </w:rPr>
                    </m:ctrlPr>
                  </m:e>
                </m:nary>
                <m:f>
                  <m:fPr>
                    <m:ctrlPr>
                      <w:rPr>
                        <w:rFonts w:hint="default" w:ascii="Cambria Math" w:hAnsi="Cambria Math" w:cs="Times New Roman"/>
                        <w:color w:val="auto"/>
                        <w:kern w:val="0"/>
                        <w:sz w:val="21"/>
                        <w:szCs w:val="22"/>
                        <w:highlight w:val="none"/>
                      </w:rPr>
                    </m:ctrlPr>
                  </m:fPr>
                  <m:num>
                    <m:sSub>
                      <m:sSubPr>
                        <m:ctrlPr>
                          <w:rPr>
                            <w:rFonts w:hint="default" w:ascii="Cambria Math" w:hAnsi="Cambria Math" w:cs="Times New Roman"/>
                            <w:color w:val="auto"/>
                            <w:kern w:val="0"/>
                            <w:sz w:val="21"/>
                            <w:szCs w:val="22"/>
                            <w:highlight w:val="none"/>
                          </w:rPr>
                        </m:ctrlPr>
                      </m:sSubPr>
                      <m:e>
                        <m:r>
                          <m:rPr>
                            <m:sty m:val="p"/>
                          </m:rPr>
                          <w:rPr>
                            <w:rFonts w:hint="default" w:ascii="Times New Roman" w:hAnsi="Times New Roman" w:cs="Times New Roman"/>
                            <w:color w:val="auto"/>
                            <w:kern w:val="0"/>
                            <w:sz w:val="21"/>
                            <w:szCs w:val="22"/>
                            <w:highlight w:val="none"/>
                          </w:rPr>
                          <m:t>q</m:t>
                        </m:r>
                        <m:ctrlPr>
                          <w:rPr>
                            <w:rFonts w:hint="default" w:ascii="Cambria Math" w:hAnsi="Cambria Math" w:cs="Times New Roman"/>
                            <w:color w:val="auto"/>
                            <w:kern w:val="0"/>
                            <w:sz w:val="21"/>
                            <w:szCs w:val="22"/>
                            <w:highlight w:val="none"/>
                          </w:rPr>
                        </m:ctrlPr>
                      </m:e>
                      <m:sub>
                        <m:r>
                          <m:rPr>
                            <m:sty m:val="p"/>
                          </m:rPr>
                          <w:rPr>
                            <w:rFonts w:hint="default" w:ascii="Times New Roman" w:hAnsi="Times New Roman" w:cs="Times New Roman"/>
                            <w:color w:val="auto"/>
                            <w:kern w:val="0"/>
                            <w:sz w:val="21"/>
                            <w:szCs w:val="22"/>
                            <w:highlight w:val="none"/>
                          </w:rPr>
                          <m:t>1</m:t>
                        </m:r>
                        <m:ctrlPr>
                          <w:rPr>
                            <w:rFonts w:hint="default" w:ascii="Cambria Math" w:hAnsi="Cambria Math" w:cs="Times New Roman"/>
                            <w:color w:val="auto"/>
                            <w:kern w:val="0"/>
                            <w:sz w:val="21"/>
                            <w:szCs w:val="22"/>
                            <w:highlight w:val="none"/>
                          </w:rPr>
                        </m:ctrlPr>
                      </m:sub>
                    </m:sSub>
                    <m:ctrlPr>
                      <w:rPr>
                        <w:rFonts w:hint="default" w:ascii="Cambria Math" w:hAnsi="Cambria Math" w:cs="Times New Roman"/>
                        <w:color w:val="auto"/>
                        <w:kern w:val="0"/>
                        <w:sz w:val="21"/>
                        <w:szCs w:val="22"/>
                        <w:highlight w:val="none"/>
                      </w:rPr>
                    </m:ctrlPr>
                  </m:num>
                  <m:den>
                    <m:sSub>
                      <m:sSubPr>
                        <m:ctrlPr>
                          <w:rPr>
                            <w:rFonts w:hint="default" w:ascii="Cambria Math" w:hAnsi="Cambria Math" w:cs="Times New Roman"/>
                            <w:color w:val="auto"/>
                            <w:kern w:val="0"/>
                            <w:sz w:val="21"/>
                            <w:szCs w:val="22"/>
                            <w:highlight w:val="none"/>
                          </w:rPr>
                        </m:ctrlPr>
                      </m:sSubPr>
                      <m:e>
                        <m:r>
                          <m:rPr>
                            <m:sty m:val="p"/>
                          </m:rPr>
                          <w:rPr>
                            <w:rFonts w:hint="default" w:ascii="Times New Roman" w:hAnsi="Times New Roman" w:cs="Times New Roman"/>
                            <w:color w:val="auto"/>
                            <w:kern w:val="0"/>
                            <w:sz w:val="21"/>
                            <w:szCs w:val="22"/>
                            <w:highlight w:val="none"/>
                          </w:rPr>
                          <m:t>Q</m:t>
                        </m:r>
                        <m:ctrlPr>
                          <w:rPr>
                            <w:rFonts w:hint="default" w:ascii="Cambria Math" w:hAnsi="Cambria Math" w:cs="Times New Roman"/>
                            <w:color w:val="auto"/>
                            <w:kern w:val="0"/>
                            <w:sz w:val="21"/>
                            <w:szCs w:val="22"/>
                            <w:highlight w:val="none"/>
                          </w:rPr>
                        </m:ctrlPr>
                      </m:e>
                      <m:sub>
                        <m:r>
                          <m:rPr>
                            <m:sty m:val="p"/>
                          </m:rPr>
                          <w:rPr>
                            <w:rFonts w:hint="default" w:ascii="Times New Roman" w:hAnsi="Times New Roman" w:cs="Times New Roman"/>
                            <w:color w:val="auto"/>
                            <w:kern w:val="0"/>
                            <w:sz w:val="21"/>
                            <w:szCs w:val="22"/>
                            <w:highlight w:val="none"/>
                          </w:rPr>
                          <m:t>1</m:t>
                        </m:r>
                        <m:ctrlPr>
                          <w:rPr>
                            <w:rFonts w:hint="default" w:ascii="Cambria Math" w:hAnsi="Cambria Math" w:cs="Times New Roman"/>
                            <w:color w:val="auto"/>
                            <w:kern w:val="0"/>
                            <w:sz w:val="21"/>
                            <w:szCs w:val="22"/>
                            <w:highlight w:val="none"/>
                          </w:rPr>
                        </m:ctrlPr>
                      </m:sub>
                    </m:sSub>
                    <m:ctrlPr>
                      <w:rPr>
                        <w:rFonts w:hint="default" w:ascii="Cambria Math" w:hAnsi="Cambria Math" w:cs="Times New Roman"/>
                        <w:color w:val="auto"/>
                        <w:kern w:val="0"/>
                        <w:sz w:val="21"/>
                        <w:szCs w:val="22"/>
                        <w:highlight w:val="none"/>
                      </w:rPr>
                    </m:ctrlPr>
                  </m:den>
                </m:f>
                <m:r>
                  <m:rPr>
                    <m:sty m:val="p"/>
                  </m:rPr>
                  <w:rPr>
                    <w:rFonts w:hint="default" w:ascii="Times New Roman" w:hAnsi="Times New Roman" w:cs="Times New Roman"/>
                    <w:color w:val="auto"/>
                    <w:kern w:val="0"/>
                    <w:sz w:val="21"/>
                    <w:szCs w:val="22"/>
                    <w:highlight w:val="none"/>
                  </w:rPr>
                  <m:t>+</m:t>
                </m:r>
                <m:f>
                  <m:fPr>
                    <m:ctrlPr>
                      <w:rPr>
                        <w:rFonts w:hint="default" w:ascii="Cambria Math" w:hAnsi="Cambria Math" w:cs="Times New Roman"/>
                        <w:color w:val="auto"/>
                        <w:kern w:val="0"/>
                        <w:sz w:val="21"/>
                        <w:szCs w:val="22"/>
                        <w:highlight w:val="none"/>
                      </w:rPr>
                    </m:ctrlPr>
                  </m:fPr>
                  <m:num>
                    <m:sSub>
                      <m:sSubPr>
                        <m:ctrlPr>
                          <w:rPr>
                            <w:rFonts w:hint="default" w:ascii="Cambria Math" w:hAnsi="Cambria Math" w:cs="Times New Roman"/>
                            <w:color w:val="auto"/>
                            <w:kern w:val="0"/>
                            <w:sz w:val="21"/>
                            <w:szCs w:val="22"/>
                            <w:highlight w:val="none"/>
                          </w:rPr>
                        </m:ctrlPr>
                      </m:sSubPr>
                      <m:e>
                        <m:r>
                          <m:rPr>
                            <m:sty m:val="p"/>
                          </m:rPr>
                          <w:rPr>
                            <w:rFonts w:hint="default" w:ascii="Times New Roman" w:hAnsi="Times New Roman" w:cs="Times New Roman"/>
                            <w:color w:val="auto"/>
                            <w:kern w:val="0"/>
                            <w:sz w:val="21"/>
                            <w:szCs w:val="22"/>
                            <w:highlight w:val="none"/>
                          </w:rPr>
                          <m:t>q</m:t>
                        </m:r>
                        <m:ctrlPr>
                          <w:rPr>
                            <w:rFonts w:hint="default" w:ascii="Cambria Math" w:hAnsi="Cambria Math" w:cs="Times New Roman"/>
                            <w:color w:val="auto"/>
                            <w:kern w:val="0"/>
                            <w:sz w:val="21"/>
                            <w:szCs w:val="22"/>
                            <w:highlight w:val="none"/>
                          </w:rPr>
                        </m:ctrlPr>
                      </m:e>
                      <m:sub>
                        <m:r>
                          <m:rPr>
                            <m:sty m:val="p"/>
                          </m:rPr>
                          <w:rPr>
                            <w:rFonts w:hint="default" w:ascii="Times New Roman" w:hAnsi="Times New Roman" w:cs="Times New Roman"/>
                            <w:color w:val="auto"/>
                            <w:kern w:val="0"/>
                            <w:sz w:val="21"/>
                            <w:szCs w:val="22"/>
                            <w:highlight w:val="none"/>
                          </w:rPr>
                          <m:t>2</m:t>
                        </m:r>
                        <m:ctrlPr>
                          <w:rPr>
                            <w:rFonts w:hint="default" w:ascii="Cambria Math" w:hAnsi="Cambria Math" w:cs="Times New Roman"/>
                            <w:color w:val="auto"/>
                            <w:kern w:val="0"/>
                            <w:sz w:val="21"/>
                            <w:szCs w:val="22"/>
                            <w:highlight w:val="none"/>
                          </w:rPr>
                        </m:ctrlPr>
                      </m:sub>
                    </m:sSub>
                    <m:ctrlPr>
                      <w:rPr>
                        <w:rFonts w:hint="default" w:ascii="Cambria Math" w:hAnsi="Cambria Math" w:cs="Times New Roman"/>
                        <w:color w:val="auto"/>
                        <w:kern w:val="0"/>
                        <w:sz w:val="21"/>
                        <w:szCs w:val="22"/>
                        <w:highlight w:val="none"/>
                      </w:rPr>
                    </m:ctrlPr>
                  </m:num>
                  <m:den>
                    <m:sSub>
                      <m:sSubPr>
                        <m:ctrlPr>
                          <w:rPr>
                            <w:rFonts w:hint="default" w:ascii="Cambria Math" w:hAnsi="Cambria Math" w:cs="Times New Roman"/>
                            <w:color w:val="auto"/>
                            <w:kern w:val="0"/>
                            <w:sz w:val="21"/>
                            <w:szCs w:val="22"/>
                            <w:highlight w:val="none"/>
                          </w:rPr>
                        </m:ctrlPr>
                      </m:sSubPr>
                      <m:e>
                        <m:r>
                          <m:rPr>
                            <m:sty m:val="p"/>
                          </m:rPr>
                          <w:rPr>
                            <w:rFonts w:hint="default" w:ascii="Times New Roman" w:hAnsi="Times New Roman" w:cs="Times New Roman"/>
                            <w:color w:val="auto"/>
                            <w:kern w:val="0"/>
                            <w:sz w:val="21"/>
                            <w:szCs w:val="22"/>
                            <w:highlight w:val="none"/>
                          </w:rPr>
                          <m:t>Q</m:t>
                        </m:r>
                        <m:ctrlPr>
                          <w:rPr>
                            <w:rFonts w:hint="default" w:ascii="Cambria Math" w:hAnsi="Cambria Math" w:cs="Times New Roman"/>
                            <w:color w:val="auto"/>
                            <w:kern w:val="0"/>
                            <w:sz w:val="21"/>
                            <w:szCs w:val="22"/>
                            <w:highlight w:val="none"/>
                          </w:rPr>
                        </m:ctrlPr>
                      </m:e>
                      <m:sub>
                        <m:r>
                          <m:rPr>
                            <m:sty m:val="p"/>
                          </m:rPr>
                          <w:rPr>
                            <w:rFonts w:hint="default" w:ascii="Times New Roman" w:hAnsi="Times New Roman" w:cs="Times New Roman"/>
                            <w:color w:val="auto"/>
                            <w:kern w:val="0"/>
                            <w:sz w:val="21"/>
                            <w:szCs w:val="22"/>
                            <w:highlight w:val="none"/>
                          </w:rPr>
                          <m:t>2</m:t>
                        </m:r>
                        <m:ctrlPr>
                          <w:rPr>
                            <w:rFonts w:hint="default" w:ascii="Cambria Math" w:hAnsi="Cambria Math" w:cs="Times New Roman"/>
                            <w:color w:val="auto"/>
                            <w:kern w:val="0"/>
                            <w:sz w:val="21"/>
                            <w:szCs w:val="22"/>
                            <w:highlight w:val="none"/>
                          </w:rPr>
                        </m:ctrlPr>
                      </m:sub>
                    </m:sSub>
                    <m:ctrlPr>
                      <w:rPr>
                        <w:rFonts w:hint="default" w:ascii="Cambria Math" w:hAnsi="Cambria Math" w:cs="Times New Roman"/>
                        <w:color w:val="auto"/>
                        <w:kern w:val="0"/>
                        <w:sz w:val="21"/>
                        <w:szCs w:val="22"/>
                        <w:highlight w:val="none"/>
                      </w:rPr>
                    </m:ctrlPr>
                  </m:den>
                </m:f>
                <m:r>
                  <m:rPr>
                    <m:sty m:val="p"/>
                  </m:rPr>
                  <w:rPr>
                    <w:rFonts w:hint="default" w:ascii="Times New Roman" w:hAnsi="Times New Roman" w:cs="Times New Roman"/>
                    <w:color w:val="auto"/>
                    <w:kern w:val="0"/>
                    <w:sz w:val="21"/>
                    <w:szCs w:val="22"/>
                    <w:highlight w:val="none"/>
                  </w:rPr>
                  <m:t>+…</m:t>
                </m:r>
                <m:f>
                  <m:fPr>
                    <m:ctrlPr>
                      <w:rPr>
                        <w:rFonts w:hint="default" w:ascii="Cambria Math" w:hAnsi="Cambria Math" w:cs="Times New Roman"/>
                        <w:color w:val="auto"/>
                        <w:kern w:val="0"/>
                        <w:sz w:val="21"/>
                        <w:szCs w:val="22"/>
                        <w:highlight w:val="none"/>
                      </w:rPr>
                    </m:ctrlPr>
                  </m:fPr>
                  <m:num>
                    <m:sSub>
                      <m:sSubPr>
                        <m:ctrlPr>
                          <w:rPr>
                            <w:rFonts w:hint="default" w:ascii="Cambria Math" w:hAnsi="Cambria Math" w:cs="Times New Roman"/>
                            <w:color w:val="auto"/>
                            <w:kern w:val="0"/>
                            <w:sz w:val="21"/>
                            <w:szCs w:val="22"/>
                            <w:highlight w:val="none"/>
                          </w:rPr>
                        </m:ctrlPr>
                      </m:sSubPr>
                      <m:e>
                        <m:r>
                          <m:rPr>
                            <m:sty m:val="p"/>
                          </m:rPr>
                          <w:rPr>
                            <w:rFonts w:hint="default" w:ascii="Times New Roman" w:hAnsi="Times New Roman" w:cs="Times New Roman"/>
                            <w:color w:val="auto"/>
                            <w:kern w:val="0"/>
                            <w:sz w:val="21"/>
                            <w:szCs w:val="22"/>
                            <w:highlight w:val="none"/>
                          </w:rPr>
                          <m:t>q</m:t>
                        </m:r>
                        <m:ctrlPr>
                          <w:rPr>
                            <w:rFonts w:hint="default" w:ascii="Cambria Math" w:hAnsi="Cambria Math" w:cs="Times New Roman"/>
                            <w:color w:val="auto"/>
                            <w:kern w:val="0"/>
                            <w:sz w:val="21"/>
                            <w:szCs w:val="22"/>
                            <w:highlight w:val="none"/>
                          </w:rPr>
                        </m:ctrlPr>
                      </m:e>
                      <m:sub>
                        <m:r>
                          <m:rPr>
                            <m:sty m:val="p"/>
                          </m:rPr>
                          <w:rPr>
                            <w:rFonts w:hint="default" w:ascii="Times New Roman" w:hAnsi="Times New Roman" w:cs="Times New Roman"/>
                            <w:color w:val="auto"/>
                            <w:kern w:val="0"/>
                            <w:sz w:val="21"/>
                            <w:szCs w:val="22"/>
                            <w:highlight w:val="none"/>
                          </w:rPr>
                          <m:t>n</m:t>
                        </m:r>
                        <m:ctrlPr>
                          <w:rPr>
                            <w:rFonts w:hint="default" w:ascii="Cambria Math" w:hAnsi="Cambria Math" w:cs="Times New Roman"/>
                            <w:color w:val="auto"/>
                            <w:kern w:val="0"/>
                            <w:sz w:val="21"/>
                            <w:szCs w:val="22"/>
                            <w:highlight w:val="none"/>
                          </w:rPr>
                        </m:ctrlPr>
                      </m:sub>
                    </m:sSub>
                    <m:ctrlPr>
                      <w:rPr>
                        <w:rFonts w:hint="default" w:ascii="Cambria Math" w:hAnsi="Cambria Math" w:cs="Times New Roman"/>
                        <w:color w:val="auto"/>
                        <w:kern w:val="0"/>
                        <w:sz w:val="21"/>
                        <w:szCs w:val="22"/>
                        <w:highlight w:val="none"/>
                      </w:rPr>
                    </m:ctrlPr>
                  </m:num>
                  <m:den>
                    <m:sSub>
                      <m:sSubPr>
                        <m:ctrlPr>
                          <w:rPr>
                            <w:rFonts w:hint="default" w:ascii="Cambria Math" w:hAnsi="Cambria Math" w:cs="Times New Roman"/>
                            <w:color w:val="auto"/>
                            <w:kern w:val="0"/>
                            <w:sz w:val="21"/>
                            <w:szCs w:val="22"/>
                            <w:highlight w:val="none"/>
                          </w:rPr>
                        </m:ctrlPr>
                      </m:sSubPr>
                      <m:e>
                        <m:r>
                          <m:rPr>
                            <m:sty m:val="p"/>
                          </m:rPr>
                          <w:rPr>
                            <w:rFonts w:hint="default" w:ascii="Times New Roman" w:hAnsi="Times New Roman" w:cs="Times New Roman"/>
                            <w:color w:val="auto"/>
                            <w:kern w:val="0"/>
                            <w:sz w:val="21"/>
                            <w:szCs w:val="22"/>
                            <w:highlight w:val="none"/>
                          </w:rPr>
                          <m:t>Q</m:t>
                        </m:r>
                        <m:ctrlPr>
                          <w:rPr>
                            <w:rFonts w:hint="default" w:ascii="Cambria Math" w:hAnsi="Cambria Math" w:cs="Times New Roman"/>
                            <w:color w:val="auto"/>
                            <w:kern w:val="0"/>
                            <w:sz w:val="21"/>
                            <w:szCs w:val="22"/>
                            <w:highlight w:val="none"/>
                          </w:rPr>
                        </m:ctrlPr>
                      </m:e>
                      <m:sub>
                        <m:r>
                          <m:rPr>
                            <m:sty m:val="p"/>
                          </m:rPr>
                          <w:rPr>
                            <w:rFonts w:hint="default" w:ascii="Times New Roman" w:hAnsi="Times New Roman" w:cs="Times New Roman"/>
                            <w:color w:val="auto"/>
                            <w:kern w:val="0"/>
                            <w:sz w:val="21"/>
                            <w:szCs w:val="22"/>
                            <w:highlight w:val="none"/>
                          </w:rPr>
                          <m:t>n</m:t>
                        </m:r>
                        <m:ctrlPr>
                          <w:rPr>
                            <w:rFonts w:hint="default" w:ascii="Cambria Math" w:hAnsi="Cambria Math" w:cs="Times New Roman"/>
                            <w:color w:val="auto"/>
                            <w:kern w:val="0"/>
                            <w:sz w:val="21"/>
                            <w:szCs w:val="22"/>
                            <w:highlight w:val="none"/>
                          </w:rPr>
                        </m:ctrlPr>
                      </m:sub>
                    </m:sSub>
                    <m:ctrlPr>
                      <w:rPr>
                        <w:rFonts w:hint="default" w:ascii="Cambria Math" w:hAnsi="Cambria Math" w:cs="Times New Roman"/>
                        <w:color w:val="auto"/>
                        <w:kern w:val="0"/>
                        <w:sz w:val="21"/>
                        <w:szCs w:val="22"/>
                        <w:highlight w:val="none"/>
                      </w:rPr>
                    </m:ctrlPr>
                  </m:den>
                </m:f>
              </m:oMath>
            </m:oMathPara>
          </w:p>
          <w:p w14:paraId="10B747A4">
            <w:pPr>
              <w:keepNext w:val="0"/>
              <w:keepLines w:val="0"/>
              <w:suppressLineNumbers w:val="0"/>
              <w:adjustRightInd w:val="0"/>
              <w:snapToGrid w:val="0"/>
              <w:spacing w:before="0" w:beforeAutospacing="0" w:after="0" w:afterAutospacing="0" w:line="360" w:lineRule="auto"/>
              <w:ind w:left="0" w:right="0" w:firstLine="420" w:firstLineChars="200"/>
              <w:rPr>
                <w:rFonts w:hint="default" w:ascii="Times New Roman" w:hAnsi="Times New Roman" w:cs="Times New Roman"/>
                <w:color w:val="auto"/>
                <w:sz w:val="21"/>
                <w:szCs w:val="22"/>
                <w:highlight w:val="none"/>
              </w:rPr>
            </w:pPr>
            <w:r>
              <w:rPr>
                <w:rFonts w:hint="default" w:ascii="Times New Roman" w:hAnsi="Times New Roman" w:cs="Times New Roman"/>
                <w:color w:val="auto"/>
                <w:sz w:val="21"/>
                <w:szCs w:val="22"/>
                <w:highlight w:val="none"/>
              </w:rPr>
              <w:t>式中：q1，q2</w:t>
            </w:r>
            <w:r>
              <w:rPr>
                <w:rFonts w:hint="default" w:ascii="Times New Roman" w:hAnsi="Times New Roman" w:cs="Times New Roman"/>
                <w:color w:val="auto"/>
                <w:sz w:val="21"/>
                <w:szCs w:val="22"/>
                <w:highlight w:val="none"/>
              </w:rPr>
              <w:fldChar w:fldCharType="begin"/>
            </w:r>
            <w:r>
              <w:rPr>
                <w:rFonts w:hint="default" w:ascii="Times New Roman" w:hAnsi="Times New Roman" w:cs="Times New Roman"/>
                <w:color w:val="auto"/>
                <w:sz w:val="21"/>
                <w:szCs w:val="22"/>
                <w:highlight w:val="none"/>
              </w:rPr>
              <w:instrText xml:space="preserve"> QUOTE </w:instrText>
            </w:r>
            <w:r>
              <w:rPr>
                <w:rFonts w:hint="default" w:ascii="Times New Roman" w:hAnsi="Times New Roman" w:cs="Times New Roman"/>
                <w:color w:val="auto"/>
                <w:sz w:val="21"/>
                <w:szCs w:val="22"/>
                <w:highlight w:val="none"/>
              </w:rPr>
              <w:pict>
                <v:shape id="_x0000_i1025" o:spt="75" type="#_x0000_t75" style="height:14.25pt;width:20.25pt;" filled="f" stroked="f" coordsize="21600,21600" equationxml="&lt;?xml version=&quot;1.0&quot; encoding=&quot;UTF-8&quot; standalone=&quot;yes&quot;?&gt;&#13;&#10;&lt;?mso-application progid=&quot;Word.Document&quot;?&gt;&#13;&#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stylePaneFormatFilter w:val=&quot;3F01&quot;/&gt;&lt;w:defaultTabStop w:val=&quot;420&quot;/&gt;&lt;w:drawingGridHorizontalSpacing w:val=&quot;105&quot;/&gt;&lt;w:drawingGridVerticalSpacing w:val=&quot;156&quot;/&gt;&lt;w:characterSpacingControl w:val=&quot;CompressPunctuation&quot;/&gt;&lt;w:webPageEncoding w:val=&quot;x-cp20936&quot;/&gt;&lt;w:optimizeForBrowser/&gt;&lt;w:validateAgainstSchema/&gt;&lt;w:saveInvalidXML w:val=&quot;off&quot;/&gt;&lt;w:ignoreMixedContent w:val=&quot;off&quot;/&gt;&lt;w:alwaysShowPlaceholderText w:val=&quot;off&quot;/&gt;&lt;w:compat&gt;&lt;w:spaceForUL/&gt;&lt;w:balanceSingleByteDoubleByteWidth/&gt;&lt;w:doNotLeaveBackslashAlone/&gt;&lt;w:doNotExpandShiftReturn/&gt;&lt;w:adjustLineHeightInTable/&gt;&lt;w:breakWrappedTables/&gt;&lt;w:snapToGridInCell/&gt;&lt;w:dontGrowAutofit/&gt;&lt;w:useFELayout/&gt;&lt;/w:compat&gt;&lt;wsp:rsids&gt;&lt;wsp:rsidRoot wsp:val=&quot;005D01AC&quot;/&gt;&lt;wsp:rsid wsp:val=&quot;000008C9&quot;/&gt;&lt;wsp:rsid wsp:val=&quot;00000A1F&quot;/&gt;&lt;wsp:rsid wsp:val=&quot;00000CB6&quot;/&gt;&lt;wsp:rsid wsp:val=&quot;000011FD&quot;/&gt;&lt;wsp:rsid wsp:val=&quot;0000207E&quot;/&gt;&lt;wsp:rsid wsp:val=&quot;000046B3&quot;/&gt;&lt;wsp:rsid wsp:val=&quot;000064F5&quot;/&gt;&lt;wsp:rsid wsp:val=&quot;0000797E&quot;/&gt;&lt;wsp:rsid wsp:val=&quot;0001047A&quot;/&gt;&lt;wsp:rsid wsp:val=&quot;00012460&quot;/&gt;&lt;wsp:rsid wsp:val=&quot;00016F18&quot;/&gt;&lt;wsp:rsid wsp:val=&quot;00017180&quot;/&gt;&lt;wsp:rsid wsp:val=&quot;0001755A&quot;/&gt;&lt;wsp:rsid wsp:val=&quot;0002110C&quot;/&gt;&lt;wsp:rsid wsp:val=&quot;00021817&quot;/&gt;&lt;wsp:rsid wsp:val=&quot;000244B2&quot;/&gt;&lt;wsp:rsid wsp:val=&quot;00024688&quot;/&gt;&lt;wsp:rsid wsp:val=&quot;00025BED&quot;/&gt;&lt;wsp:rsid wsp:val=&quot;00027486&quot;/&gt;&lt;wsp:rsid wsp:val=&quot;000305FC&quot;/&gt;&lt;wsp:rsid wsp:val=&quot;00031923&quot;/&gt;&lt;wsp:rsid wsp:val=&quot;0003290A&quot;/&gt;&lt;wsp:rsid wsp:val=&quot;000354E2&quot;/&gt;&lt;wsp:rsid wsp:val=&quot;000361E0&quot;/&gt;&lt;wsp:rsid wsp:val=&quot;000370BD&quot;/&gt;&lt;wsp:rsid wsp:val=&quot;00040DBE&quot;/&gt;&lt;wsp:rsid wsp:val=&quot;00041459&quot;/&gt;&lt;wsp:rsid wsp:val=&quot;00041E2C&quot;/&gt;&lt;wsp:rsid wsp:val=&quot;000440C4&quot;/&gt;&lt;wsp:rsid wsp:val=&quot;000440F6&quot;/&gt;&lt;wsp:rsid wsp:val=&quot;00044E78&quot;/&gt;&lt;wsp:rsid wsp:val=&quot;000452E5&quot;/&gt;&lt;wsp:rsid wsp:val=&quot;00046579&quot;/&gt;&lt;wsp:rsid wsp:val=&quot;000476A3&quot;/&gt;&lt;wsp:rsid wsp:val=&quot;00052456&quot;/&gt;&lt;wsp:rsid wsp:val=&quot;00055348&quot;/&gt;&lt;wsp:rsid wsp:val=&quot;00056753&quot;/&gt;&lt;wsp:rsid wsp:val=&quot;00056EE7&quot;/&gt;&lt;wsp:rsid wsp:val=&quot;00057AC7&quot;/&gt;&lt;wsp:rsid wsp:val=&quot;00061B93&quot;/&gt;&lt;wsp:rsid wsp:val=&quot;000624DB&quot;/&gt;&lt;wsp:rsid wsp:val=&quot;00063368&quot;/&gt;&lt;wsp:rsid wsp:val=&quot;000633A2&quot;/&gt;&lt;wsp:rsid wsp:val=&quot;00063BEF&quot;/&gt;&lt;wsp:rsid wsp:val=&quot;000654DA&quot;/&gt;&lt;wsp:rsid wsp:val=&quot;00065974&quot;/&gt;&lt;wsp:rsid wsp:val=&quot;000717E4&quot;/&gt;&lt;wsp:rsid wsp:val=&quot;000751CC&quot;/&gt;&lt;wsp:rsid wsp:val=&quot;000768D7&quot;/&gt;&lt;wsp:rsid wsp:val=&quot;00076AAC&quot;/&gt;&lt;wsp:rsid wsp:val=&quot;00080B00&quot;/&gt;&lt;wsp:rsid wsp:val=&quot;000846CA&quot;/&gt;&lt;wsp:rsid wsp:val=&quot;000856C9&quot;/&gt;&lt;wsp:rsid wsp:val=&quot;0008605D&quot;/&gt;&lt;wsp:rsid wsp:val=&quot;0008771C&quot;/&gt;&lt;wsp:rsid wsp:val=&quot;00090492&quot;/&gt;&lt;wsp:rsid wsp:val=&quot;000904C5&quot;/&gt;&lt;wsp:rsid wsp:val=&quot;00090D52&quot;/&gt;&lt;wsp:rsid wsp:val=&quot;00092A3D&quot;/&gt;&lt;wsp:rsid wsp:val=&quot;00093B18&quot;/&gt;&lt;wsp:rsid wsp:val=&quot;0009690B&quot;/&gt;&lt;wsp:rsid wsp:val=&quot;00097845&quot;/&gt;&lt;wsp:rsid wsp:val=&quot;000A0EBB&quot;/&gt;&lt;wsp:rsid wsp:val=&quot;000A1C2B&quot;/&gt;&lt;wsp:rsid wsp:val=&quot;000A457D&quot;/&gt;&lt;wsp:rsid wsp:val=&quot;000A4581&quot;/&gt;&lt;wsp:rsid wsp:val=&quot;000A5354&quot;/&gt;&lt;wsp:rsid wsp:val=&quot;000B02EA&quot;/&gt;&lt;wsp:rsid wsp:val=&quot;000B0E0C&quot;/&gt;&lt;wsp:rsid wsp:val=&quot;000B1F20&quot;/&gt;&lt;wsp:rsid wsp:val=&quot;000B3717&quot;/&gt;&lt;wsp:rsid wsp:val=&quot;000B3D22&quot;/&gt;&lt;wsp:rsid wsp:val=&quot;000B4788&quot;/&gt;&lt;wsp:rsid wsp:val=&quot;000B49B0&quot;/&gt;&lt;wsp:rsid wsp:val=&quot;000B59D4&quot;/&gt;&lt;wsp:rsid wsp:val=&quot;000B5C59&quot;/&gt;&lt;wsp:rsid wsp:val=&quot;000B606E&quot;/&gt;&lt;wsp:rsid wsp:val=&quot;000B6812&quot;/&gt;&lt;wsp:rsid wsp:val=&quot;000C0763&quot;/&gt;&lt;wsp:rsid wsp:val=&quot;000C1DF2&quot;/&gt;&lt;wsp:rsid wsp:val=&quot;000C43D2&quot;/&gt;&lt;wsp:rsid wsp:val=&quot;000C4CC7&quot;/&gt;&lt;wsp:rsid wsp:val=&quot;000C52F8&quot;/&gt;&lt;wsp:rsid wsp:val=&quot;000C6ECC&quot;/&gt;&lt;wsp:rsid wsp:val=&quot;000C780B&quot;/&gt;&lt;wsp:rsid wsp:val=&quot;000D04CD&quot;/&gt;&lt;wsp:rsid wsp:val=&quot;000D1301&quot;/&gt;&lt;wsp:rsid wsp:val=&quot;000D1619&quot;/&gt;&lt;wsp:rsid wsp:val=&quot;000D16DD&quot;/&gt;&lt;wsp:rsid wsp:val=&quot;000D1FE1&quot;/&gt;&lt;wsp:rsid wsp:val=&quot;000D26D0&quot;/&gt;&lt;wsp:rsid wsp:val=&quot;000D2FE4&quot;/&gt;&lt;wsp:rsid wsp:val=&quot;000D40AC&quot;/&gt;&lt;wsp:rsid wsp:val=&quot;000D4A6B&quot;/&gt;&lt;wsp:rsid wsp:val=&quot;000D5BD2&quot;/&gt;&lt;wsp:rsid wsp:val=&quot;000D79DF&quot;/&gt;&lt;wsp:rsid wsp:val=&quot;000E0B0C&quot;/&gt;&lt;wsp:rsid wsp:val=&quot;000E18DB&quot;/&gt;&lt;wsp:rsid wsp:val=&quot;000E1EA2&quot;/&gt;&lt;wsp:rsid wsp:val=&quot;000E3196&quot;/&gt;&lt;wsp:rsid wsp:val=&quot;000E42F2&quot;/&gt;&lt;wsp:rsid wsp:val=&quot;000E4373&quot;/&gt;&lt;wsp:rsid wsp:val=&quot;000E61FF&quot;/&gt;&lt;wsp:rsid wsp:val=&quot;000E639B&quot;/&gt;&lt;wsp:rsid wsp:val=&quot;000E6F62&quot;/&gt;&lt;wsp:rsid wsp:val=&quot;000F166E&quot;/&gt;&lt;wsp:rsid wsp:val=&quot;000F20E0&quot;/&gt;&lt;wsp:rsid wsp:val=&quot;000F34B1&quot;/&gt;&lt;wsp:rsid wsp:val=&quot;000F385E&quot;/&gt;&lt;wsp:rsid wsp:val=&quot;000F569E&quot;/&gt;&lt;wsp:rsid wsp:val=&quot;000F64EF&quot;/&gt;&lt;wsp:rsid wsp:val=&quot;000F69A2&quot;/&gt;&lt;wsp:rsid wsp:val=&quot;000F77AC&quot;/&gt;&lt;wsp:rsid wsp:val=&quot;000F7CCB&quot;/&gt;&lt;wsp:rsid wsp:val=&quot;001001CA&quot;/&gt;&lt;wsp:rsid wsp:val=&quot;00104348&quot;/&gt;&lt;wsp:rsid wsp:val=&quot;00105BAE&quot;/&gt;&lt;wsp:rsid wsp:val=&quot;00107690&quot;/&gt;&lt;wsp:rsid wsp:val=&quot;00107F09&quot;/&gt;&lt;wsp:rsid wsp:val=&quot;00111F82&quot;/&gt;&lt;wsp:rsid wsp:val=&quot;00112742&quot;/&gt;&lt;wsp:rsid wsp:val=&quot;00112D8D&quot;/&gt;&lt;wsp:rsid wsp:val=&quot;00112F8D&quot;/&gt;&lt;wsp:rsid wsp:val=&quot;00114A1C&quot;/&gt;&lt;wsp:rsid wsp:val=&quot;00115178&quot;/&gt;&lt;wsp:rsid wsp:val=&quot;00115B37&quot;/&gt;&lt;wsp:rsid wsp:val=&quot;001164A4&quot;/&gt;&lt;wsp:rsid wsp:val=&quot;00120CAA&quot;/&gt;&lt;wsp:rsid wsp:val=&quot;00121049&quot;/&gt;&lt;wsp:rsid wsp:val=&quot;00121C5D&quot;/&gt;&lt;wsp:rsid wsp:val=&quot;00122E83&quot;/&gt;&lt;wsp:rsid wsp:val=&quot;00123651&quot;/&gt;&lt;wsp:rsid wsp:val=&quot;001238D5&quot;/&gt;&lt;wsp:rsid wsp:val=&quot;00123C23&quot;/&gt;&lt;wsp:rsid wsp:val=&quot;001266E0&quot;/&gt;&lt;wsp:rsid wsp:val=&quot;0012703F&quot;/&gt;&lt;wsp:rsid wsp:val=&quot;001323FB&quot;/&gt;&lt;wsp:rsid wsp:val=&quot;00132A67&quot;/&gt;&lt;wsp:rsid wsp:val=&quot;00133A37&quot;/&gt;&lt;wsp:rsid wsp:val=&quot;00134F13&quot;/&gt;&lt;wsp:rsid wsp:val=&quot;00135721&quot;/&gt;&lt;wsp:rsid wsp:val=&quot;001368EB&quot;/&gt;&lt;wsp:rsid wsp:val=&quot;00137872&quot;/&gt;&lt;wsp:rsid wsp:val=&quot;00140042&quot;/&gt;&lt;wsp:rsid wsp:val=&quot;00144D60&quot;/&gt;&lt;wsp:rsid wsp:val=&quot;00146317&quot;/&gt;&lt;wsp:rsid wsp:val=&quot;00152E1A&quot;/&gt;&lt;wsp:rsid wsp:val=&quot;001547C7&quot;/&gt;&lt;wsp:rsid wsp:val=&quot;00154EEE&quot;/&gt;&lt;wsp:rsid wsp:val=&quot;00155998&quot;/&gt;&lt;wsp:rsid wsp:val=&quot;00155BAD&quot;/&gt;&lt;wsp:rsid wsp:val=&quot;001560C7&quot;/&gt;&lt;wsp:rsid wsp:val=&quot;00156DC2&quot;/&gt;&lt;wsp:rsid wsp:val=&quot;001619E4&quot;/&gt;&lt;wsp:rsid wsp:val=&quot;00162061&quot;/&gt;&lt;wsp:rsid wsp:val=&quot;00162F3C&quot;/&gt;&lt;wsp:rsid wsp:val=&quot;00163FB7&quot;/&gt;&lt;wsp:rsid wsp:val=&quot;001649C5&quot;/&gt;&lt;wsp:rsid wsp:val=&quot;00164F32&quot;/&gt;&lt;wsp:rsid wsp:val=&quot;00171E7D&quot;/&gt;&lt;wsp:rsid wsp:val=&quot;00172FFC&quot;/&gt;&lt;wsp:rsid wsp:val=&quot;00173706&quot;/&gt;&lt;wsp:rsid wsp:val=&quot;00173C37&quot;/&gt;&lt;wsp:rsid wsp:val=&quot;00174BAF&quot;/&gt;&lt;wsp:rsid wsp:val=&quot;00175068&quot;/&gt;&lt;wsp:rsid wsp:val=&quot;0017634D&quot;/&gt;&lt;wsp:rsid wsp:val=&quot;00177DEB&quot;/&gt;&lt;wsp:rsid wsp:val=&quot;0018078E&quot;/&gt;&lt;wsp:rsid wsp:val=&quot;00180AF8&quot;/&gt;&lt;wsp:rsid wsp:val=&quot;0018124D&quot;/&gt;&lt;wsp:rsid wsp:val=&quot;00183C98&quot;/&gt;&lt;wsp:rsid wsp:val=&quot;00184394&quot;/&gt;&lt;wsp:rsid wsp:val=&quot;00186BBD&quot;/&gt;&lt;wsp:rsid wsp:val=&quot;00187303&quot;/&gt;&lt;wsp:rsid wsp:val=&quot;0018753A&quot;/&gt;&lt;wsp:rsid wsp:val=&quot;00187A2C&quot;/&gt;&lt;wsp:rsid wsp:val=&quot;00187A3A&quot;/&gt;&lt;wsp:rsid wsp:val=&quot;00187C69&quot;/&gt;&lt;wsp:rsid wsp:val=&quot;00191262&quot;/&gt;&lt;wsp:rsid wsp:val=&quot;00192689&quot;/&gt;&lt;wsp:rsid wsp:val=&quot;0019344A&quot;/&gt;&lt;wsp:rsid wsp:val=&quot;00193683&quot;/&gt;&lt;wsp:rsid wsp:val=&quot;00194477&quot;/&gt;&lt;wsp:rsid wsp:val=&quot;00195923&quot;/&gt;&lt;wsp:rsid wsp:val=&quot;0019658C&quot;/&gt;&lt;wsp:rsid wsp:val=&quot;001A01E8&quot;/&gt;&lt;wsp:rsid wsp:val=&quot;001A3BED&quot;/&gt;&lt;wsp:rsid wsp:val=&quot;001A6B7D&quot;/&gt;&lt;wsp:rsid wsp:val=&quot;001B003A&quot;/&gt;&lt;wsp:rsid wsp:val=&quot;001B39CC&quot;/&gt;&lt;wsp:rsid wsp:val=&quot;001B60D6&quot;/&gt;&lt;wsp:rsid wsp:val=&quot;001B768B&quot;/&gt;&lt;wsp:rsid wsp:val=&quot;001C51AE&quot;/&gt;&lt;wsp:rsid wsp:val=&quot;001C73DC&quot;/&gt;&lt;wsp:rsid wsp:val=&quot;001C759A&quot;/&gt;&lt;wsp:rsid wsp:val=&quot;001D0721&quot;/&gt;&lt;wsp:rsid wsp:val=&quot;001D2694&quot;/&gt;&lt;wsp:rsid wsp:val=&quot;001D4A95&quot;/&gt;&lt;wsp:rsid wsp:val=&quot;001D5EFD&quot;/&gt;&lt;wsp:rsid wsp:val=&quot;001D6C4D&quot;/&gt;&lt;wsp:rsid wsp:val=&quot;001E4939&quot;/&gt;&lt;wsp:rsid wsp:val=&quot;001E66E3&quot;/&gt;&lt;wsp:rsid wsp:val=&quot;001F4081&quot;/&gt;&lt;wsp:rsid wsp:val=&quot;001F456C&quot;/&gt;&lt;wsp:rsid wsp:val=&quot;001F4A62&quot;/&gt;&lt;wsp:rsid wsp:val=&quot;001F7A9E&quot;/&gt;&lt;wsp:rsid wsp:val=&quot;00200D9A&quot;/&gt;&lt;wsp:rsid wsp:val=&quot;002011DF&quot;/&gt;&lt;wsp:rsid wsp:val=&quot;0020280A&quot;/&gt;&lt;wsp:rsid wsp:val=&quot;00203F83&quot;/&gt;&lt;wsp:rsid wsp:val=&quot;0020411B&quot;/&gt;&lt;wsp:rsid wsp:val=&quot;002069BF&quot;/&gt;&lt;wsp:rsid wsp:val=&quot;00207D06&quot;/&gt;&lt;wsp:rsid wsp:val=&quot;002125E6&quot;/&gt;&lt;wsp:rsid wsp:val=&quot;0021263F&quot;/&gt;&lt;wsp:rsid wsp:val=&quot;002133D7&quot;/&gt;&lt;wsp:rsid wsp:val=&quot;002159FD&quot;/&gt;&lt;wsp:rsid wsp:val=&quot;00216616&quot;/&gt;&lt;wsp:rsid wsp:val=&quot;0022038A&quot;/&gt;&lt;wsp:rsid wsp:val=&quot;00220BE9&quot;/&gt;&lt;wsp:rsid wsp:val=&quot;00220CD8&quot;/&gt;&lt;wsp:rsid wsp:val=&quot;00225CED&quot;/&gt;&lt;wsp:rsid wsp:val=&quot;00226D1D&quot;/&gt;&lt;wsp:rsid wsp:val=&quot;00227415&quot;/&gt;&lt;wsp:rsid wsp:val=&quot;002329B8&quot;/&gt;&lt;wsp:rsid wsp:val=&quot;00232FE8&quot;/&gt;&lt;wsp:rsid wsp:val=&quot;002337A2&quot;/&gt;&lt;wsp:rsid wsp:val=&quot;00235F59&quot;/&gt;&lt;wsp:rsid wsp:val=&quot;00237B00&quot;/&gt;&lt;wsp:rsid wsp:val=&quot;00240567&quot;/&gt;&lt;wsp:rsid wsp:val=&quot;00240889&quot;/&gt;&lt;wsp:rsid wsp:val=&quot;00240C23&quot;/&gt;&lt;wsp:rsid wsp:val=&quot;00241986&quot;/&gt;&lt;wsp:rsid wsp:val=&quot;00242EAD&quot;/&gt;&lt;wsp:rsid wsp:val=&quot;00245A30&quot;/&gt;&lt;wsp:rsid wsp:val=&quot;00245A74&quot;/&gt;&lt;wsp:rsid wsp:val=&quot;00245E84&quot;/&gt;&lt;wsp:rsid wsp:val=&quot;00252F7C&quot;/&gt;&lt;wsp:rsid wsp:val=&quot;00253DA9&quot;/&gt;&lt;wsp:rsid wsp:val=&quot;00256A63&quot;/&gt;&lt;wsp:rsid wsp:val=&quot;00260935&quot;/&gt;&lt;wsp:rsid wsp:val=&quot;00262C52&quot;/&gt;&lt;wsp:rsid wsp:val=&quot;00264782&quot;/&gt;&lt;wsp:rsid wsp:val=&quot;00264B01&quot;/&gt;&lt;wsp:rsid wsp:val=&quot;0026655B&quot;/&gt;&lt;wsp:rsid wsp:val=&quot;00267E74&quot;/&gt;&lt;wsp:rsid wsp:val=&quot;0027018A&quot;/&gt;&lt;wsp:rsid wsp:val=&quot;00276258&quot;/&gt;&lt;wsp:rsid wsp:val=&quot;00277CB1&quot;/&gt;&lt;wsp:rsid wsp:val=&quot;002803B4&quot;/&gt;&lt;wsp:rsid wsp:val=&quot;002809AF&quot;/&gt;&lt;wsp:rsid wsp:val=&quot;00282229&quot;/&gt;&lt;wsp:rsid wsp:val=&quot;00282F99&quot;/&gt;&lt;wsp:rsid wsp:val=&quot;00283824&quot;/&gt;&lt;wsp:rsid wsp:val=&quot;00285E76&quot;/&gt;&lt;wsp:rsid wsp:val=&quot;002871C2&quot;/&gt;&lt;wsp:rsid wsp:val=&quot;00290441&quot;/&gt;&lt;wsp:rsid wsp:val=&quot;00290DFC&quot;/&gt;&lt;wsp:rsid wsp:val=&quot;0029259A&quot;/&gt;&lt;wsp:rsid wsp:val=&quot;00293047&quot;/&gt;&lt;wsp:rsid wsp:val=&quot;00294052&quot;/&gt;&lt;wsp:rsid wsp:val=&quot;002941EB&quot;/&gt;&lt;wsp:rsid wsp:val=&quot;002951E0&quot;/&gt;&lt;wsp:rsid wsp:val=&quot;00296822&quot;/&gt;&lt;wsp:rsid wsp:val=&quot;002978F0&quot;/&gt;&lt;wsp:rsid wsp:val=&quot;00297BD1&quot;/&gt;&lt;wsp:rsid wsp:val=&quot;00297C52&quot;/&gt;&lt;wsp:rsid wsp:val=&quot;002A4958&quot;/&gt;&lt;wsp:rsid wsp:val=&quot;002A6289&quot;/&gt;&lt;wsp:rsid wsp:val=&quot;002B223E&quot;/&gt;&lt;wsp:rsid wsp:val=&quot;002B472D&quot;/&gt;&lt;wsp:rsid wsp:val=&quot;002B61EC&quot;/&gt;&lt;wsp:rsid wsp:val=&quot;002B679E&quot;/&gt;&lt;wsp:rsid wsp:val=&quot;002B7311&quot;/&gt;&lt;wsp:rsid wsp:val=&quot;002B78D1&quot;/&gt;&lt;wsp:rsid wsp:val=&quot;002C0E99&quot;/&gt;&lt;wsp:rsid wsp:val=&quot;002C1522&quot;/&gt;&lt;wsp:rsid wsp:val=&quot;002C1BA5&quot;/&gt;&lt;wsp:rsid wsp:val=&quot;002C1D9D&quot;/&gt;&lt;wsp:rsid wsp:val=&quot;002C24A2&quot;/&gt;&lt;wsp:rsid wsp:val=&quot;002C2D37&quot;/&gt;&lt;wsp:rsid wsp:val=&quot;002C7756&quot;/&gt;&lt;wsp:rsid wsp:val=&quot;002D06B6&quot;/&gt;&lt;wsp:rsid wsp:val=&quot;002D09B9&quot;/&gt;&lt;wsp:rsid wsp:val=&quot;002D0B44&quot;/&gt;&lt;wsp:rsid wsp:val=&quot;002D0C7E&quot;/&gt;&lt;wsp:rsid wsp:val=&quot;002D11A5&quot;/&gt;&lt;wsp:rsid wsp:val=&quot;002D1342&quot;/&gt;&lt;wsp:rsid wsp:val=&quot;002D141D&quot;/&gt;&lt;wsp:rsid wsp:val=&quot;002D2882&quot;/&gt;&lt;wsp:rsid wsp:val=&quot;002D536C&quot;/&gt;&lt;wsp:rsid wsp:val=&quot;002D55E7&quot;/&gt;&lt;wsp:rsid wsp:val=&quot;002D5602&quot;/&gt;&lt;wsp:rsid wsp:val=&quot;002D741A&quot;/&gt;&lt;wsp:rsid wsp:val=&quot;002E3D36&quot;/&gt;&lt;wsp:rsid wsp:val=&quot;002E4DB2&quot;/&gt;&lt;wsp:rsid wsp:val=&quot;002E4E61&quot;/&gt;&lt;wsp:rsid wsp:val=&quot;002E5F14&quot;/&gt;&lt;wsp:rsid wsp:val=&quot;002E6237&quot;/&gt;&lt;wsp:rsid wsp:val=&quot;002F03DF&quot;/&gt;&lt;wsp:rsid wsp:val=&quot;002F0B07&quot;/&gt;&lt;wsp:rsid wsp:val=&quot;002F1AB2&quot;/&gt;&lt;wsp:rsid wsp:val=&quot;002F28BA&quot;/&gt;&lt;wsp:rsid wsp:val=&quot;002F3694&quot;/&gt;&lt;wsp:rsid wsp:val=&quot;002F3D7E&quot;/&gt;&lt;wsp:rsid wsp:val=&quot;002F6239&quot;/&gt;&lt;wsp:rsid wsp:val=&quot;003001EB&quot;/&gt;&lt;wsp:rsid wsp:val=&quot;00301453&quot;/&gt;&lt;wsp:rsid wsp:val=&quot;00301A94&quot;/&gt;&lt;wsp:rsid wsp:val=&quot;0030223B&quot;/&gt;&lt;wsp:rsid wsp:val=&quot;00307F8E&quot;/&gt;&lt;wsp:rsid wsp:val=&quot;00310F85&quot;/&gt;&lt;wsp:rsid wsp:val=&quot;00311898&quot;/&gt;&lt;wsp:rsid wsp:val=&quot;00315626&quot;/&gt;&lt;wsp:rsid wsp:val=&quot;00315AC9&quot;/&gt;&lt;wsp:rsid wsp:val=&quot;00315D8B&quot;/&gt;&lt;wsp:rsid wsp:val=&quot;00316B28&quot;/&gt;&lt;wsp:rsid wsp:val=&quot;00320297&quot;/&gt;&lt;wsp:rsid wsp:val=&quot;00321A79&quot;/&gt;&lt;wsp:rsid wsp:val=&quot;00322693&quot;/&gt;&lt;wsp:rsid wsp:val=&quot;00322E88&quot;/&gt;&lt;wsp:rsid wsp:val=&quot;00323072&quot;/&gt;&lt;wsp:rsid wsp:val=&quot;00326E0D&quot;/&gt;&lt;wsp:rsid wsp:val=&quot;003306D9&quot;/&gt;&lt;wsp:rsid wsp:val=&quot;00330BF7&quot;/&gt;&lt;wsp:rsid wsp:val=&quot;00331AFD&quot;/&gt;&lt;wsp:rsid wsp:val=&quot;0033251C&quot;/&gt;&lt;wsp:rsid wsp:val=&quot;003325A2&quot;/&gt;&lt;wsp:rsid wsp:val=&quot;0033384E&quot;/&gt;&lt;wsp:rsid wsp:val=&quot;0033594E&quot;/&gt;&lt;wsp:rsid wsp:val=&quot;00336429&quot;/&gt;&lt;wsp:rsid wsp:val=&quot;00343066&quot;/&gt;&lt;wsp:rsid wsp:val=&quot;00343DE4&quot;/&gt;&lt;wsp:rsid wsp:val=&quot;00345033&quot;/&gt;&lt;wsp:rsid wsp:val=&quot;003450D2&quot;/&gt;&lt;wsp:rsid wsp:val=&quot;00345F3B&quot;/&gt;&lt;wsp:rsid wsp:val=&quot;00347F55&quot;/&gt;&lt;wsp:rsid wsp:val=&quot;00350363&quot;/&gt;&lt;wsp:rsid wsp:val=&quot;0035300A&quot;/&gt;&lt;wsp:rsid wsp:val=&quot;00353B12&quot;/&gt;&lt;wsp:rsid wsp:val=&quot;00353B58&quot;/&gt;&lt;wsp:rsid wsp:val=&quot;00353BC5&quot;/&gt;&lt;wsp:rsid wsp:val=&quot;00354806&quot;/&gt;&lt;wsp:rsid wsp:val=&quot;00356E0A&quot;/&gt;&lt;wsp:rsid wsp:val=&quot;00361BDC&quot;/&gt;&lt;wsp:rsid wsp:val=&quot;00361EF2&quot;/&gt;&lt;wsp:rsid wsp:val=&quot;00362551&quot;/&gt;&lt;wsp:rsid wsp:val=&quot;0036314D&quot;/&gt;&lt;wsp:rsid wsp:val=&quot;00364E39&quot;/&gt;&lt;wsp:rsid wsp:val=&quot;0036536E&quot;/&gt;&lt;wsp:rsid wsp:val=&quot;00370A26&quot;/&gt;&lt;wsp:rsid wsp:val=&quot;00370FB0&quot;/&gt;&lt;wsp:rsid wsp:val=&quot;003714F8&quot;/&gt;&lt;wsp:rsid wsp:val=&quot;003740B0&quot;/&gt;&lt;wsp:rsid wsp:val=&quot;0037442A&quot;/&gt;&lt;wsp:rsid wsp:val=&quot;0037480D&quot;/&gt;&lt;wsp:rsid wsp:val=&quot;003749A8&quot;/&gt;&lt;wsp:rsid wsp:val=&quot;00374EEC&quot;/&gt;&lt;wsp:rsid wsp:val=&quot;00375CBF&quot;/&gt;&lt;wsp:rsid wsp:val=&quot;00376851&quot;/&gt;&lt;wsp:rsid wsp:val=&quot;00376BA6&quot;/&gt;&lt;wsp:rsid wsp:val=&quot;00377DE0&quot;/&gt;&lt;wsp:rsid wsp:val=&quot;00380159&quot;/&gt;&lt;wsp:rsid wsp:val=&quot;003821AF&quot;/&gt;&lt;wsp:rsid wsp:val=&quot;0038220B&quot;/&gt;&lt;wsp:rsid wsp:val=&quot;00383602&quot;/&gt;&lt;wsp:rsid wsp:val=&quot;00384108&quot;/&gt;&lt;wsp:rsid wsp:val=&quot;0038509E&quot;/&gt;&lt;wsp:rsid wsp:val=&quot;0038546A&quot;/&gt;&lt;wsp:rsid wsp:val=&quot;003903B9&quot;/&gt;&lt;wsp:rsid wsp:val=&quot;00390982&quot;/&gt;&lt;wsp:rsid wsp:val=&quot;003918CE&quot;/&gt;&lt;wsp:rsid wsp:val=&quot;00391C2E&quot;/&gt;&lt;wsp:rsid wsp:val=&quot;00395EC6&quot;/&gt;&lt;wsp:rsid wsp:val=&quot;003A0BCB&quot;/&gt;&lt;wsp:rsid wsp:val=&quot;003A2347&quot;/&gt;&lt;wsp:rsid wsp:val=&quot;003A4BF1&quot;/&gt;&lt;wsp:rsid wsp:val=&quot;003A7D09&quot;/&gt;&lt;wsp:rsid wsp:val=&quot;003B2BBA&quot;/&gt;&lt;wsp:rsid wsp:val=&quot;003B2EC4&quot;/&gt;&lt;wsp:rsid wsp:val=&quot;003B2FE1&quot;/&gt;&lt;wsp:rsid wsp:val=&quot;003B468C&quot;/&gt;&lt;wsp:rsid wsp:val=&quot;003B6C9E&quot;/&gt;&lt;wsp:rsid wsp:val=&quot;003B7CAF&quot;/&gt;&lt;wsp:rsid wsp:val=&quot;003C013B&quot;/&gt;&lt;wsp:rsid wsp:val=&quot;003C061A&quot;/&gt;&lt;wsp:rsid wsp:val=&quot;003C1C69&quot;/&gt;&lt;wsp:rsid wsp:val=&quot;003C2720&quot;/&gt;&lt;wsp:rsid wsp:val=&quot;003C27F1&quot;/&gt;&lt;wsp:rsid wsp:val=&quot;003C3E95&quot;/&gt;&lt;wsp:rsid wsp:val=&quot;003C7581&quot;/&gt;&lt;wsp:rsid wsp:val=&quot;003C7DDE&quot;/&gt;&lt;wsp:rsid wsp:val=&quot;003D112B&quot;/&gt;&lt;wsp:rsid wsp:val=&quot;003D1BDE&quot;/&gt;&lt;wsp:rsid wsp:val=&quot;003D1C26&quot;/&gt;&lt;wsp:rsid wsp:val=&quot;003D20F0&quot;/&gt;&lt;wsp:rsid wsp:val=&quot;003D67F6&quot;/&gt;&lt;wsp:rsid wsp:val=&quot;003D7027&quot;/&gt;&lt;wsp:rsid wsp:val=&quot;003E0AD1&quot;/&gt;&lt;wsp:rsid wsp:val=&quot;003E15FB&quot;/&gt;&lt;wsp:rsid wsp:val=&quot;003E2A60&quot;/&gt;&lt;wsp:rsid wsp:val=&quot;003E3890&quot;/&gt;&lt;wsp:rsid wsp:val=&quot;003E40BA&quot;/&gt;&lt;wsp:rsid wsp:val=&quot;003E4222&quot;/&gt;&lt;wsp:rsid wsp:val=&quot;003F0D7C&quot;/&gt;&lt;wsp:rsid wsp:val=&quot;003F1747&quot;/&gt;&lt;wsp:rsid wsp:val=&quot;003F2975&quot;/&gt;&lt;wsp:rsid wsp:val=&quot;003F2DEE&quot;/&gt;&lt;wsp:rsid wsp:val=&quot;003F337C&quot;/&gt;&lt;wsp:rsid wsp:val=&quot;003F36F3&quot;/&gt;&lt;wsp:rsid wsp:val=&quot;003F5D5C&quot;/&gt;&lt;wsp:rsid wsp:val=&quot;003F60C7&quot;/&gt;&lt;wsp:rsid wsp:val=&quot;003F6986&quot;/&gt;&lt;wsp:rsid wsp:val=&quot;00400755&quot;/&gt;&lt;wsp:rsid wsp:val=&quot;00402AFE&quot;/&gt;&lt;wsp:rsid wsp:val=&quot;004038BC&quot;/&gt;&lt;wsp:rsid wsp:val=&quot;00404F59&quot;/&gt;&lt;wsp:rsid wsp:val=&quot;004059C1&quot;/&gt;&lt;wsp:rsid wsp:val=&quot;004061E2&quot;/&gt;&lt;wsp:rsid wsp:val=&quot;00406C49&quot;/&gt;&lt;wsp:rsid wsp:val=&quot;00410F30&quot;/&gt;&lt;wsp:rsid wsp:val=&quot;004113CF&quot;/&gt;&lt;wsp:rsid wsp:val=&quot;004125C8&quot;/&gt;&lt;wsp:rsid wsp:val=&quot;0041317F&quot;/&gt;&lt;wsp:rsid wsp:val=&quot;0041492F&quot;/&gt;&lt;wsp:rsid wsp:val=&quot;0041523D&quot;/&gt;&lt;wsp:rsid wsp:val=&quot;00416545&quot;/&gt;&lt;wsp:rsid wsp:val=&quot;0041654A&quot;/&gt;&lt;wsp:rsid wsp:val=&quot;00416795&quot;/&gt;&lt;wsp:rsid wsp:val=&quot;00417D1D&quot;/&gt;&lt;wsp:rsid wsp:val=&quot;00420B31&quot;/&gt;&lt;wsp:rsid wsp:val=&quot;004229B6&quot;/&gt;&lt;wsp:rsid wsp:val=&quot;00424CB4&quot;/&gt;&lt;wsp:rsid wsp:val=&quot;00425E0D&quot;/&gt;&lt;wsp:rsid wsp:val=&quot;004270C9&quot;/&gt;&lt;wsp:rsid wsp:val=&quot;00427B99&quot;/&gt;&lt;wsp:rsid wsp:val=&quot;00427DDA&quot;/&gt;&lt;wsp:rsid wsp:val=&quot;00432AC9&quot;/&gt;&lt;wsp:rsid wsp:val=&quot;00433118&quot;/&gt;&lt;wsp:rsid wsp:val=&quot;0043505A&quot;/&gt;&lt;wsp:rsid wsp:val=&quot;00436247&quot;/&gt;&lt;wsp:rsid wsp:val=&quot;00436DD4&quot;/&gt;&lt;wsp:rsid wsp:val=&quot;00437A35&quot;/&gt;&lt;wsp:rsid wsp:val=&quot;004403F7&quot;/&gt;&lt;wsp:rsid wsp:val=&quot;00441692&quot;/&gt;&lt;wsp:rsid wsp:val=&quot;00442544&quot;/&gt;&lt;wsp:rsid wsp:val=&quot;00443C8F&quot;/&gt;&lt;wsp:rsid wsp:val=&quot;004451CC&quot;/&gt;&lt;wsp:rsid wsp:val=&quot;00447194&quot;/&gt;&lt;wsp:rsid wsp:val=&quot;004479EA&quot;/&gt;&lt;wsp:rsid wsp:val=&quot;00452D49&quot;/&gt;&lt;wsp:rsid wsp:val=&quot;0045353B&quot;/&gt;&lt;wsp:rsid wsp:val=&quot;00453EC9&quot;/&gt;&lt;wsp:rsid wsp:val=&quot;004553FA&quot;/&gt;&lt;wsp:rsid wsp:val=&quot;004559EB&quot;/&gt;&lt;wsp:rsid wsp:val=&quot;00456AC4&quot;/&gt;&lt;wsp:rsid wsp:val=&quot;004570B7&quot;/&gt;&lt;wsp:rsid wsp:val=&quot;004575FC&quot;/&gt;&lt;wsp:rsid wsp:val=&quot;00462818&quot;/&gt;&lt;wsp:rsid wsp:val=&quot;004635A5&quot;/&gt;&lt;wsp:rsid wsp:val=&quot;004639EC&quot;/&gt;&lt;wsp:rsid wsp:val=&quot;00463ADF&quot;/&gt;&lt;wsp:rsid wsp:val=&quot;00470CE6&quot;/&gt;&lt;wsp:rsid wsp:val=&quot;00471049&quot;/&gt;&lt;wsp:rsid wsp:val=&quot;004730ED&quot;/&gt;&lt;wsp:rsid wsp:val=&quot;00473194&quot;/&gt;&lt;wsp:rsid wsp:val=&quot;0047668A&quot;/&gt;&lt;wsp:rsid wsp:val=&quot;00477693&quot;/&gt;&lt;wsp:rsid wsp:val=&quot;00477A41&quot;/&gt;&lt;wsp:rsid wsp:val=&quot;00481877&quot;/&gt;&lt;wsp:rsid wsp:val=&quot;00482620&quot;/&gt;&lt;wsp:rsid wsp:val=&quot;004903C5&quot;/&gt;&lt;wsp:rsid wsp:val=&quot;004911E0&quot;/&gt;&lt;wsp:rsid wsp:val=&quot;00492B52&quot;/&gt;&lt;wsp:rsid wsp:val=&quot;00493463&quot;/&gt;&lt;wsp:rsid wsp:val=&quot;00494E38&quot;/&gt;&lt;wsp:rsid wsp:val=&quot;00494F06&quot;/&gt;&lt;wsp:rsid wsp:val=&quot;004950D0&quot;/&gt;&lt;wsp:rsid wsp:val=&quot;00495570&quot;/&gt;&lt;wsp:rsid wsp:val=&quot;004959C9&quot;/&gt;&lt;wsp:rsid wsp:val=&quot;00495CDF&quot;/&gt;&lt;wsp:rsid wsp:val=&quot;00495F47&quot;/&gt;&lt;wsp:rsid wsp:val=&quot;004A1A36&quot;/&gt;&lt;wsp:rsid wsp:val=&quot;004A1E3B&quot;/&gt;&lt;wsp:rsid wsp:val=&quot;004A32E3&quot;/&gt;&lt;wsp:rsid wsp:val=&quot;004A40DC&quot;/&gt;&lt;wsp:rsid wsp:val=&quot;004A4226&quot;/&gt;&lt;wsp:rsid wsp:val=&quot;004A567F&quot;/&gt;&lt;wsp:rsid wsp:val=&quot;004A6F9E&quot;/&gt;&lt;wsp:rsid wsp:val=&quot;004A7D6A&quot;/&gt;&lt;wsp:rsid wsp:val=&quot;004B0704&quot;/&gt;&lt;wsp:rsid wsp:val=&quot;004B1334&quot;/&gt;&lt;wsp:rsid wsp:val=&quot;004B1F8E&quot;/&gt;&lt;wsp:rsid wsp:val=&quot;004B4009&quot;/&gt;&lt;wsp:rsid wsp:val=&quot;004B44C8&quot;/&gt;&lt;wsp:rsid wsp:val=&quot;004B5FA2&quot;/&gt;&lt;wsp:rsid wsp:val=&quot;004B6144&quot;/&gt;&lt;wsp:rsid wsp:val=&quot;004B7A44&quot;/&gt;&lt;wsp:rsid wsp:val=&quot;004B7EA8&quot;/&gt;&lt;wsp:rsid wsp:val=&quot;004C0459&quot;/&gt;&lt;wsp:rsid wsp:val=&quot;004C0C49&quot;/&gt;&lt;wsp:rsid wsp:val=&quot;004C1B41&quot;/&gt;&lt;wsp:rsid wsp:val=&quot;004C1EDA&quot;/&gt;&lt;wsp:rsid wsp:val=&quot;004C2F04&quot;/&gt;&lt;wsp:rsid wsp:val=&quot;004C2F0D&quot;/&gt;&lt;wsp:rsid wsp:val=&quot;004C55F5&quot;/&gt;&lt;wsp:rsid wsp:val=&quot;004C5FD9&quot;/&gt;&lt;wsp:rsid wsp:val=&quot;004C7945&quot;/&gt;&lt;wsp:rsid wsp:val=&quot;004D1872&quot;/&gt;&lt;wsp:rsid wsp:val=&quot;004D4062&quot;/&gt;&lt;wsp:rsid wsp:val=&quot;004D6BF3&quot;/&gt;&lt;wsp:rsid wsp:val=&quot;004E0280&quot;/&gt;&lt;wsp:rsid wsp:val=&quot;004E0587&quot;/&gt;&lt;wsp:rsid wsp:val=&quot;004E5A4C&quot;/&gt;&lt;wsp:rsid wsp:val=&quot;004E5BD4&quot;/&gt;&lt;wsp:rsid wsp:val=&quot;004E6267&quot;/&gt;&lt;wsp:rsid wsp:val=&quot;004E6B8A&quot;/&gt;&lt;wsp:rsid wsp:val=&quot;004E72E9&quot;/&gt;&lt;wsp:rsid wsp:val=&quot;004F14A8&quot;/&gt;&lt;wsp:rsid wsp:val=&quot;004F24E3&quot;/&gt;&lt;wsp:rsid wsp:val=&quot;004F25A4&quot;/&gt;&lt;wsp:rsid wsp:val=&quot;004F2BD5&quot;/&gt;&lt;wsp:rsid wsp:val=&quot;004F3546&quot;/&gt;&lt;wsp:rsid wsp:val=&quot;004F3CC6&quot;/&gt;&lt;wsp:rsid wsp:val=&quot;004F4F49&quot;/&gt;&lt;wsp:rsid wsp:val=&quot;004F76F4&quot;/&gt;&lt;wsp:rsid wsp:val=&quot;00500289&quot;/&gt;&lt;wsp:rsid wsp:val=&quot;0050087B&quot;/&gt;&lt;wsp:rsid wsp:val=&quot;00500EC4&quot;/&gt;&lt;wsp:rsid wsp:val=&quot;005014BC&quot;/&gt;&lt;wsp:rsid wsp:val=&quot;00501F3D&quot;/&gt;&lt;wsp:rsid wsp:val=&quot;00503B47&quot;/&gt;&lt;wsp:rsid wsp:val=&quot;005043F1&quot;/&gt;&lt;wsp:rsid wsp:val=&quot;0050513E&quot;/&gt;&lt;wsp:rsid wsp:val=&quot;00506C27&quot;/&gt;&lt;wsp:rsid wsp:val=&quot;0050739D&quot;/&gt;&lt;wsp:rsid wsp:val=&quot;005074C3&quot;/&gt;&lt;wsp:rsid wsp:val=&quot;00511FF4&quot;/&gt;&lt;wsp:rsid wsp:val=&quot;00513419&quot;/&gt;&lt;wsp:rsid wsp:val=&quot;0051404E&quot;/&gt;&lt;wsp:rsid wsp:val=&quot;005151A5&quot;/&gt;&lt;wsp:rsid wsp:val=&quot;005154E2&quot;/&gt;&lt;wsp:rsid wsp:val=&quot;00515842&quot;/&gt;&lt;wsp:rsid wsp:val=&quot;00521330&quot;/&gt;&lt;wsp:rsid wsp:val=&quot;00521818&quot;/&gt;&lt;wsp:rsid wsp:val=&quot;00522337&quot;/&gt;&lt;wsp:rsid wsp:val=&quot;00523279&quot;/&gt;&lt;wsp:rsid wsp:val=&quot;005236A5&quot;/&gt;&lt;wsp:rsid wsp:val=&quot;00523982&quot;/&gt;&lt;wsp:rsid wsp:val=&quot;0052454A&quot;/&gt;&lt;wsp:rsid wsp:val=&quot;0052614D&quot;/&gt;&lt;wsp:rsid wsp:val=&quot;005262B2&quot;/&gt;&lt;wsp:rsid wsp:val=&quot;00526F45&quot;/&gt;&lt;wsp:rsid wsp:val=&quot;00530646&quot;/&gt;&lt;wsp:rsid wsp:val=&quot;00531FDA&quot;/&gt;&lt;wsp:rsid wsp:val=&quot;00532D92&quot;/&gt;&lt;wsp:rsid wsp:val=&quot;005354AD&quot;/&gt;&lt;wsp:rsid wsp:val=&quot;00537DC3&quot;/&gt;&lt;wsp:rsid wsp:val=&quot;005405C7&quot;/&gt;&lt;wsp:rsid wsp:val=&quot;00540F31&quot;/&gt;&lt;wsp:rsid wsp:val=&quot;005411F0&quot;/&gt;&lt;wsp:rsid wsp:val=&quot;00541793&quot;/&gt;&lt;wsp:rsid wsp:val=&quot;00542267&quot;/&gt;&lt;wsp:rsid wsp:val=&quot;0054471F&quot;/&gt;&lt;wsp:rsid wsp:val=&quot;00545B44&quot;/&gt;&lt;wsp:rsid wsp:val=&quot;00546FA1&quot;/&gt;&lt;wsp:rsid wsp:val=&quot;00550DDA&quot;/&gt;&lt;wsp:rsid wsp:val=&quot;00552F18&quot;/&gt;&lt;wsp:rsid wsp:val=&quot;0055424A&quot;/&gt;&lt;wsp:rsid wsp:val=&quot;0055438E&quot;/&gt;&lt;wsp:rsid wsp:val=&quot;0055689E&quot;/&gt;&lt;wsp:rsid wsp:val=&quot;0055789D&quot;/&gt;&lt;wsp:rsid wsp:val=&quot;00561462&quot;/&gt;&lt;wsp:rsid wsp:val=&quot;00562F5B&quot;/&gt;&lt;wsp:rsid wsp:val=&quot;00562FDD&quot;/&gt;&lt;wsp:rsid wsp:val=&quot;00566C62&quot;/&gt;&lt;wsp:rsid wsp:val=&quot;00566EA7&quot;/&gt;&lt;wsp:rsid wsp:val=&quot;005752B5&quot;/&gt;&lt;wsp:rsid wsp:val=&quot;00575533&quot;/&gt;&lt;wsp:rsid wsp:val=&quot;00575C24&quot;/&gt;&lt;wsp:rsid wsp:val=&quot;00576046&quot;/&gt;&lt;wsp:rsid wsp:val=&quot;00576FA2&quot;/&gt;&lt;wsp:rsid wsp:val=&quot;00582CF5&quot;/&gt;&lt;wsp:rsid wsp:val=&quot;0058342B&quot;/&gt;&lt;wsp:rsid wsp:val=&quot;005835BC&quot;/&gt;&lt;wsp:rsid wsp:val=&quot;00584863&quot;/&gt;&lt;wsp:rsid wsp:val=&quot;00584B0C&quot;/&gt;&lt;wsp:rsid wsp:val=&quot;0059557A&quot;/&gt;&lt;wsp:rsid wsp:val=&quot;005956C1&quot;/&gt;&lt;wsp:rsid wsp:val=&quot;00595A6D&quot;/&gt;&lt;wsp:rsid wsp:val=&quot;00596871&quot;/&gt;&lt;wsp:rsid wsp:val=&quot;005A0651&quot;/&gt;&lt;wsp:rsid wsp:val=&quot;005A0CB4&quot;/&gt;&lt;wsp:rsid wsp:val=&quot;005A31D7&quot;/&gt;&lt;wsp:rsid wsp:val=&quot;005A376E&quot;/&gt;&lt;wsp:rsid wsp:val=&quot;005A4ECE&quot;/&gt;&lt;wsp:rsid wsp:val=&quot;005A5BE0&quot;/&gt;&lt;wsp:rsid wsp:val=&quot;005A625C&quot;/&gt;&lt;wsp:rsid wsp:val=&quot;005B014D&quot;/&gt;&lt;wsp:rsid wsp:val=&quot;005B135D&quot;/&gt;&lt;wsp:rsid wsp:val=&quot;005B1C6B&quot;/&gt;&lt;wsp:rsid wsp:val=&quot;005B28A2&quot;/&gt;&lt;wsp:rsid wsp:val=&quot;005B3107&quot;/&gt;&lt;wsp:rsid wsp:val=&quot;005B49EA&quot;/&gt;&lt;wsp:rsid wsp:val=&quot;005B4D9A&quot;/&gt;&lt;wsp:rsid wsp:val=&quot;005B6FA6&quot;/&gt;&lt;wsp:rsid wsp:val=&quot;005B723F&quot;/&gt;&lt;wsp:rsid wsp:val=&quot;005B74D8&quot;/&gt;&lt;wsp:rsid wsp:val=&quot;005C1C54&quot;/&gt;&lt;wsp:rsid wsp:val=&quot;005C48C1&quot;/&gt;&lt;wsp:rsid wsp:val=&quot;005C509B&quot;/&gt;&lt;wsp:rsid wsp:val=&quot;005C6037&quot;/&gt;&lt;wsp:rsid wsp:val=&quot;005C6781&quot;/&gt;&lt;wsp:rsid wsp:val=&quot;005C704A&quot;/&gt;&lt;wsp:rsid wsp:val=&quot;005C73CD&quot;/&gt;&lt;wsp:rsid wsp:val=&quot;005D01AC&quot;/&gt;&lt;wsp:rsid wsp:val=&quot;005D0559&quot;/&gt;&lt;wsp:rsid wsp:val=&quot;005D0761&quot;/&gt;&lt;wsp:rsid wsp:val=&quot;005D2D4C&quot;/&gt;&lt;wsp:rsid wsp:val=&quot;005D3312&quot;/&gt;&lt;wsp:rsid wsp:val=&quot;005D5AE4&quot;/&gt;&lt;wsp:rsid wsp:val=&quot;005D69F2&quot;/&gt;&lt;wsp:rsid wsp:val=&quot;005D7561&quot;/&gt;&lt;wsp:rsid wsp:val=&quot;005E0540&quot;/&gt;&lt;wsp:rsid wsp:val=&quot;005E096C&quot;/&gt;&lt;wsp:rsid wsp:val=&quot;005E66EE&quot;/&gt;&lt;wsp:rsid wsp:val=&quot;005E6E68&quot;/&gt;&lt;wsp:rsid wsp:val=&quot;005E757C&quot;/&gt;&lt;wsp:rsid wsp:val=&quot;005F161D&quot;/&gt;&lt;wsp:rsid wsp:val=&quot;005F1B1B&quot;/&gt;&lt;wsp:rsid wsp:val=&quot;005F2BC5&quot;/&gt;&lt;wsp:rsid wsp:val=&quot;005F3C75&quot;/&gt;&lt;wsp:rsid wsp:val=&quot;005F4BB6&quot;/&gt;&lt;wsp:rsid wsp:val=&quot;005F717D&quot;/&gt;&lt;wsp:rsid wsp:val=&quot;00600E7F&quot;/&gt;&lt;wsp:rsid wsp:val=&quot;00601981&quot;/&gt;&lt;wsp:rsid wsp:val=&quot;00601BE7&quot;/&gt;&lt;wsp:rsid wsp:val=&quot;00602C40&quot;/&gt;&lt;wsp:rsid wsp:val=&quot;006035C1&quot;/&gt;&lt;wsp:rsid wsp:val=&quot;006036B2&quot;/&gt;&lt;wsp:rsid wsp:val=&quot;006055F2&quot;/&gt;&lt;wsp:rsid wsp:val=&quot;0060684C&quot;/&gt;&lt;wsp:rsid wsp:val=&quot;00610760&quot;/&gt;&lt;wsp:rsid wsp:val=&quot;00611512&quot;/&gt;&lt;wsp:rsid wsp:val=&quot;00611EF1&quot;/&gt;&lt;wsp:rsid wsp:val=&quot;00611F2B&quot;/&gt;&lt;wsp:rsid wsp:val=&quot;00612799&quot;/&gt;&lt;wsp:rsid wsp:val=&quot;00613065&quot;/&gt;&lt;wsp:rsid wsp:val=&quot;00613957&quot;/&gt;&lt;wsp:rsid wsp:val=&quot;0061796A&quot;/&gt;&lt;wsp:rsid wsp:val=&quot;00620438&quot;/&gt;&lt;wsp:rsid wsp:val=&quot;00621211&quot;/&gt;&lt;wsp:rsid wsp:val=&quot;006213E9&quot;/&gt;&lt;wsp:rsid wsp:val=&quot;0062169C&quot;/&gt;&lt;wsp:rsid wsp:val=&quot;00622073&quot;/&gt;&lt;wsp:rsid wsp:val=&quot;00622C14&quot;/&gt;&lt;wsp:rsid wsp:val=&quot;00623288&quot;/&gt;&lt;wsp:rsid wsp:val=&quot;006246FC&quot;/&gt;&lt;wsp:rsid wsp:val=&quot;00624EDC&quot;/&gt;&lt;wsp:rsid wsp:val=&quot;00625F51&quot;/&gt;&lt;wsp:rsid wsp:val=&quot;0062772F&quot;/&gt;&lt;wsp:rsid wsp:val=&quot;00630538&quot;/&gt;&lt;wsp:rsid wsp:val=&quot;00630B07&quot;/&gt;&lt;wsp:rsid wsp:val=&quot;00631938&quot;/&gt;&lt;wsp:rsid wsp:val=&quot;00632B3E&quot;/&gt;&lt;wsp:rsid wsp:val=&quot;00635A69&quot;/&gt;&lt;wsp:rsid wsp:val=&quot;00637028&quot;/&gt;&lt;wsp:rsid wsp:val=&quot;0063729C&quot;/&gt;&lt;wsp:rsid wsp:val=&quot;0064140A&quot;/&gt;&lt;wsp:rsid wsp:val=&quot;00641CD8&quot;/&gt;&lt;wsp:rsid wsp:val=&quot;00642761&quot;/&gt;&lt;wsp:rsid wsp:val=&quot;006441F1&quot;/&gt;&lt;wsp:rsid wsp:val=&quot;00644CE4&quot;/&gt;&lt;wsp:rsid wsp:val=&quot;00645CC3&quot;/&gt;&lt;wsp:rsid wsp:val=&quot;00645F6C&quot;/&gt;&lt;wsp:rsid wsp:val=&quot;00652B62&quot;/&gt;&lt;wsp:rsid wsp:val=&quot;00653CEE&quot;/&gt;&lt;wsp:rsid wsp:val=&quot;00653F32&quot;/&gt;&lt;wsp:rsid wsp:val=&quot;00654E4C&quot;/&gt;&lt;wsp:rsid wsp:val=&quot;0065552F&quot;/&gt;&lt;wsp:rsid wsp:val=&quot;00655F96&quot;/&gt;&lt;wsp:rsid wsp:val=&quot;00657DE8&quot;/&gt;&lt;wsp:rsid wsp:val=&quot;006605AF&quot;/&gt;&lt;wsp:rsid wsp:val=&quot;00661C9D&quot;/&gt;&lt;wsp:rsid wsp:val=&quot;00662FB2&quot;/&gt;&lt;wsp:rsid wsp:val=&quot;00662FFF&quot;/&gt;&lt;wsp:rsid wsp:val=&quot;006645AE&quot;/&gt;&lt;wsp:rsid wsp:val=&quot;0066582C&quot;/&gt;&lt;wsp:rsid wsp:val=&quot;00666A80&quot;/&gt;&lt;wsp:rsid wsp:val=&quot;006715ED&quot;/&gt;&lt;wsp:rsid wsp:val=&quot;00673195&quot;/&gt;&lt;wsp:rsid wsp:val=&quot;00673C90&quot;/&gt;&lt;wsp:rsid wsp:val=&quot;00674631&quot;/&gt;&lt;wsp:rsid wsp:val=&quot;00674F7E&quot;/&gt;&lt;wsp:rsid wsp:val=&quot;0067522E&quot;/&gt;&lt;wsp:rsid wsp:val=&quot;00675363&quot;/&gt;&lt;wsp:rsid wsp:val=&quot;006757EA&quot;/&gt;&lt;wsp:rsid wsp:val=&quot;006762B4&quot;/&gt;&lt;wsp:rsid wsp:val=&quot;006771ED&quot;/&gt;&lt;wsp:rsid wsp:val=&quot;00677F44&quot;/&gt;&lt;wsp:rsid wsp:val=&quot;006808BA&quot;/&gt;&lt;wsp:rsid wsp:val=&quot;00680AF8&quot;/&gt;&lt;wsp:rsid wsp:val=&quot;006812B3&quot;/&gt;&lt;wsp:rsid wsp:val=&quot;00681F28&quot;/&gt;&lt;wsp:rsid wsp:val=&quot;00682101&quot;/&gt;&lt;wsp:rsid wsp:val=&quot;006826A9&quot;/&gt;&lt;wsp:rsid wsp:val=&quot;00682941&quot;/&gt;&lt;wsp:rsid wsp:val=&quot;00682E05&quot;/&gt;&lt;wsp:rsid wsp:val=&quot;00683AB8&quot;/&gt;&lt;wsp:rsid wsp:val=&quot;00685F96&quot;/&gt;&lt;wsp:rsid wsp:val=&quot;006867E2&quot;/&gt;&lt;wsp:rsid wsp:val=&quot;00687308&quot;/&gt;&lt;wsp:rsid wsp:val=&quot;00690433&quot;/&gt;&lt;wsp:rsid wsp:val=&quot;006908ED&quot;/&gt;&lt;wsp:rsid wsp:val=&quot;00690D28&quot;/&gt;&lt;wsp:rsid wsp:val=&quot;00691505&quot;/&gt;&lt;wsp:rsid wsp:val=&quot;006932EB&quot;/&gt;&lt;wsp:rsid wsp:val=&quot;00693E01&quot;/&gt;&lt;wsp:rsid wsp:val=&quot;006956B7&quot;/&gt;&lt;wsp:rsid wsp:val=&quot;00696991&quot;/&gt;&lt;wsp:rsid wsp:val=&quot;006973E9&quot;/&gt;&lt;wsp:rsid wsp:val=&quot;006A0471&quot;/&gt;&lt;wsp:rsid wsp:val=&quot;006A1D97&quot;/&gt;&lt;wsp:rsid wsp:val=&quot;006A2566&quot;/&gt;&lt;wsp:rsid wsp:val=&quot;006A3487&quot;/&gt;&lt;wsp:rsid wsp:val=&quot;006A4307&quot;/&gt;&lt;wsp:rsid wsp:val=&quot;006A45C4&quot;/&gt;&lt;wsp:rsid wsp:val=&quot;006A5262&quot;/&gt;&lt;wsp:rsid wsp:val=&quot;006A5CA2&quot;/&gt;&lt;wsp:rsid wsp:val=&quot;006A67C4&quot;/&gt;&lt;wsp:rsid wsp:val=&quot;006A7876&quot;/&gt;&lt;wsp:rsid wsp:val=&quot;006A79F9&quot;/&gt;&lt;wsp:rsid wsp:val=&quot;006B15C0&quot;/&gt;&lt;wsp:rsid wsp:val=&quot;006B1B4C&quot;/&gt;&lt;wsp:rsid wsp:val=&quot;006B3B78&quot;/&gt;&lt;wsp:rsid wsp:val=&quot;006B3C11&quot;/&gt;&lt;wsp:rsid wsp:val=&quot;006B3F8D&quot;/&gt;&lt;wsp:rsid wsp:val=&quot;006B4425&quot;/&gt;&lt;wsp:rsid wsp:val=&quot;006C2671&quot;/&gt;&lt;wsp:rsid wsp:val=&quot;006C27BB&quot;/&gt;&lt;wsp:rsid wsp:val=&quot;006C55A6&quot;/&gt;&lt;wsp:rsid wsp:val=&quot;006C6680&quot;/&gt;&lt;wsp:rsid wsp:val=&quot;006D07A7&quot;/&gt;&lt;wsp:rsid wsp:val=&quot;006D4E40&quot;/&gt;&lt;wsp:rsid wsp:val=&quot;006D5D2B&quot;/&gt;&lt;wsp:rsid wsp:val=&quot;006D70A5&quot;/&gt;&lt;wsp:rsid wsp:val=&quot;006E2003&quot;/&gt;&lt;wsp:rsid wsp:val=&quot;006E2B4F&quot;/&gt;&lt;wsp:rsid wsp:val=&quot;006E373B&quot;/&gt;&lt;wsp:rsid wsp:val=&quot;006E5767&quot;/&gt;&lt;wsp:rsid wsp:val=&quot;006E6A45&quot;/&gt;&lt;wsp:rsid wsp:val=&quot;006F0E30&quot;/&gt;&lt;wsp:rsid wsp:val=&quot;006F13C0&quot;/&gt;&lt;wsp:rsid wsp:val=&quot;006F1DC4&quot;/&gt;&lt;wsp:rsid wsp:val=&quot;006F2071&quot;/&gt;&lt;wsp:rsid wsp:val=&quot;006F3260&quot;/&gt;&lt;wsp:rsid wsp:val=&quot;006F4E16&quot;/&gt;&lt;wsp:rsid wsp:val=&quot;006F5FC8&quot;/&gt;&lt;wsp:rsid wsp:val=&quot;006F6039&quot;/&gt;&lt;wsp:rsid wsp:val=&quot;00701621&quot;/&gt;&lt;wsp:rsid wsp:val=&quot;007032C6&quot;/&gt;&lt;wsp:rsid wsp:val=&quot;00703DB7&quot;/&gt;&lt;wsp:rsid wsp:val=&quot;0070622E&quot;/&gt;&lt;wsp:rsid wsp:val=&quot;00706A77&quot;/&gt;&lt;wsp:rsid wsp:val=&quot;00707894&quot;/&gt;&lt;wsp:rsid wsp:val=&quot;00711959&quot;/&gt;&lt;wsp:rsid wsp:val=&quot;00712694&quot;/&gt;&lt;wsp:rsid wsp:val=&quot;007138C4&quot;/&gt;&lt;wsp:rsid wsp:val=&quot;00716DA8&quot;/&gt;&lt;wsp:rsid wsp:val=&quot;00717D15&quot;/&gt;&lt;wsp:rsid wsp:val=&quot;0072291E&quot;/&gt;&lt;wsp:rsid wsp:val=&quot;00723B92&quot;/&gt;&lt;wsp:rsid wsp:val=&quot;00724398&quot;/&gt;&lt;wsp:rsid wsp:val=&quot;00726B84&quot;/&gt;&lt;wsp:rsid wsp:val=&quot;00730B8B&quot;/&gt;&lt;wsp:rsid wsp:val=&quot;00731C1D&quot;/&gt;&lt;wsp:rsid wsp:val=&quot;00733741&quot;/&gt;&lt;wsp:rsid wsp:val=&quot;007337F0&quot;/&gt;&lt;wsp:rsid wsp:val=&quot;0073409A&quot;/&gt;&lt;wsp:rsid wsp:val=&quot;007347C9&quot;/&gt;&lt;wsp:rsid wsp:val=&quot;00734841&quot;/&gt;&lt;wsp:rsid wsp:val=&quot;00735FE6&quot;/&gt;&lt;wsp:rsid wsp:val=&quot;00736C09&quot;/&gt;&lt;wsp:rsid wsp:val=&quot;00737B18&quot;/&gt;&lt;wsp:rsid wsp:val=&quot;00740561&quot;/&gt;&lt;wsp:rsid wsp:val=&quot;00740824&quot;/&gt;&lt;wsp:rsid wsp:val=&quot;00740D72&quot;/&gt;&lt;wsp:rsid wsp:val=&quot;00741215&quot;/&gt;&lt;wsp:rsid wsp:val=&quot;00741F91&quot;/&gt;&lt;wsp:rsid wsp:val=&quot;0074389F&quot;/&gt;&lt;wsp:rsid wsp:val=&quot;00745631&quot;/&gt;&lt;wsp:rsid wsp:val=&quot;00745903&quot;/&gt;&lt;wsp:rsid wsp:val=&quot;00745F44&quot;/&gt;&lt;wsp:rsid wsp:val=&quot;00747826&quot;/&gt;&lt;wsp:rsid wsp:val=&quot;00753C4B&quot;/&gt;&lt;wsp:rsid wsp:val=&quot;00753CF5&quot;/&gt;&lt;wsp:rsid wsp:val=&quot;00755AFF&quot;/&gt;&lt;wsp:rsid wsp:val=&quot;00755C75&quot;/&gt;&lt;wsp:rsid wsp:val=&quot;00757EA9&quot;/&gt;&lt;wsp:rsid wsp:val=&quot;00760E13&quot;/&gt;&lt;wsp:rsid wsp:val=&quot;007614BD&quot;/&gt;&lt;wsp:rsid wsp:val=&quot;0076401A&quot;/&gt;&lt;wsp:rsid wsp:val=&quot;007650F6&quot;/&gt;&lt;wsp:rsid wsp:val=&quot;007658D6&quot;/&gt;&lt;wsp:rsid wsp:val=&quot;00765A82&quot;/&gt;&lt;wsp:rsid wsp:val=&quot;00773044&quot;/&gt;&lt;wsp:rsid wsp:val=&quot;00775BDB&quot;/&gt;&lt;wsp:rsid wsp:val=&quot;0078071A&quot;/&gt;&lt;wsp:rsid wsp:val=&quot;00782119&quot;/&gt;&lt;wsp:rsid wsp:val=&quot;00782339&quot;/&gt;&lt;wsp:rsid wsp:val=&quot;00782EE1&quot;/&gt;&lt;wsp:rsid wsp:val=&quot;007831B5&quot;/&gt;&lt;wsp:rsid wsp:val=&quot;0078378B&quot;/&gt;&lt;wsp:rsid wsp:val=&quot;007847A2&quot;/&gt;&lt;wsp:rsid wsp:val=&quot;00785379&quot;/&gt;&lt;wsp:rsid wsp:val=&quot;007869D6&quot;/&gt;&lt;wsp:rsid wsp:val=&quot;00787DB4&quot;/&gt;&lt;wsp:rsid wsp:val=&quot;007901A7&quot;/&gt;&lt;wsp:rsid wsp:val=&quot;00791791&quot;/&gt;&lt;wsp:rsid wsp:val=&quot;00791869&quot;/&gt;&lt;wsp:rsid wsp:val=&quot;00791D76&quot;/&gt;&lt;wsp:rsid wsp:val=&quot;00793DEE&quot;/&gt;&lt;wsp:rsid wsp:val=&quot;00794268&quot;/&gt;&lt;wsp:rsid wsp:val=&quot;00795063&quot;/&gt;&lt;wsp:rsid wsp:val=&quot;007956BF&quot;/&gt;&lt;wsp:rsid wsp:val=&quot;00795BFF&quot;/&gt;&lt;wsp:rsid wsp:val=&quot;007969F7&quot;/&gt;&lt;wsp:rsid wsp:val=&quot;00796A9C&quot;/&gt;&lt;wsp:rsid wsp:val=&quot;00796E2F&quot;/&gt;&lt;wsp:rsid wsp:val=&quot;007979AB&quot;/&gt;&lt;wsp:rsid wsp:val=&quot;007A122B&quot;/&gt;&lt;wsp:rsid wsp:val=&quot;007A26AE&quot;/&gt;&lt;wsp:rsid wsp:val=&quot;007A3D42&quot;/&gt;&lt;wsp:rsid wsp:val=&quot;007A41E6&quot;/&gt;&lt;wsp:rsid wsp:val=&quot;007A6F5A&quot;/&gt;&lt;wsp:rsid wsp:val=&quot;007B0028&quot;/&gt;&lt;wsp:rsid wsp:val=&quot;007B02E2&quot;/&gt;&lt;wsp:rsid wsp:val=&quot;007B1449&quot;/&gt;&lt;wsp:rsid wsp:val=&quot;007B1D16&quot;/&gt;&lt;wsp:rsid wsp:val=&quot;007B3962&quot;/&gt;&lt;wsp:rsid wsp:val=&quot;007B41E9&quot;/&gt;&lt;wsp:rsid wsp:val=&quot;007B5C7E&quot;/&gt;&lt;wsp:rsid wsp:val=&quot;007B6528&quot;/&gt;&lt;wsp:rsid wsp:val=&quot;007B6623&quot;/&gt;&lt;wsp:rsid wsp:val=&quot;007C04FC&quot;/&gt;&lt;wsp:rsid wsp:val=&quot;007C07D8&quot;/&gt;&lt;wsp:rsid wsp:val=&quot;007C421C&quot;/&gt;&lt;wsp:rsid wsp:val=&quot;007C464D&quot;/&gt;&lt;wsp:rsid wsp:val=&quot;007C479E&quot;/&gt;&lt;wsp:rsid wsp:val=&quot;007C4952&quot;/&gt;&lt;wsp:rsid wsp:val=&quot;007C5E49&quot;/&gt;&lt;wsp:rsid wsp:val=&quot;007C7D0D&quot;/&gt;&lt;wsp:rsid wsp:val=&quot;007D143E&quot;/&gt;&lt;wsp:rsid wsp:val=&quot;007D1C36&quot;/&gt;&lt;wsp:rsid wsp:val=&quot;007D1F76&quot;/&gt;&lt;wsp:rsid wsp:val=&quot;007D216B&quot;/&gt;&lt;wsp:rsid wsp:val=&quot;007D4B03&quot;/&gt;&lt;wsp:rsid wsp:val=&quot;007D6439&quot;/&gt;&lt;wsp:rsid wsp:val=&quot;007D7C23&quot;/&gt;&lt;wsp:rsid wsp:val=&quot;007D7DEF&quot;/&gt;&lt;wsp:rsid wsp:val=&quot;007E0068&quot;/&gt;&lt;wsp:rsid wsp:val=&quot;007E0DE7&quot;/&gt;&lt;wsp:rsid wsp:val=&quot;007E3528&quot;/&gt;&lt;wsp:rsid wsp:val=&quot;007E3C19&quot;/&gt;&lt;wsp:rsid wsp:val=&quot;007E587F&quot;/&gt;&lt;wsp:rsid wsp:val=&quot;007E5999&quot;/&gt;&lt;wsp:rsid wsp:val=&quot;007E661A&quot;/&gt;&lt;wsp:rsid wsp:val=&quot;007E6D34&quot;/&gt;&lt;wsp:rsid wsp:val=&quot;007E76E1&quot;/&gt;&lt;wsp:rsid wsp:val=&quot;007F1E8E&quot;/&gt;&lt;wsp:rsid wsp:val=&quot;007F41B7&quot;/&gt;&lt;wsp:rsid wsp:val=&quot;007F529B&quot;/&gt;&lt;wsp:rsid wsp:val=&quot;007F5BA5&quot;/&gt;&lt;wsp:rsid wsp:val=&quot;007F6068&quot;/&gt;&lt;wsp:rsid wsp:val=&quot;007F6245&quot;/&gt;&lt;wsp:rsid wsp:val=&quot;007F6CBF&quot;/&gt;&lt;wsp:rsid wsp:val=&quot;008016A9&quot;/&gt;&lt;wsp:rsid wsp:val=&quot;00801A24&quot;/&gt;&lt;wsp:rsid wsp:val=&quot;0080215A&quot;/&gt;&lt;wsp:rsid wsp:val=&quot;0080317A&quot;/&gt;&lt;wsp:rsid wsp:val=&quot;00803290&quot;/&gt;&lt;wsp:rsid wsp:val=&quot;008061BF&quot;/&gt;&lt;wsp:rsid wsp:val=&quot;0080631D&quot;/&gt;&lt;wsp:rsid wsp:val=&quot;00806D9E&quot;/&gt;&lt;wsp:rsid wsp:val=&quot;00807FDC&quot;/&gt;&lt;wsp:rsid wsp:val=&quot;00810DB0&quot;/&gt;&lt;wsp:rsid wsp:val=&quot;00811C59&quot;/&gt;&lt;wsp:rsid wsp:val=&quot;00812053&quot;/&gt;&lt;wsp:rsid wsp:val=&quot;00814AA6&quot;/&gt;&lt;wsp:rsid wsp:val=&quot;00815CCD&quot;/&gt;&lt;wsp:rsid wsp:val=&quot;00816826&quot;/&gt;&lt;wsp:rsid wsp:val=&quot;00816BB0&quot;/&gt;&lt;wsp:rsid wsp:val=&quot;008171C6&quot;/&gt;&lt;wsp:rsid wsp:val=&quot;00817D0A&quot;/&gt;&lt;wsp:rsid wsp:val=&quot;00821C8A&quot;/&gt;&lt;wsp:rsid wsp:val=&quot;00823615&quot;/&gt;&lt;wsp:rsid wsp:val=&quot;00823B28&quot;/&gt;&lt;wsp:rsid wsp:val=&quot;008246F0&quot;/&gt;&lt;wsp:rsid wsp:val=&quot;0082654A&quot;/&gt;&lt;wsp:rsid wsp:val=&quot;00826878&quot;/&gt;&lt;wsp:rsid wsp:val=&quot;008274B5&quot;/&gt;&lt;wsp:rsid wsp:val=&quot;008274C1&quot;/&gt;&lt;wsp:rsid wsp:val=&quot;008328CB&quot;/&gt;&lt;wsp:rsid wsp:val=&quot;0083299B&quot;/&gt;&lt;wsp:rsid wsp:val=&quot;0083419B&quot;/&gt;&lt;wsp:rsid wsp:val=&quot;00835965&quot;/&gt;&lt;wsp:rsid wsp:val=&quot;008363D1&quot;/&gt;&lt;wsp:rsid wsp:val=&quot;00836FFA&quot;/&gt;&lt;wsp:rsid wsp:val=&quot;0084204D&quot;/&gt;&lt;wsp:rsid wsp:val=&quot;00846F56&quot;/&gt;&lt;wsp:rsid wsp:val=&quot;008478AD&quot;/&gt;&lt;wsp:rsid wsp:val=&quot;00850D9C&quot;/&gt;&lt;wsp:rsid wsp:val=&quot;00851ADA&quot;/&gt;&lt;wsp:rsid wsp:val=&quot;00854E95&quot;/&gt;&lt;wsp:rsid wsp:val=&quot;00854ED8&quot;/&gt;&lt;wsp:rsid wsp:val=&quot;008553EC&quot;/&gt;&lt;wsp:rsid wsp:val=&quot;0085736C&quot;/&gt;&lt;wsp:rsid wsp:val=&quot;008578FF&quot;/&gt;&lt;wsp:rsid wsp:val=&quot;00860094&quot;/&gt;&lt;wsp:rsid wsp:val=&quot;00864C02&quot;/&gt;&lt;wsp:rsid wsp:val=&quot;008660B4&quot;/&gt;&lt;wsp:rsid wsp:val=&quot;00872201&quot;/&gt;&lt;wsp:rsid wsp:val=&quot;00872350&quot;/&gt;&lt;wsp:rsid wsp:val=&quot;008725D4&quot;/&gt;&lt;wsp:rsid wsp:val=&quot;00872F50&quot;/&gt;&lt;wsp:rsid wsp:val=&quot;00873656&quot;/&gt;&lt;wsp:rsid wsp:val=&quot;00874E16&quot;/&gt;&lt;wsp:rsid wsp:val=&quot;00875F0F&quot;/&gt;&lt;wsp:rsid wsp:val=&quot;00876061&quot;/&gt;&lt;wsp:rsid wsp:val=&quot;00876797&quot;/&gt;&lt;wsp:rsid wsp:val=&quot;00876DE4&quot;/&gt;&lt;wsp:rsid wsp:val=&quot;008806AE&quot;/&gt;&lt;wsp:rsid wsp:val=&quot;0088560B&quot;/&gt;&lt;wsp:rsid wsp:val=&quot;0088606D&quot;/&gt;&lt;wsp:rsid wsp:val=&quot;00886325&quot;/&gt;&lt;wsp:rsid wsp:val=&quot;00887284&quot;/&gt;&lt;wsp:rsid wsp:val=&quot;00890008&quot;/&gt;&lt;wsp:rsid wsp:val=&quot;00890CAB&quot;/&gt;&lt;wsp:rsid wsp:val=&quot;008A06AD&quot;/&gt;&lt;wsp:rsid wsp:val=&quot;008A0E9C&quot;/&gt;&lt;wsp:rsid wsp:val=&quot;008A3D3D&quot;/&gt;&lt;wsp:rsid wsp:val=&quot;008A47D8&quot;/&gt;&lt;wsp:rsid wsp:val=&quot;008A4818&quot;/&gt;&lt;wsp:rsid wsp:val=&quot;008A49D6&quot;/&gt;&lt;wsp:rsid wsp:val=&quot;008A5BD2&quot;/&gt;&lt;wsp:rsid wsp:val=&quot;008A74A1&quot;/&gt;&lt;wsp:rsid wsp:val=&quot;008B1431&quot;/&gt;&lt;wsp:rsid wsp:val=&quot;008B1BCC&quot;/&gt;&lt;wsp:rsid wsp:val=&quot;008B290F&quot;/&gt;&lt;wsp:rsid wsp:val=&quot;008B389F&quot;/&gt;&lt;wsp:rsid wsp:val=&quot;008B41B1&quot;/&gt;&lt;wsp:rsid wsp:val=&quot;008B4D51&quot;/&gt;&lt;wsp:rsid wsp:val=&quot;008B5C44&quot;/&gt;&lt;wsp:rsid wsp:val=&quot;008C00D6&quot;/&gt;&lt;wsp:rsid wsp:val=&quot;008C2489&quot;/&gt;&lt;wsp:rsid wsp:val=&quot;008C38D7&quot;/&gt;&lt;wsp:rsid wsp:val=&quot;008C3A15&quot;/&gt;&lt;wsp:rsid wsp:val=&quot;008C5256&quot;/&gt;&lt;wsp:rsid wsp:val=&quot;008C6367&quot;/&gt;&lt;wsp:rsid wsp:val=&quot;008C7E2D&quot;/&gt;&lt;wsp:rsid wsp:val=&quot;008D11DD&quot;/&gt;&lt;wsp:rsid wsp:val=&quot;008D13BF&quot;/&gt;&lt;wsp:rsid wsp:val=&quot;008D1E7E&quot;/&gt;&lt;wsp:rsid wsp:val=&quot;008D2448&quot;/&gt;&lt;wsp:rsid wsp:val=&quot;008D2608&quot;/&gt;&lt;wsp:rsid wsp:val=&quot;008D3FE1&quot;/&gt;&lt;wsp:rsid wsp:val=&quot;008D4C11&quot;/&gt;&lt;wsp:rsid wsp:val=&quot;008D520F&quot;/&gt;&lt;wsp:rsid wsp:val=&quot;008D7BC9&quot;/&gt;&lt;wsp:rsid wsp:val=&quot;008E4117&quot;/&gt;&lt;wsp:rsid wsp:val=&quot;008E5AE0&quot;/&gt;&lt;wsp:rsid wsp:val=&quot;008E5EE9&quot;/&gt;&lt;wsp:rsid wsp:val=&quot;008E62B2&quot;/&gt;&lt;wsp:rsid wsp:val=&quot;008E7253&quot;/&gt;&lt;wsp:rsid wsp:val=&quot;008F004C&quot;/&gt;&lt;wsp:rsid wsp:val=&quot;008F3D9D&quot;/&gt;&lt;wsp:rsid wsp:val=&quot;008F4124&quot;/&gt;&lt;wsp:rsid wsp:val=&quot;008F7E18&quot;/&gt;&lt;wsp:rsid wsp:val=&quot;00900052&quot;/&gt;&lt;wsp:rsid wsp:val=&quot;0090147F&quot;/&gt;&lt;wsp:rsid wsp:val=&quot;009021EF&quot;/&gt;&lt;wsp:rsid wsp:val=&quot;00902C13&quot;/&gt;&lt;wsp:rsid wsp:val=&quot;00902CCC&quot;/&gt;&lt;wsp:rsid wsp:val=&quot;00902DC1&quot;/&gt;&lt;wsp:rsid wsp:val=&quot;009033C4&quot;/&gt;&lt;wsp:rsid wsp:val=&quot;009062EF&quot;/&gt;&lt;wsp:rsid wsp:val=&quot;00911398&quot;/&gt;&lt;wsp:rsid wsp:val=&quot;00912E09&quot;/&gt;&lt;wsp:rsid wsp:val=&quot;00913E11&quot;/&gt;&lt;wsp:rsid wsp:val=&quot;009157C4&quot;/&gt;&lt;wsp:rsid wsp:val=&quot;00916D3C&quot;/&gt;&lt;wsp:rsid wsp:val=&quot;009176B5&quot;/&gt;&lt;wsp:rsid wsp:val=&quot;009177A0&quot;/&gt;&lt;wsp:rsid wsp:val=&quot;009200DC&quot;/&gt;&lt;wsp:rsid wsp:val=&quot;00920545&quot;/&gt;&lt;wsp:rsid wsp:val=&quot;0092160D&quot;/&gt;&lt;wsp:rsid wsp:val=&quot;009225EF&quot;/&gt;&lt;wsp:rsid wsp:val=&quot;009226BB&quot;/&gt;&lt;wsp:rsid wsp:val=&quot;00924C93&quot;/&gt;&lt;wsp:rsid wsp:val=&quot;00925A3B&quot;/&gt;&lt;wsp:rsid wsp:val=&quot;009268A6&quot;/&gt;&lt;wsp:rsid wsp:val=&quot;00927C2C&quot;/&gt;&lt;wsp:rsid wsp:val=&quot;00930419&quot;/&gt;&lt;wsp:rsid wsp:val=&quot;009330CC&quot;/&gt;&lt;wsp:rsid wsp:val=&quot;009339AB&quot;/&gt;&lt;wsp:rsid wsp:val=&quot;0093784F&quot;/&gt;&lt;wsp:rsid wsp:val=&quot;00937E90&quot;/&gt;&lt;wsp:rsid wsp:val=&quot;0094034B&quot;/&gt;&lt;wsp:rsid wsp:val=&quot;00940B06&quot;/&gt;&lt;wsp:rsid wsp:val=&quot;009433D5&quot;/&gt;&lt;wsp:rsid wsp:val=&quot;009437B6&quot;/&gt;&lt;wsp:rsid wsp:val=&quot;00943813&quot;/&gt;&lt;wsp:rsid wsp:val=&quot;0094730B&quot;/&gt;&lt;wsp:rsid wsp:val=&quot;00950ACC&quot;/&gt;&lt;wsp:rsid wsp:val=&quot;00951506&quot;/&gt;&lt;wsp:rsid wsp:val=&quot;00954B11&quot;/&gt;&lt;wsp:rsid wsp:val=&quot;00954E6C&quot;/&gt;&lt;wsp:rsid wsp:val=&quot;00954F4C&quot;/&gt;&lt;wsp:rsid wsp:val=&quot;00955A14&quot;/&gt;&lt;wsp:rsid wsp:val=&quot;00955CBA&quot;/&gt;&lt;wsp:rsid wsp:val=&quot;00956D2E&quot;/&gt;&lt;wsp:rsid wsp:val=&quot;0095761B&quot;/&gt;&lt;wsp:rsid wsp:val=&quot;0096252E&quot;/&gt;&lt;wsp:rsid wsp:val=&quot;00964282&quot;/&gt;&lt;wsp:rsid wsp:val=&quot;00966722&quot;/&gt;&lt;wsp:rsid wsp:val=&quot;0097077C&quot;/&gt;&lt;wsp:rsid wsp:val=&quot;0097293B&quot;/&gt;&lt;wsp:rsid wsp:val=&quot;0097299B&quot;/&gt;&lt;wsp:rsid wsp:val=&quot;009740A2&quot;/&gt;&lt;wsp:rsid wsp:val=&quot;00974D8A&quot;/&gt;&lt;wsp:rsid wsp:val=&quot;00975EA7&quot;/&gt;&lt;wsp:rsid wsp:val=&quot;00976F33&quot;/&gt;&lt;wsp:rsid wsp:val=&quot;009776FA&quot;/&gt;&lt;wsp:rsid wsp:val=&quot;00977881&quot;/&gt;&lt;wsp:rsid wsp:val=&quot;009779D6&quot;/&gt;&lt;wsp:rsid wsp:val=&quot;0098387A&quot;/&gt;&lt;wsp:rsid wsp:val=&quot;009839E8&quot;/&gt;&lt;wsp:rsid wsp:val=&quot;00983E22&quot;/&gt;&lt;wsp:rsid wsp:val=&quot;0098459A&quot;/&gt;&lt;wsp:rsid wsp:val=&quot;00984955&quot;/&gt;&lt;wsp:rsid wsp:val=&quot;00984FB2&quot;/&gt;&lt;wsp:rsid wsp:val=&quot;00985A54&quot;/&gt;&lt;wsp:rsid wsp:val=&quot;00986EAF&quot;/&gt;&lt;wsp:rsid wsp:val=&quot;0098713F&quot;/&gt;&lt;wsp:rsid wsp:val=&quot;00987C0F&quot;/&gt;&lt;wsp:rsid wsp:val=&quot;00990135&quot;/&gt;&lt;wsp:rsid wsp:val=&quot;00990C21&quot;/&gt;&lt;wsp:rsid wsp:val=&quot;00991990&quot;/&gt;&lt;wsp:rsid wsp:val=&quot;00994702&quot;/&gt;&lt;wsp:rsid wsp:val=&quot;009A00D6&quot;/&gt;&lt;wsp:rsid wsp:val=&quot;009A0BED&quot;/&gt;&lt;wsp:rsid wsp:val=&quot;009A32B7&quot;/&gt;&lt;wsp:rsid wsp:val=&quot;009A42DE&quot;/&gt;&lt;wsp:rsid wsp:val=&quot;009A4601&quot;/&gt;&lt;wsp:rsid wsp:val=&quot;009A4CFE&quot;/&gt;&lt;wsp:rsid wsp:val=&quot;009A50A5&quot;/&gt;&lt;wsp:rsid wsp:val=&quot;009A62E7&quot;/&gt;&lt;wsp:rsid wsp:val=&quot;009A66C6&quot;/&gt;&lt;wsp:rsid wsp:val=&quot;009A6E52&quot;/&gt;&lt;wsp:rsid wsp:val=&quot;009B0219&quot;/&gt;&lt;wsp:rsid wsp:val=&quot;009B1044&quot;/&gt;&lt;wsp:rsid wsp:val=&quot;009B19C7&quot;/&gt;&lt;wsp:rsid wsp:val=&quot;009B2E65&quot;/&gt;&lt;wsp:rsid wsp:val=&quot;009B2EDB&quot;/&gt;&lt;wsp:rsid wsp:val=&quot;009B330B&quot;/&gt;&lt;wsp:rsid wsp:val=&quot;009B62D3&quot;/&gt;&lt;wsp:rsid wsp:val=&quot;009B6B4E&quot;/&gt;&lt;wsp:rsid wsp:val=&quot;009B7C8B&quot;/&gt;&lt;wsp:rsid wsp:val=&quot;009B7E75&quot;/&gt;&lt;wsp:rsid wsp:val=&quot;009C197F&quot;/&gt;&lt;wsp:rsid wsp:val=&quot;009C2C58&quot;/&gt;&lt;wsp:rsid wsp:val=&quot;009C49EB&quot;/&gt;&lt;wsp:rsid wsp:val=&quot;009C6227&quot;/&gt;&lt;wsp:rsid wsp:val=&quot;009C67DE&quot;/&gt;&lt;wsp:rsid wsp:val=&quot;009D1685&quot;/&gt;&lt;wsp:rsid wsp:val=&quot;009D3117&quot;/&gt;&lt;wsp:rsid wsp:val=&quot;009D4D08&quot;/&gt;&lt;wsp:rsid wsp:val=&quot;009D7423&quot;/&gt;&lt;wsp:rsid wsp:val=&quot;009E0057&quot;/&gt;&lt;wsp:rsid wsp:val=&quot;009E3376&quot;/&gt;&lt;wsp:rsid wsp:val=&quot;009E3A65&quot;/&gt;&lt;wsp:rsid wsp:val=&quot;009E6037&quot;/&gt;&lt;wsp:rsid wsp:val=&quot;009E6041&quot;/&gt;&lt;wsp:rsid wsp:val=&quot;009E688B&quot;/&gt;&lt;wsp:rsid wsp:val=&quot;009F0CB6&quot;/&gt;&lt;wsp:rsid wsp:val=&quot;009F189C&quot;/&gt;&lt;wsp:rsid wsp:val=&quot;009F1EB1&quot;/&gt;&lt;wsp:rsid wsp:val=&quot;009F26C9&quot;/&gt;&lt;wsp:rsid wsp:val=&quot;009F279E&quot;/&gt;&lt;wsp:rsid wsp:val=&quot;009F2ED4&quot;/&gt;&lt;wsp:rsid wsp:val=&quot;009F5D4D&quot;/&gt;&lt;wsp:rsid wsp:val=&quot;009F6DD5&quot;/&gt;&lt;wsp:rsid wsp:val=&quot;009F79DE&quot;/&gt;&lt;wsp:rsid wsp:val=&quot;00A005F6&quot;/&gt;&lt;wsp:rsid wsp:val=&quot;00A04E37&quot;/&gt;&lt;wsp:rsid wsp:val=&quot;00A04FD5&quot;/&gt;&lt;wsp:rsid wsp:val=&quot;00A05273&quot;/&gt;&lt;wsp:rsid wsp:val=&quot;00A06F91&quot;/&gt;&lt;wsp:rsid wsp:val=&quot;00A0765A&quot;/&gt;&lt;wsp:rsid wsp:val=&quot;00A11437&quot;/&gt;&lt;wsp:rsid wsp:val=&quot;00A11936&quot;/&gt;&lt;wsp:rsid wsp:val=&quot;00A11BFC&quot;/&gt;&lt;wsp:rsid wsp:val=&quot;00A1221A&quot;/&gt;&lt;wsp:rsid wsp:val=&quot;00A131D4&quot;/&gt;&lt;wsp:rsid wsp:val=&quot;00A16666&quot;/&gt;&lt;wsp:rsid wsp:val=&quot;00A21638&quot;/&gt;&lt;wsp:rsid wsp:val=&quot;00A2252D&quot;/&gt;&lt;wsp:rsid wsp:val=&quot;00A237C2&quot;/&gt;&lt;wsp:rsid wsp:val=&quot;00A25759&quot;/&gt;&lt;wsp:rsid wsp:val=&quot;00A27197&quot;/&gt;&lt;wsp:rsid wsp:val=&quot;00A2764D&quot;/&gt;&lt;wsp:rsid wsp:val=&quot;00A306EA&quot;/&gt;&lt;wsp:rsid wsp:val=&quot;00A32021&quot;/&gt;&lt;wsp:rsid wsp:val=&quot;00A339E2&quot;/&gt;&lt;wsp:rsid wsp:val=&quot;00A36F9F&quot;/&gt;&lt;wsp:rsid wsp:val=&quot;00A3790E&quot;/&gt;&lt;wsp:rsid wsp:val=&quot;00A37D5A&quot;/&gt;&lt;wsp:rsid wsp:val=&quot;00A4017E&quot;/&gt;&lt;wsp:rsid wsp:val=&quot;00A40EEB&quot;/&gt;&lt;wsp:rsid wsp:val=&quot;00A41B96&quot;/&gt;&lt;wsp:rsid wsp:val=&quot;00A42407&quot;/&gt;&lt;wsp:rsid wsp:val=&quot;00A433BF&quot;/&gt;&lt;wsp:rsid wsp:val=&quot;00A4375D&quot;/&gt;&lt;wsp:rsid wsp:val=&quot;00A44D32&quot;/&gt;&lt;wsp:rsid wsp:val=&quot;00A45AED&quot;/&gt;&lt;wsp:rsid wsp:val=&quot;00A471A2&quot;/&gt;&lt;wsp:rsid wsp:val=&quot;00A47EDE&quot;/&gt;&lt;wsp:rsid wsp:val=&quot;00A513CE&quot;/&gt;&lt;wsp:rsid wsp:val=&quot;00A52303&quot;/&gt;&lt;wsp:rsid wsp:val=&quot;00A5310F&quot;/&gt;&lt;wsp:rsid wsp:val=&quot;00A55822&quot;/&gt;&lt;wsp:rsid wsp:val=&quot;00A558CC&quot;/&gt;&lt;wsp:rsid wsp:val=&quot;00A6027F&quot;/&gt;&lt;wsp:rsid wsp:val=&quot;00A60F0D&quot;/&gt;&lt;wsp:rsid wsp:val=&quot;00A614B1&quot;/&gt;&lt;wsp:rsid wsp:val=&quot;00A61FB8&quot;/&gt;&lt;wsp:rsid wsp:val=&quot;00A62391&quot;/&gt;&lt;wsp:rsid wsp:val=&quot;00A63EC1&quot;/&gt;&lt;wsp:rsid wsp:val=&quot;00A64CE7&quot;/&gt;&lt;wsp:rsid wsp:val=&quot;00A66954&quot;/&gt;&lt;wsp:rsid wsp:val=&quot;00A671FD&quot;/&gt;&lt;wsp:rsid wsp:val=&quot;00A715A1&quot;/&gt;&lt;wsp:rsid wsp:val=&quot;00A72686&quot;/&gt;&lt;wsp:rsid wsp:val=&quot;00A72DB3&quot;/&gt;&lt;wsp:rsid wsp:val=&quot;00A72FFB&quot;/&gt;&lt;wsp:rsid wsp:val=&quot;00A74AF1&quot;/&gt;&lt;wsp:rsid wsp:val=&quot;00A75422&quot;/&gt;&lt;wsp:rsid wsp:val=&quot;00A75C29&quot;/&gt;&lt;wsp:rsid wsp:val=&quot;00A76107&quot;/&gt;&lt;wsp:rsid wsp:val=&quot;00A7671C&quot;/&gt;&lt;wsp:rsid wsp:val=&quot;00A76B33&quot;/&gt;&lt;wsp:rsid wsp:val=&quot;00A77F07&quot;/&gt;&lt;wsp:rsid wsp:val=&quot;00A77FFE&quot;/&gt;&lt;wsp:rsid wsp:val=&quot;00A82B3A&quot;/&gt;&lt;wsp:rsid wsp:val=&quot;00A84008&quot;/&gt;&lt;wsp:rsid wsp:val=&quot;00A86C09&quot;/&gt;&lt;wsp:rsid wsp:val=&quot;00A90534&quot;/&gt;&lt;wsp:rsid wsp:val=&quot;00A94771&quot;/&gt;&lt;wsp:rsid wsp:val=&quot;00AA51F9&quot;/&gt;&lt;wsp:rsid wsp:val=&quot;00AA5226&quot;/&gt;&lt;wsp:rsid wsp:val=&quot;00AA72FB&quot;/&gt;&lt;wsp:rsid wsp:val=&quot;00AA7A38&quot;/&gt;&lt;wsp:rsid wsp:val=&quot;00AA7D39&quot;/&gt;&lt;wsp:rsid wsp:val=&quot;00AB100D&quot;/&gt;&lt;wsp:rsid wsp:val=&quot;00AB6371&quot;/&gt;&lt;wsp:rsid wsp:val=&quot;00AB65FC&quot;/&gt;&lt;wsp:rsid wsp:val=&quot;00AB7095&quot;/&gt;&lt;wsp:rsid wsp:val=&quot;00AB7FE3&quot;/&gt;&lt;wsp:rsid wsp:val=&quot;00AC21FC&quot;/&gt;&lt;wsp:rsid wsp:val=&quot;00AC236F&quot;/&gt;&lt;wsp:rsid wsp:val=&quot;00AC405F&quot;/&gt;&lt;wsp:rsid wsp:val=&quot;00AC60B0&quot;/&gt;&lt;wsp:rsid wsp:val=&quot;00AD00E0&quot;/&gt;&lt;wsp:rsid wsp:val=&quot;00AD271A&quot;/&gt;&lt;wsp:rsid wsp:val=&quot;00AD2EA0&quot;/&gt;&lt;wsp:rsid wsp:val=&quot;00AD4EF1&quot;/&gt;&lt;wsp:rsid wsp:val=&quot;00AD695C&quot;/&gt;&lt;wsp:rsid wsp:val=&quot;00AD715A&quot;/&gt;&lt;wsp:rsid wsp:val=&quot;00AD7BD1&quot;/&gt;&lt;wsp:rsid wsp:val=&quot;00AE0A34&quot;/&gt;&lt;wsp:rsid wsp:val=&quot;00AE2D1B&quot;/&gt;&lt;wsp:rsid wsp:val=&quot;00AE457E&quot;/&gt;&lt;wsp:rsid wsp:val=&quot;00AE47EC&quot;/&gt;&lt;wsp:rsid wsp:val=&quot;00AE498D&quot;/&gt;&lt;wsp:rsid wsp:val=&quot;00AE623C&quot;/&gt;&lt;wsp:rsid wsp:val=&quot;00AE6660&quot;/&gt;&lt;wsp:rsid wsp:val=&quot;00AE7BC6&quot;/&gt;&lt;wsp:rsid wsp:val=&quot;00AF18BF&quot;/&gt;&lt;wsp:rsid wsp:val=&quot;00AF1C3D&quot;/&gt;&lt;wsp:rsid wsp:val=&quot;00AF23FC&quot;/&gt;&lt;wsp:rsid wsp:val=&quot;00AF2C75&quot;/&gt;&lt;wsp:rsid wsp:val=&quot;00AF3B01&quot;/&gt;&lt;wsp:rsid wsp:val=&quot;00AF4A08&quot;/&gt;&lt;wsp:rsid wsp:val=&quot;00AF5164&quot;/&gt;&lt;wsp:rsid wsp:val=&quot;00AF78F8&quot;/&gt;&lt;wsp:rsid wsp:val=&quot;00AF7DE6&quot;/&gt;&lt;wsp:rsid wsp:val=&quot;00B00C61&quot;/&gt;&lt;wsp:rsid wsp:val=&quot;00B015BE&quot;/&gt;&lt;wsp:rsid wsp:val=&quot;00B0406A&quot;/&gt;&lt;wsp:rsid wsp:val=&quot;00B04D6C&quot;/&gt;&lt;wsp:rsid wsp:val=&quot;00B04E83&quot;/&gt;&lt;wsp:rsid wsp:val=&quot;00B063CE&quot;/&gt;&lt;wsp:rsid wsp:val=&quot;00B107BC&quot;/&gt;&lt;wsp:rsid wsp:val=&quot;00B107D0&quot;/&gt;&lt;wsp:rsid wsp:val=&quot;00B11004&quot;/&gt;&lt;wsp:rsid wsp:val=&quot;00B11775&quot;/&gt;&lt;wsp:rsid wsp:val=&quot;00B1450D&quot;/&gt;&lt;wsp:rsid wsp:val=&quot;00B147BF&quot;/&gt;&lt;wsp:rsid wsp:val=&quot;00B1493F&quot;/&gt;&lt;wsp:rsid wsp:val=&quot;00B14C74&quot;/&gt;&lt;wsp:rsid wsp:val=&quot;00B159DF&quot;/&gt;&lt;wsp:rsid wsp:val=&quot;00B15A93&quot;/&gt;&lt;wsp:rsid wsp:val=&quot;00B1660B&quot;/&gt;&lt;wsp:rsid wsp:val=&quot;00B20FE0&quot;/&gt;&lt;wsp:rsid wsp:val=&quot;00B2404C&quot;/&gt;&lt;wsp:rsid wsp:val=&quot;00B2605E&quot;/&gt;&lt;wsp:rsid wsp:val=&quot;00B26148&quot;/&gt;&lt;wsp:rsid wsp:val=&quot;00B26C98&quot;/&gt;&lt;wsp:rsid wsp:val=&quot;00B27E12&quot;/&gt;&lt;wsp:rsid wsp:val=&quot;00B30B27&quot;/&gt;&lt;wsp:rsid wsp:val=&quot;00B33D3F&quot;/&gt;&lt;wsp:rsid wsp:val=&quot;00B35A13&quot;/&gt;&lt;wsp:rsid wsp:val=&quot;00B405B0&quot;/&gt;&lt;wsp:rsid wsp:val=&quot;00B411DE&quot;/&gt;&lt;wsp:rsid wsp:val=&quot;00B41EDC&quot;/&gt;&lt;wsp:rsid wsp:val=&quot;00B422F3&quot;/&gt;&lt;wsp:rsid wsp:val=&quot;00B42909&quot;/&gt;&lt;wsp:rsid wsp:val=&quot;00B45FA0&quot;/&gt;&lt;wsp:rsid wsp:val=&quot;00B47403&quot;/&gt;&lt;wsp:rsid wsp:val=&quot;00B47F08&quot;/&gt;&lt;wsp:rsid wsp:val=&quot;00B503B7&quot;/&gt;&lt;wsp:rsid wsp:val=&quot;00B52640&quot;/&gt;&lt;wsp:rsid wsp:val=&quot;00B53F32&quot;/&gt;&lt;wsp:rsid wsp:val=&quot;00B54817&quot;/&gt;&lt;wsp:rsid wsp:val=&quot;00B64340&quot;/&gt;&lt;wsp:rsid wsp:val=&quot;00B65A24&quot;/&gt;&lt;wsp:rsid wsp:val=&quot;00B66E6F&quot;/&gt;&lt;wsp:rsid wsp:val=&quot;00B7033C&quot;/&gt;&lt;wsp:rsid wsp:val=&quot;00B709FF&quot;/&gt;&lt;wsp:rsid wsp:val=&quot;00B72A35&quot;/&gt;&lt;wsp:rsid wsp:val=&quot;00B7412A&quot;/&gt;&lt;wsp:rsid wsp:val=&quot;00B770D4&quot;/&gt;&lt;wsp:rsid wsp:val=&quot;00B826BA&quot;/&gt;&lt;wsp:rsid wsp:val=&quot;00B82750&quot;/&gt;&lt;wsp:rsid wsp:val=&quot;00B84475&quot;/&gt;&lt;wsp:rsid wsp:val=&quot;00B85792&quot;/&gt;&lt;wsp:rsid wsp:val=&quot;00B86311&quot;/&gt;&lt;wsp:rsid wsp:val=&quot;00B87E46&quot;/&gt;&lt;wsp:rsid wsp:val=&quot;00B915C1&quot;/&gt;&lt;wsp:rsid wsp:val=&quot;00B9274C&quot;/&gt;&lt;wsp:rsid wsp:val=&quot;00B927BE&quot;/&gt;&lt;wsp:rsid wsp:val=&quot;00B94DDB&quot;/&gt;&lt;wsp:rsid wsp:val=&quot;00B95AF7&quot;/&gt;&lt;wsp:rsid wsp:val=&quot;00BA0A03&quot;/&gt;&lt;wsp:rsid wsp:val=&quot;00BA134E&quot;/&gt;&lt;wsp:rsid wsp:val=&quot;00BA2104&quot;/&gt;&lt;wsp:rsid wsp:val=&quot;00BA5DA5&quot;/&gt;&lt;wsp:rsid wsp:val=&quot;00BA5FAF&quot;/&gt;&lt;wsp:rsid wsp:val=&quot;00BA6287&quot;/&gt;&lt;wsp:rsid wsp:val=&quot;00BA73B2&quot;/&gt;&lt;wsp:rsid wsp:val=&quot;00BA73CC&quot;/&gt;&lt;wsp:rsid wsp:val=&quot;00BA75D2&quot;/&gt;&lt;wsp:rsid wsp:val=&quot;00BB088E&quot;/&gt;&lt;wsp:rsid wsp:val=&quot;00BB0C41&quot;/&gt;&lt;wsp:rsid wsp:val=&quot;00BB0E1B&quot;/&gt;&lt;wsp:rsid wsp:val=&quot;00BB1076&quot;/&gt;&lt;wsp:rsid wsp:val=&quot;00BB2B86&quot;/&gt;&lt;wsp:rsid wsp:val=&quot;00BB2C80&quot;/&gt;&lt;wsp:rsid wsp:val=&quot;00BB349C&quot;/&gt;&lt;wsp:rsid wsp:val=&quot;00BB3F11&quot;/&gt;&lt;wsp:rsid wsp:val=&quot;00BB452E&quot;/&gt;&lt;wsp:rsid wsp:val=&quot;00BB7663&quot;/&gt;&lt;wsp:rsid wsp:val=&quot;00BB7C06&quot;/&gt;&lt;wsp:rsid wsp:val=&quot;00BC1232&quot;/&gt;&lt;wsp:rsid wsp:val=&quot;00BC1A9E&quot;/&gt;&lt;wsp:rsid wsp:val=&quot;00BC2364&quot;/&gt;&lt;wsp:rsid wsp:val=&quot;00BC4C9E&quot;/&gt;&lt;wsp:rsid wsp:val=&quot;00BC5070&quot;/&gt;&lt;wsp:rsid wsp:val=&quot;00BC66AF&quot;/&gt;&lt;wsp:rsid wsp:val=&quot;00BC67FB&quot;/&gt;&lt;wsp:rsid wsp:val=&quot;00BD0DD5&quot;/&gt;&lt;wsp:rsid wsp:val=&quot;00BD1028&quot;/&gt;&lt;wsp:rsid wsp:val=&quot;00BD251D&quot;/&gt;&lt;wsp:rsid wsp:val=&quot;00BD2F22&quot;/&gt;&lt;wsp:rsid wsp:val=&quot;00BD5128&quot;/&gt;&lt;wsp:rsid wsp:val=&quot;00BD55EF&quot;/&gt;&lt;wsp:rsid wsp:val=&quot;00BD6599&quot;/&gt;&lt;wsp:rsid wsp:val=&quot;00BD714F&quot;/&gt;&lt;wsp:rsid wsp:val=&quot;00BD773C&quot;/&gt;&lt;wsp:rsid wsp:val=&quot;00BE0415&quot;/&gt;&lt;wsp:rsid wsp:val=&quot;00BE0BAB&quot;/&gt;&lt;wsp:rsid wsp:val=&quot;00BE1582&quot;/&gt;&lt;wsp:rsid wsp:val=&quot;00BE1D67&quot;/&gt;&lt;wsp:rsid wsp:val=&quot;00BE532D&quot;/&gt;&lt;wsp:rsid wsp:val=&quot;00BE7A07&quot;/&gt;&lt;wsp:rsid wsp:val=&quot;00BE7C72&quot;/&gt;&lt;wsp:rsid wsp:val=&quot;00BE7FE4&quot;/&gt;&lt;wsp:rsid wsp:val=&quot;00BF1B05&quot;/&gt;&lt;wsp:rsid wsp:val=&quot;00BF30BF&quot;/&gt;&lt;wsp:rsid wsp:val=&quot;00BF327F&quot;/&gt;&lt;wsp:rsid wsp:val=&quot;00BF3812&quot;/&gt;&lt;wsp:rsid wsp:val=&quot;00BF44DD&quot;/&gt;&lt;wsp:rsid wsp:val=&quot;00BF4860&quot;/&gt;&lt;wsp:rsid wsp:val=&quot;00BF5390&quot;/&gt;&lt;wsp:rsid wsp:val=&quot;00BF7A1E&quot;/&gt;&lt;wsp:rsid wsp:val=&quot;00C00BB6&quot;/&gt;&lt;wsp:rsid wsp:val=&quot;00C00D2B&quot;/&gt;&lt;wsp:rsid wsp:val=&quot;00C016D7&quot;/&gt;&lt;wsp:rsid wsp:val=&quot;00C02157&quot;/&gt;&lt;wsp:rsid wsp:val=&quot;00C0256F&quot;/&gt;&lt;wsp:rsid wsp:val=&quot;00C03CF2&quot;/&gt;&lt;wsp:rsid wsp:val=&quot;00C079C9&quot;/&gt;&lt;wsp:rsid wsp:val=&quot;00C07D16&quot;/&gt;&lt;wsp:rsid wsp:val=&quot;00C11B97&quot;/&gt;&lt;wsp:rsid wsp:val=&quot;00C122D4&quot;/&gt;&lt;wsp:rsid wsp:val=&quot;00C13245&quot;/&gt;&lt;wsp:rsid wsp:val=&quot;00C133C3&quot;/&gt;&lt;wsp:rsid wsp:val=&quot;00C13823&quot;/&gt;&lt;wsp:rsid wsp:val=&quot;00C13838&quot;/&gt;&lt;wsp:rsid wsp:val=&quot;00C14B23&quot;/&gt;&lt;wsp:rsid wsp:val=&quot;00C15BAD&quot;/&gt;&lt;wsp:rsid wsp:val=&quot;00C21E8F&quot;/&gt;&lt;wsp:rsid wsp:val=&quot;00C22192&quot;/&gt;&lt;wsp:rsid wsp:val=&quot;00C24618&quot;/&gt;&lt;wsp:rsid wsp:val=&quot;00C27708&quot;/&gt;&lt;wsp:rsid wsp:val=&quot;00C27F9F&quot;/&gt;&lt;wsp:rsid wsp:val=&quot;00C305BF&quot;/&gt;&lt;wsp:rsid wsp:val=&quot;00C3347F&quot;/&gt;&lt;wsp:rsid wsp:val=&quot;00C33792&quot;/&gt;&lt;wsp:rsid wsp:val=&quot;00C33A6A&quot;/&gt;&lt;wsp:rsid wsp:val=&quot;00C3549E&quot;/&gt;&lt;wsp:rsid wsp:val=&quot;00C36CA9&quot;/&gt;&lt;wsp:rsid wsp:val=&quot;00C456A4&quot;/&gt;&lt;wsp:rsid wsp:val=&quot;00C458B2&quot;/&gt;&lt;wsp:rsid wsp:val=&quot;00C46075&quot;/&gt;&lt;wsp:rsid wsp:val=&quot;00C46544&quot;/&gt;&lt;wsp:rsid wsp:val=&quot;00C47D48&quot;/&gt;&lt;wsp:rsid wsp:val=&quot;00C5004F&quot;/&gt;&lt;wsp:rsid wsp:val=&quot;00C5012B&quot;/&gt;&lt;wsp:rsid wsp:val=&quot;00C509BD&quot;/&gt;&lt;wsp:rsid wsp:val=&quot;00C52993&quot;/&gt;&lt;wsp:rsid wsp:val=&quot;00C52CF4&quot;/&gt;&lt;wsp:rsid wsp:val=&quot;00C52D39&quot;/&gt;&lt;wsp:rsid wsp:val=&quot;00C5575E&quot;/&gt;&lt;wsp:rsid wsp:val=&quot;00C60696&quot;/&gt;&lt;wsp:rsid wsp:val=&quot;00C64829&quot;/&gt;&lt;wsp:rsid wsp:val=&quot;00C6608D&quot;/&gt;&lt;wsp:rsid wsp:val=&quot;00C70DF1&quot;/&gt;&lt;wsp:rsid wsp:val=&quot;00C723A2&quot;/&gt;&lt;wsp:rsid wsp:val=&quot;00C7416C&quot;/&gt;&lt;wsp:rsid wsp:val=&quot;00C80785&quot;/&gt;&lt;wsp:rsid wsp:val=&quot;00C822E4&quot;/&gt;&lt;wsp:rsid wsp:val=&quot;00C86394&quot;/&gt;&lt;wsp:rsid wsp:val=&quot;00C8752E&quot;/&gt;&lt;wsp:rsid wsp:val=&quot;00C87DF4&quot;/&gt;&lt;wsp:rsid wsp:val=&quot;00C9060C&quot;/&gt;&lt;wsp:rsid wsp:val=&quot;00C92EFD&quot;/&gt;&lt;wsp:rsid wsp:val=&quot;00C93D68&quot;/&gt;&lt;wsp:rsid wsp:val=&quot;00C94A38&quot;/&gt;&lt;wsp:rsid wsp:val=&quot;00C95117&quot;/&gt;&lt;wsp:rsid wsp:val=&quot;00C953A1&quot;/&gt;&lt;wsp:rsid wsp:val=&quot;00C9725E&quot;/&gt;&lt;wsp:rsid wsp:val=&quot;00C97E3E&quot;/&gt;&lt;wsp:rsid wsp:val=&quot;00CA1744&quot;/&gt;&lt;wsp:rsid wsp:val=&quot;00CA195D&quot;/&gt;&lt;wsp:rsid wsp:val=&quot;00CA1B4C&quot;/&gt;&lt;wsp:rsid wsp:val=&quot;00CA1FA1&quot;/&gt;&lt;wsp:rsid wsp:val=&quot;00CA2B73&quot;/&gt;&lt;wsp:rsid wsp:val=&quot;00CA2E43&quot;/&gt;&lt;wsp:rsid wsp:val=&quot;00CA3393&quot;/&gt;&lt;wsp:rsid wsp:val=&quot;00CA4051&quot;/&gt;&lt;wsp:rsid wsp:val=&quot;00CA5B2A&quot;/&gt;&lt;wsp:rsid wsp:val=&quot;00CA7068&quot;/&gt;&lt;wsp:rsid wsp:val=&quot;00CA72F4&quot;/&gt;&lt;wsp:rsid wsp:val=&quot;00CA784C&quot;/&gt;&lt;wsp:rsid wsp:val=&quot;00CB01E2&quot;/&gt;&lt;wsp:rsid wsp:val=&quot;00CB3386&quot;/&gt;&lt;wsp:rsid wsp:val=&quot;00CB6D25&quot;/&gt;&lt;wsp:rsid wsp:val=&quot;00CB73D2&quot;/&gt;&lt;wsp:rsid wsp:val=&quot;00CC1256&quot;/&gt;&lt;wsp:rsid wsp:val=&quot;00CC3A32&quot;/&gt;&lt;wsp:rsid wsp:val=&quot;00CC3DE7&quot;/&gt;&lt;wsp:rsid wsp:val=&quot;00CC507E&quot;/&gt;&lt;wsp:rsid wsp:val=&quot;00CC5CBC&quot;/&gt;&lt;wsp:rsid wsp:val=&quot;00CC5FD5&quot;/&gt;&lt;wsp:rsid wsp:val=&quot;00CC65F4&quot;/&gt;&lt;wsp:rsid wsp:val=&quot;00CC75F8&quot;/&gt;&lt;wsp:rsid wsp:val=&quot;00CD0523&quot;/&gt;&lt;wsp:rsid wsp:val=&quot;00CD097A&quot;/&gt;&lt;wsp:rsid wsp:val=&quot;00CD1211&quot;/&gt;&lt;wsp:rsid wsp:val=&quot;00CD1AB1&quot;/&gt;&lt;wsp:rsid wsp:val=&quot;00CD20D0&quot;/&gt;&lt;wsp:rsid wsp:val=&quot;00CD20F2&quot;/&gt;&lt;wsp:rsid wsp:val=&quot;00CD2EDB&quot;/&gt;&lt;wsp:rsid wsp:val=&quot;00CD3B5B&quot;/&gt;&lt;wsp:rsid wsp:val=&quot;00CD644C&quot;/&gt;&lt;wsp:rsid wsp:val=&quot;00CD6738&quot;/&gt;&lt;wsp:rsid wsp:val=&quot;00CD73B1&quot;/&gt;&lt;wsp:rsid wsp:val=&quot;00CE0D5D&quot;/&gt;&lt;wsp:rsid wsp:val=&quot;00CE21B8&quot;/&gt;&lt;wsp:rsid wsp:val=&quot;00CE238D&quot;/&gt;&lt;wsp:rsid wsp:val=&quot;00CE28AC&quot;/&gt;&lt;wsp:rsid wsp:val=&quot;00CE3344&quot;/&gt;&lt;wsp:rsid wsp:val=&quot;00CE495B&quot;/&gt;&lt;wsp:rsid wsp:val=&quot;00CE6431&quot;/&gt;&lt;wsp:rsid wsp:val=&quot;00CE6A76&quot;/&gt;&lt;wsp:rsid wsp:val=&quot;00CE7B09&quot;/&gt;&lt;wsp:rsid wsp:val=&quot;00CE7F82&quot;/&gt;&lt;wsp:rsid wsp:val=&quot;00CF0235&quot;/&gt;&lt;wsp:rsid wsp:val=&quot;00CF1EB7&quot;/&gt;&lt;wsp:rsid wsp:val=&quot;00CF2C8C&quot;/&gt;&lt;wsp:rsid wsp:val=&quot;00CF521F&quot;/&gt;&lt;wsp:rsid wsp:val=&quot;00CF6300&quot;/&gt;&lt;wsp:rsid wsp:val=&quot;00CF6775&quot;/&gt;&lt;wsp:rsid wsp:val=&quot;00CF6930&quot;/&gt;&lt;wsp:rsid wsp:val=&quot;00CF7134&quot;/&gt;&lt;wsp:rsid wsp:val=&quot;00D00A33&quot;/&gt;&lt;wsp:rsid wsp:val=&quot;00D01039&quot;/&gt;&lt;wsp:rsid wsp:val=&quot;00D05CA8&quot;/&gt;&lt;wsp:rsid wsp:val=&quot;00D076CE&quot;/&gt;&lt;wsp:rsid wsp:val=&quot;00D07B55&quot;/&gt;&lt;wsp:rsid wsp:val=&quot;00D1050C&quot;/&gt;&lt;wsp:rsid wsp:val=&quot;00D11722&quot;/&gt;&lt;wsp:rsid wsp:val=&quot;00D11946&quot;/&gt;&lt;wsp:rsid wsp:val=&quot;00D127D3&quot;/&gt;&lt;wsp:rsid wsp:val=&quot;00D136C6&quot;/&gt;&lt;wsp:rsid wsp:val=&quot;00D14189&quot;/&gt;&lt;wsp:rsid wsp:val=&quot;00D14BCC&quot;/&gt;&lt;wsp:rsid wsp:val=&quot;00D14F25&quot;/&gt;&lt;wsp:rsid wsp:val=&quot;00D157FD&quot;/&gt;&lt;wsp:rsid wsp:val=&quot;00D16C85&quot;/&gt;&lt;wsp:rsid wsp:val=&quot;00D16DEE&quot;/&gt;&lt;wsp:rsid wsp:val=&quot;00D16F64&quot;/&gt;&lt;wsp:rsid wsp:val=&quot;00D17F6C&quot;/&gt;&lt;wsp:rsid wsp:val=&quot;00D21E45&quot;/&gt;&lt;wsp:rsid wsp:val=&quot;00D22B59&quot;/&gt;&lt;wsp:rsid wsp:val=&quot;00D25582&quot;/&gt;&lt;wsp:rsid wsp:val=&quot;00D25AD6&quot;/&gt;&lt;wsp:rsid wsp:val=&quot;00D25EF9&quot;/&gt;&lt;wsp:rsid wsp:val=&quot;00D27845&quot;/&gt;&lt;wsp:rsid wsp:val=&quot;00D317E6&quot;/&gt;&lt;wsp:rsid wsp:val=&quot;00D31D85&quot;/&gt;&lt;wsp:rsid wsp:val=&quot;00D31F67&quot;/&gt;&lt;wsp:rsid wsp:val=&quot;00D324AD&quot;/&gt;&lt;wsp:rsid wsp:val=&quot;00D326E5&quot;/&gt;&lt;wsp:rsid wsp:val=&quot;00D3357E&quot;/&gt;&lt;wsp:rsid wsp:val=&quot;00D33A59&quot;/&gt;&lt;wsp:rsid wsp:val=&quot;00D35902&quot;/&gt;&lt;wsp:rsid wsp:val=&quot;00D35A93&quot;/&gt;&lt;wsp:rsid wsp:val=&quot;00D40E87&quot;/&gt;&lt;wsp:rsid wsp:val=&quot;00D445BF&quot;/&gt;&lt;wsp:rsid wsp:val=&quot;00D44A41&quot;/&gt;&lt;wsp:rsid wsp:val=&quot;00D44D7D&quot;/&gt;&lt;wsp:rsid wsp:val=&quot;00D4523B&quot;/&gt;&lt;wsp:rsid wsp:val=&quot;00D46EBB&quot;/&gt;&lt;wsp:rsid wsp:val=&quot;00D47030&quot;/&gt;&lt;wsp:rsid wsp:val=&quot;00D47144&quot;/&gt;&lt;wsp:rsid wsp:val=&quot;00D472A5&quot;/&gt;&lt;wsp:rsid wsp:val=&quot;00D51205&quot;/&gt;&lt;wsp:rsid wsp:val=&quot;00D51672&quot;/&gt;&lt;wsp:rsid wsp:val=&quot;00D53299&quot;/&gt;&lt;wsp:rsid wsp:val=&quot;00D54DB1&quot;/&gt;&lt;wsp:rsid wsp:val=&quot;00D54DB8&quot;/&gt;&lt;wsp:rsid wsp:val=&quot;00D57AC1&quot;/&gt;&lt;wsp:rsid wsp:val=&quot;00D57CCE&quot;/&gt;&lt;wsp:rsid wsp:val=&quot;00D63E86&quot;/&gt;&lt;wsp:rsid wsp:val=&quot;00D702DF&quot;/&gt;&lt;wsp:rsid wsp:val=&quot;00D71D09&quot;/&gt;&lt;wsp:rsid wsp:val=&quot;00D71E70&quot;/&gt;&lt;wsp:rsid wsp:val=&quot;00D72386&quot;/&gt;&lt;wsp:rsid wsp:val=&quot;00D72CB2&quot;/&gt;&lt;wsp:rsid wsp:val=&quot;00D7332E&quot;/&gt;&lt;wsp:rsid wsp:val=&quot;00D747B4&quot;/&gt;&lt;wsp:rsid wsp:val=&quot;00D74FCF&quot;/&gt;&lt;wsp:rsid wsp:val=&quot;00D75C86&quot;/&gt;&lt;wsp:rsid wsp:val=&quot;00D817FB&quot;/&gt;&lt;wsp:rsid wsp:val=&quot;00D83140&quot;/&gt;&lt;wsp:rsid wsp:val=&quot;00D837B6&quot;/&gt;&lt;wsp:rsid wsp:val=&quot;00D83A41&quot;/&gt;&lt;wsp:rsid wsp:val=&quot;00D84B09&quot;/&gt;&lt;wsp:rsid wsp:val=&quot;00D85545&quot;/&gt;&lt;wsp:rsid wsp:val=&quot;00D85BBE&quot;/&gt;&lt;wsp:rsid wsp:val=&quot;00D91936&quot;/&gt;&lt;wsp:rsid wsp:val=&quot;00D92361&quot;/&gt;&lt;wsp:rsid wsp:val=&quot;00D930DC&quot;/&gt;&lt;wsp:rsid wsp:val=&quot;00D94C59&quot;/&gt;&lt;wsp:rsid wsp:val=&quot;00D95EB8&quot;/&gt;&lt;wsp:rsid wsp:val=&quot;00D96A18&quot;/&gt;&lt;wsp:rsid wsp:val=&quot;00D97116&quot;/&gt;&lt;wsp:rsid wsp:val=&quot;00D97151&quot;/&gt;&lt;wsp:rsid wsp:val=&quot;00D9783E&quot;/&gt;&lt;wsp:rsid wsp:val=&quot;00D97960&quot;/&gt;&lt;wsp:rsid wsp:val=&quot;00D97CC5&quot;/&gt;&lt;wsp:rsid wsp:val=&quot;00D97E84&quot;/&gt;&lt;wsp:rsid wsp:val=&quot;00DA0AA7&quot;/&gt;&lt;wsp:rsid wsp:val=&quot;00DA15E9&quot;/&gt;&lt;wsp:rsid wsp:val=&quot;00DA6AF0&quot;/&gt;&lt;wsp:rsid wsp:val=&quot;00DB0871&quot;/&gt;&lt;wsp:rsid wsp:val=&quot;00DB0D8D&quot;/&gt;&lt;wsp:rsid wsp:val=&quot;00DB4C22&quot;/&gt;&lt;wsp:rsid wsp:val=&quot;00DB4D50&quot;/&gt;&lt;wsp:rsid wsp:val=&quot;00DB5FEB&quot;/&gt;&lt;wsp:rsid wsp:val=&quot;00DC074B&quot;/&gt;&lt;wsp:rsid wsp:val=&quot;00DC0772&quot;/&gt;&lt;wsp:rsid wsp:val=&quot;00DC2D31&quot;/&gt;&lt;wsp:rsid wsp:val=&quot;00DC2D84&quot;/&gt;&lt;wsp:rsid wsp:val=&quot;00DC4468&quot;/&gt;&lt;wsp:rsid wsp:val=&quot;00DC61BF&quot;/&gt;&lt;wsp:rsid wsp:val=&quot;00DC7141&quot;/&gt;&lt;wsp:rsid wsp:val=&quot;00DC7D14&quot;/&gt;&lt;wsp:rsid wsp:val=&quot;00DC7FD4&quot;/&gt;&lt;wsp:rsid wsp:val=&quot;00DD0066&quot;/&gt;&lt;wsp:rsid wsp:val=&quot;00DD1886&quot;/&gt;&lt;wsp:rsid wsp:val=&quot;00DD19A0&quot;/&gt;&lt;wsp:rsid wsp:val=&quot;00DD53B6&quot;/&gt;&lt;wsp:rsid wsp:val=&quot;00DD74EA&quot;/&gt;&lt;wsp:rsid wsp:val=&quot;00DD7BB0&quot;/&gt;&lt;wsp:rsid wsp:val=&quot;00DE07B1&quot;/&gt;&lt;wsp:rsid wsp:val=&quot;00DE10DC&quot;/&gt;&lt;wsp:rsid wsp:val=&quot;00DE267E&quot;/&gt;&lt;wsp:rsid wsp:val=&quot;00DE3AA6&quot;/&gt;&lt;wsp:rsid wsp:val=&quot;00DE3FB7&quot;/&gt;&lt;wsp:rsid wsp:val=&quot;00DE526C&quot;/&gt;&lt;wsp:rsid wsp:val=&quot;00DE53FC&quot;/&gt;&lt;wsp:rsid wsp:val=&quot;00DE659C&quot;/&gt;&lt;wsp:rsid wsp:val=&quot;00DF1701&quot;/&gt;&lt;wsp:rsid wsp:val=&quot;00DF3379&quot;/&gt;&lt;wsp:rsid wsp:val=&quot;00DF4221&quot;/&gt;&lt;wsp:rsid wsp:val=&quot;00DF4C81&quot;/&gt;&lt;wsp:rsid wsp:val=&quot;00DF76A6&quot;/&gt;&lt;wsp:rsid wsp:val=&quot;00DF7A04&quot;/&gt;&lt;wsp:rsid wsp:val=&quot;00E021CE&quot;/&gt;&lt;wsp:rsid wsp:val=&quot;00E03A6E&quot;/&gt;&lt;wsp:rsid wsp:val=&quot;00E04146&quot;/&gt;&lt;wsp:rsid wsp:val=&quot;00E07888&quot;/&gt;&lt;wsp:rsid wsp:val=&quot;00E07ED1&quot;/&gt;&lt;wsp:rsid wsp:val=&quot;00E109B5&quot;/&gt;&lt;wsp:rsid wsp:val=&quot;00E10A4F&quot;/&gt;&lt;wsp:rsid wsp:val=&quot;00E125A4&quot;/&gt;&lt;wsp:rsid wsp:val=&quot;00E1268D&quot;/&gt;&lt;wsp:rsid wsp:val=&quot;00E13373&quot;/&gt;&lt;wsp:rsid wsp:val=&quot;00E1568D&quot;/&gt;&lt;wsp:rsid wsp:val=&quot;00E16D9F&quot;/&gt;&lt;wsp:rsid wsp:val=&quot;00E20B9F&quot;/&gt;&lt;wsp:rsid wsp:val=&quot;00E229DB&quot;/&gt;&lt;wsp:rsid wsp:val=&quot;00E27201&quot;/&gt;&lt;wsp:rsid wsp:val=&quot;00E30305&quot;/&gt;&lt;wsp:rsid wsp:val=&quot;00E31DAF&quot;/&gt;&lt;wsp:rsid wsp:val=&quot;00E3267A&quot;/&gt;&lt;wsp:rsid wsp:val=&quot;00E34209&quot;/&gt;&lt;wsp:rsid wsp:val=&quot;00E3678D&quot;/&gt;&lt;wsp:rsid wsp:val=&quot;00E36BBF&quot;/&gt;&lt;wsp:rsid wsp:val=&quot;00E37A9B&quot;/&gt;&lt;wsp:rsid wsp:val=&quot;00E37B94&quot;/&gt;&lt;wsp:rsid wsp:val=&quot;00E4074F&quot;/&gt;&lt;wsp:rsid wsp:val=&quot;00E40D73&quot;/&gt;&lt;wsp:rsid wsp:val=&quot;00E4192B&quot;/&gt;&lt;wsp:rsid wsp:val=&quot;00E4237A&quot;/&gt;&lt;wsp:rsid wsp:val=&quot;00E425AC&quot;/&gt;&lt;wsp:rsid wsp:val=&quot;00E449BD&quot;/&gt;&lt;wsp:rsid wsp:val=&quot;00E45401&quot;/&gt;&lt;wsp:rsid wsp:val=&quot;00E467F0&quot;/&gt;&lt;wsp:rsid wsp:val=&quot;00E4695F&quot;/&gt;&lt;wsp:rsid wsp:val=&quot;00E47D73&quot;/&gt;&lt;wsp:rsid wsp:val=&quot;00E52744&quot;/&gt;&lt;wsp:rsid wsp:val=&quot;00E52AF5&quot;/&gt;&lt;wsp:rsid wsp:val=&quot;00E52CF0&quot;/&gt;&lt;wsp:rsid wsp:val=&quot;00E53921&quot;/&gt;&lt;wsp:rsid wsp:val=&quot;00E543E7&quot;/&gt;&lt;wsp:rsid wsp:val=&quot;00E553B8&quot;/&gt;&lt;wsp:rsid wsp:val=&quot;00E55783&quot;/&gt;&lt;wsp:rsid wsp:val=&quot;00E60F1C&quot;/&gt;&lt;wsp:rsid wsp:val=&quot;00E6122E&quot;/&gt;&lt;wsp:rsid wsp:val=&quot;00E62BBD&quot;/&gt;&lt;wsp:rsid wsp:val=&quot;00E62CBE&quot;/&gt;&lt;wsp:rsid wsp:val=&quot;00E63B94&quot;/&gt;&lt;wsp:rsid wsp:val=&quot;00E64083&quot;/&gt;&lt;wsp:rsid wsp:val=&quot;00E64538&quot;/&gt;&lt;wsp:rsid wsp:val=&quot;00E65F2C&quot;/&gt;&lt;wsp:rsid wsp:val=&quot;00E67CF5&quot;/&gt;&lt;wsp:rsid wsp:val=&quot;00E70989&quot;/&gt;&lt;wsp:rsid wsp:val=&quot;00E72384&quot;/&gt;&lt;wsp:rsid wsp:val=&quot;00E73DD4&quot;/&gt;&lt;wsp:rsid wsp:val=&quot;00E76291&quot;/&gt;&lt;wsp:rsid wsp:val=&quot;00E76814&quot;/&gt;&lt;wsp:rsid wsp:val=&quot;00E76E70&quot;/&gt;&lt;wsp:rsid wsp:val=&quot;00E77057&quot;/&gt;&lt;wsp:rsid wsp:val=&quot;00E80224&quot;/&gt;&lt;wsp:rsid wsp:val=&quot;00E807DC&quot;/&gt;&lt;wsp:rsid wsp:val=&quot;00E83D52&quot;/&gt;&lt;wsp:rsid wsp:val=&quot;00E84CAB&quot;/&gt;&lt;wsp:rsid wsp:val=&quot;00E8629C&quot;/&gt;&lt;wsp:rsid wsp:val=&quot;00E904CD&quot;/&gt;&lt;wsp:rsid wsp:val=&quot;00E9254C&quot;/&gt;&lt;wsp:rsid wsp:val=&quot;00E92AEE&quot;/&gt;&lt;wsp:rsid wsp:val=&quot;00E97157&quot;/&gt;&lt;wsp:rsid wsp:val=&quot;00EA2BFA&quot;/&gt;&lt;wsp:rsid wsp:val=&quot;00EA55AF&quot;/&gt;&lt;wsp:rsid wsp:val=&quot;00EA56FB&quot;/&gt;&lt;wsp:rsid wsp:val=&quot;00EA5F26&quot;/&gt;&lt;wsp:rsid wsp:val=&quot;00EA67EC&quot;/&gt;&lt;wsp:rsid wsp:val=&quot;00EA739A&quot;/&gt;&lt;wsp:rsid wsp:val=&quot;00EB1D31&quot;/&gt;&lt;wsp:rsid wsp:val=&quot;00EB305E&quot;/&gt;&lt;wsp:rsid wsp:val=&quot;00EB4C99&quot;/&gt;&lt;wsp:rsid wsp:val=&quot;00EC210C&quot;/&gt;&lt;wsp:rsid wsp:val=&quot;00EC30B7&quot;/&gt;&lt;wsp:rsid wsp:val=&quot;00EC4BE5&quot;/&gt;&lt;wsp:rsid wsp:val=&quot;00EC58D9&quot;/&gt;&lt;wsp:rsid wsp:val=&quot;00EC5E4E&quot;/&gt;&lt;wsp:rsid wsp:val=&quot;00ED05AE&quot;/&gt;&lt;wsp:rsid wsp:val=&quot;00ED1084&quot;/&gt;&lt;wsp:rsid wsp:val=&quot;00ED144B&quot;/&gt;&lt;wsp:rsid wsp:val=&quot;00ED30B4&quot;/&gt;&lt;wsp:rsid wsp:val=&quot;00ED3812&quot;/&gt;&lt;wsp:rsid wsp:val=&quot;00ED3B6E&quot;/&gt;&lt;wsp:rsid wsp:val=&quot;00ED3D11&quot;/&gt;&lt;wsp:rsid wsp:val=&quot;00ED50C1&quot;/&gt;&lt;wsp:rsid wsp:val=&quot;00ED5BDC&quot;/&gt;&lt;wsp:rsid wsp:val=&quot;00ED6F8D&quot;/&gt;&lt;wsp:rsid wsp:val=&quot;00ED7620&quot;/&gt;&lt;wsp:rsid wsp:val=&quot;00EE2C03&quot;/&gt;&lt;wsp:rsid wsp:val=&quot;00EE3EE7&quot;/&gt;&lt;wsp:rsid wsp:val=&quot;00EE5457&quot;/&gt;&lt;wsp:rsid wsp:val=&quot;00EE5D3B&quot;/&gt;&lt;wsp:rsid wsp:val=&quot;00EE7414&quot;/&gt;&lt;wsp:rsid wsp:val=&quot;00EF00A0&quot;/&gt;&lt;wsp:rsid wsp:val=&quot;00EF2C9E&quot;/&gt;&lt;wsp:rsid wsp:val=&quot;00EF4931&quot;/&gt;&lt;wsp:rsid wsp:val=&quot;00EF52D0&quot;/&gt;&lt;wsp:rsid wsp:val=&quot;00EF7731&quot;/&gt;&lt;wsp:rsid wsp:val=&quot;00F00328&quot;/&gt;&lt;wsp:rsid wsp:val=&quot;00F009D5&quot;/&gt;&lt;wsp:rsid wsp:val=&quot;00F02F41&quot;/&gt;&lt;wsp:rsid wsp:val=&quot;00F03C66&quot;/&gt;&lt;wsp:rsid wsp:val=&quot;00F03CE8&quot;/&gt;&lt;wsp:rsid wsp:val=&quot;00F03F56&quot;/&gt;&lt;wsp:rsid wsp:val=&quot;00F05B38&quot;/&gt;&lt;wsp:rsid wsp:val=&quot;00F06842&quot;/&gt;&lt;wsp:rsid wsp:val=&quot;00F06F1F&quot;/&gt;&lt;wsp:rsid wsp:val=&quot;00F10442&quot;/&gt;&lt;wsp:rsid wsp:val=&quot;00F114E6&quot;/&gt;&lt;wsp:rsid wsp:val=&quot;00F167E7&quot;/&gt;&lt;wsp:rsid wsp:val=&quot;00F17974&quot;/&gt;&lt;wsp:rsid wsp:val=&quot;00F2159A&quot;/&gt;&lt;wsp:rsid wsp:val=&quot;00F21F8E&quot;/&gt;&lt;wsp:rsid wsp:val=&quot;00F247AD&quot;/&gt;&lt;wsp:rsid wsp:val=&quot;00F24BFB&quot;/&gt;&lt;wsp:rsid wsp:val=&quot;00F254D2&quot;/&gt;&lt;wsp:rsid wsp:val=&quot;00F2568C&quot;/&gt;&lt;wsp:rsid wsp:val=&quot;00F256A1&quot;/&gt;&lt;wsp:rsid wsp:val=&quot;00F25BC8&quot;/&gt;&lt;wsp:rsid wsp:val=&quot;00F25E83&quot;/&gt;&lt;wsp:rsid wsp:val=&quot;00F27EBC&quot;/&gt;&lt;wsp:rsid wsp:val=&quot;00F323B7&quot;/&gt;&lt;wsp:rsid wsp:val=&quot;00F34CBE&quot;/&gt;&lt;wsp:rsid wsp:val=&quot;00F366E6&quot;/&gt;&lt;wsp:rsid wsp:val=&quot;00F41DC5&quot;/&gt;&lt;wsp:rsid wsp:val=&quot;00F4325E&quot;/&gt;&lt;wsp:rsid wsp:val=&quot;00F4380D&quot;/&gt;&lt;wsp:rsid wsp:val=&quot;00F43D89&quot;/&gt;&lt;wsp:rsid wsp:val=&quot;00F51710&quot;/&gt;&lt;wsp:rsid wsp:val=&quot;00F52303&quot;/&gt;&lt;wsp:rsid wsp:val=&quot;00F536F2&quot;/&gt;&lt;wsp:rsid wsp:val=&quot;00F556F0&quot;/&gt;&lt;wsp:rsid wsp:val=&quot;00F57160&quot;/&gt;&lt;wsp:rsid wsp:val=&quot;00F6045A&quot;/&gt;&lt;wsp:rsid wsp:val=&quot;00F661DD&quot;/&gt;&lt;wsp:rsid wsp:val=&quot;00F66411&quot;/&gt;&lt;wsp:rsid wsp:val=&quot;00F66B0D&quot;/&gt;&lt;wsp:rsid wsp:val=&quot;00F71555&quot;/&gt;&lt;wsp:rsid wsp:val=&quot;00F72861&quot;/&gt;&lt;wsp:rsid wsp:val=&quot;00F735B5&quot;/&gt;&lt;wsp:rsid wsp:val=&quot;00F7369D&quot;/&gt;&lt;wsp:rsid wsp:val=&quot;00F73F25&quot;/&gt;&lt;wsp:rsid wsp:val=&quot;00F76757&quot;/&gt;&lt;wsp:rsid wsp:val=&quot;00F775B7&quot;/&gt;&lt;wsp:rsid wsp:val=&quot;00F80036&quot;/&gt;&lt;wsp:rsid wsp:val=&quot;00F80719&quot;/&gt;&lt;wsp:rsid wsp:val=&quot;00F8118C&quot;/&gt;&lt;wsp:rsid wsp:val=&quot;00F818D0&quot;/&gt;&lt;wsp:rsid wsp:val=&quot;00F82340&quot;/&gt;&lt;wsp:rsid wsp:val=&quot;00F825E1&quot;/&gt;&lt;wsp:rsid wsp:val=&quot;00F83740&quot;/&gt;&lt;wsp:rsid wsp:val=&quot;00F839B4&quot;/&gt;&lt;wsp:rsid wsp:val=&quot;00F83C2C&quot;/&gt;&lt;wsp:rsid wsp:val=&quot;00F83C71&quot;/&gt;&lt;wsp:rsid wsp:val=&quot;00F8461B&quot;/&gt;&lt;wsp:rsid wsp:val=&quot;00F867F0&quot;/&gt;&lt;wsp:rsid wsp:val=&quot;00F90570&quot;/&gt;&lt;wsp:rsid wsp:val=&quot;00F90E25&quot;/&gt;&lt;wsp:rsid wsp:val=&quot;00F90F12&quot;/&gt;&lt;wsp:rsid wsp:val=&quot;00F93C84&quot;/&gt;&lt;wsp:rsid wsp:val=&quot;00F97FC3&quot;/&gt;&lt;wsp:rsid wsp:val=&quot;00FA17E1&quot;/&gt;&lt;wsp:rsid wsp:val=&quot;00FA2149&quot;/&gt;&lt;wsp:rsid wsp:val=&quot;00FA3457&quot;/&gt;&lt;wsp:rsid wsp:val=&quot;00FA4D09&quot;/&gt;&lt;wsp:rsid wsp:val=&quot;00FA5073&quot;/&gt;&lt;wsp:rsid wsp:val=&quot;00FA549C&quot;/&gt;&lt;wsp:rsid wsp:val=&quot;00FA5DC4&quot;/&gt;&lt;wsp:rsid wsp:val=&quot;00FA6845&quot;/&gt;&lt;wsp:rsid wsp:val=&quot;00FA68B1&quot;/&gt;&lt;wsp:rsid wsp:val=&quot;00FB00EF&quot;/&gt;&lt;wsp:rsid wsp:val=&quot;00FB31E4&quot;/&gt;&lt;wsp:rsid wsp:val=&quot;00FB369A&quot;/&gt;&lt;wsp:rsid wsp:val=&quot;00FB41FA&quot;/&gt;&lt;wsp:rsid wsp:val=&quot;00FB4C83&quot;/&gt;&lt;wsp:rsid wsp:val=&quot;00FB6822&quot;/&gt;&lt;wsp:rsid wsp:val=&quot;00FC05A9&quot;/&gt;&lt;wsp:rsid wsp:val=&quot;00FC0DC9&quot;/&gt;&lt;wsp:rsid wsp:val=&quot;00FC3F4B&quot;/&gt;&lt;wsp:rsid wsp:val=&quot;00FC4162&quot;/&gt;&lt;wsp:rsid wsp:val=&quot;00FC4469&quot;/&gt;&lt;wsp:rsid wsp:val=&quot;00FC4D4B&quot;/&gt;&lt;wsp:rsid wsp:val=&quot;00FC6BB8&quot;/&gt;&lt;wsp:rsid wsp:val=&quot;00FC71C2&quot;/&gt;&lt;wsp:rsid wsp:val=&quot;00FC7B39&quot;/&gt;&lt;wsp:rsid wsp:val=&quot;00FC7CE4&quot;/&gt;&lt;wsp:rsid wsp:val=&quot;00FD0342&quot;/&gt;&lt;wsp:rsid wsp:val=&quot;00FD1B64&quot;/&gt;&lt;wsp:rsid wsp:val=&quot;00FD1F0C&quot;/&gt;&lt;wsp:rsid wsp:val=&quot;00FD43D3&quot;/&gt;&lt;wsp:rsid wsp:val=&quot;00FD485C&quot;/&gt;&lt;wsp:rsid wsp:val=&quot;00FD7696&quot;/&gt;&lt;wsp:rsid wsp:val=&quot;00FE07BC&quot;/&gt;&lt;wsp:rsid wsp:val=&quot;00FE10BF&quot;/&gt;&lt;wsp:rsid wsp:val=&quot;00FE2301&quot;/&gt;&lt;wsp:rsid wsp:val=&quot;00FE3ECA&quot;/&gt;&lt;wsp:rsid wsp:val=&quot;00FE5117&quot;/&gt;&lt;wsp:rsid wsp:val=&quot;00FE591C&quot;/&gt;&lt;wsp:rsid wsp:val=&quot;00FE66DF&quot;/&gt;&lt;wsp:rsid wsp:val=&quot;00FE788E&quot;/&gt;&lt;wsp:rsid wsp:val=&quot;00FF04F0&quot;/&gt;&lt;wsp:rsid wsp:val=&quot;00FF0A73&quot;/&gt;&lt;wsp:rsid wsp:val=&quot;00FF2D7F&quot;/&gt;&lt;wsp:rsid wsp:val=&quot;00FF3B26&quot;/&gt;&lt;wsp:rsid wsp:val=&quot;00FF3BBC&quot;/&gt;&lt;wsp:rsid wsp:val=&quot;00FF3DD8&quot;/&gt;&lt;wsp:rsid wsp:val=&quot;00FF46A7&quot;/&gt;&lt;wsp:rsid wsp:val=&quot;00FF46D5&quot;/&gt;&lt;wsp:rsid wsp:val=&quot;00FF4D0A&quot;/&gt;&lt;wsp:rsid wsp:val=&quot;00FF5DFC&quot;/&gt;&lt;wsp:rsid wsp:val=&quot;00FF662E&quot;/&gt;&lt;wsp:rsid wsp:val=&quot;00FF78CE&quot;/&gt;&lt;wsp:rsid wsp:val=&quot;010C2981&quot;/&gt;&lt;wsp:rsid wsp:val=&quot;023C527F&quot;/&gt;&lt;wsp:rsid wsp:val=&quot;02F3339A&quot;/&gt;&lt;wsp:rsid wsp:val=&quot;05D91CC6&quot;/&gt;&lt;wsp:rsid wsp:val=&quot;0CC87AC2&quot;/&gt;&lt;wsp:rsid wsp:val=&quot;1229517D&quot;/&gt;&lt;wsp:rsid wsp:val=&quot;14A41D5F&quot;/&gt;&lt;wsp:rsid wsp:val=&quot;164A0475&quot;/&gt;&lt;wsp:rsid wsp:val=&quot;186020A6&quot;/&gt;&lt;wsp:rsid wsp:val=&quot;19310A8B&quot;/&gt;&lt;wsp:rsid wsp:val=&quot;1AB573F0&quot;/&gt;&lt;wsp:rsid wsp:val=&quot;1CF92232&quot;/&gt;&lt;wsp:rsid wsp:val=&quot;1E397353&quot;/&gt;&lt;wsp:rsid wsp:val=&quot;23B542A1&quot;/&gt;&lt;wsp:rsid wsp:val=&quot;245C7BC4&quot;/&gt;&lt;wsp:rsid wsp:val=&quot;2A17557F&quot;/&gt;&lt;wsp:rsid wsp:val=&quot;2A492A9C&quot;/&gt;&lt;wsp:rsid wsp:val=&quot;2A8566A7&quot;/&gt;&lt;wsp:rsid wsp:val=&quot;30E57C41&quot;/&gt;&lt;wsp:rsid wsp:val=&quot;315B4962&quot;/&gt;&lt;wsp:rsid wsp:val=&quot;32791BC3&quot;/&gt;&lt;wsp:rsid wsp:val=&quot;33267902&quot;/&gt;&lt;wsp:rsid wsp:val=&quot;350A1F81&quot;/&gt;&lt;wsp:rsid wsp:val=&quot;359C4321&quot;/&gt;&lt;wsp:rsid wsp:val=&quot;41943A36&quot;/&gt;&lt;wsp:rsid wsp:val=&quot;51636229&quot;/&gt;&lt;wsp:rsid wsp:val=&quot;52031F12&quot;/&gt;&lt;wsp:rsid wsp:val=&quot;54555237&quot;/&gt;&lt;wsp:rsid wsp:val=&quot;548E7DC4&quot;/&gt;&lt;wsp:rsid wsp:val=&quot;5C041DB5&quot;/&gt;&lt;wsp:rsid wsp:val=&quot;5CC90A15&quot;/&gt;&lt;wsp:rsid wsp:val=&quot;5E913859&quot;/&gt;&lt;wsp:rsid wsp:val=&quot;61357D12&quot;/&gt;&lt;wsp:rsid wsp:val=&quot;624559BB&quot;/&gt;&lt;wsp:rsid wsp:val=&quot;67CD2F03&quot;/&gt;&lt;wsp:rsid wsp:val=&quot;6C9B5953&quot;/&gt;&lt;wsp:rsid wsp:val=&quot;6F501183&quot;/&gt;&lt;wsp:rsid wsp:val=&quot;6FB03D8C&quot;/&gt;&lt;wsp:rsid wsp:val=&quot;70070EFB&quot;/&gt;&lt;wsp:rsid wsp:val=&quot;70DE276D&quot;/&gt;&lt;wsp:rsid wsp:val=&quot;7347665F&quot;/&gt;&lt;wsp:rsid wsp:val=&quot;7C543980&quot;/&gt;&lt;/wsp:rsids&gt;&lt;/w:docPr&gt;&lt;w:body&gt;&lt;w:p wsp:rsidR=&quot;00000000&quot; wsp:rsidRDefault=&quot;00A76B33&quot;&gt;&lt;m:oMathPara&gt;&lt;m:oMath&gt;&lt;m:r&gt;&lt;m:rPr&gt;&lt;m:sty m:val=&quot;p&quot;/&gt;&lt;/m:rPr&gt;&lt;w:rPr&gt;&lt;w:rFonts w:ascii=&quot;Cambria Math&quot; w:h-ansi=&quot;Cambria Math&quot;/&gt;&lt;wx:font wx:val=&quot;Cambria Math&quot;/&gt;&lt;w:color w:val=&quot;FF0000&quot;/&gt;&lt;w:kern w:val=&quot;0&quot;/&gt;&lt;w:sz w:val=&quot;24&quot;/&gt;&lt;w:sz-cs w:val=&quot;20&quot;/&gt;&lt;/w:rPr&gt;&lt;m:t&gt;……&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body&gt;&lt;/w:wordDocument">
                  <v:path/>
                  <v:fill on="f" focussize="0,0"/>
                  <v:stroke on="f"/>
                  <v:imagedata r:id="rId13" chromakey="#FFFFFF" o:title=""/>
                  <o:lock v:ext="edit" aspectratio="t"/>
                  <w10:wrap type="none"/>
                  <w10:anchorlock/>
                </v:shape>
              </w:pict>
            </w:r>
            <w:r>
              <w:rPr>
                <w:rFonts w:hint="default" w:ascii="Times New Roman" w:hAnsi="Times New Roman" w:cs="Times New Roman"/>
                <w:color w:val="auto"/>
                <w:sz w:val="21"/>
                <w:szCs w:val="22"/>
                <w:highlight w:val="none"/>
              </w:rPr>
              <w:instrText xml:space="preserve"> </w:instrText>
            </w:r>
            <w:r>
              <w:rPr>
                <w:rFonts w:hint="default" w:ascii="Times New Roman" w:hAnsi="Times New Roman" w:cs="Times New Roman"/>
                <w:color w:val="auto"/>
                <w:sz w:val="21"/>
                <w:szCs w:val="22"/>
                <w:highlight w:val="none"/>
              </w:rPr>
              <w:fldChar w:fldCharType="separate"/>
            </w:r>
            <w:r>
              <w:rPr>
                <w:rFonts w:hint="default" w:ascii="Times New Roman" w:hAnsi="Times New Roman" w:cs="Times New Roman"/>
                <w:color w:val="auto"/>
                <w:sz w:val="21"/>
                <w:szCs w:val="22"/>
                <w:highlight w:val="none"/>
              </w:rPr>
              <w:pict>
                <v:shape id="_x0000_i1026" o:spt="75" type="#_x0000_t75" style="height:14.25pt;width:20.25pt;" filled="f" stroked="f" coordsize="21600,21600" equationxml="&lt;?xml version=&quot;1.0&quot; encoding=&quot;UTF-8&quot; standalone=&quot;yes&quot;?&gt;&#13;&#10;&lt;?mso-application progid=&quot;Word.Document&quot;?&gt;&#13;&#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stylePaneFormatFilter w:val=&quot;3F01&quot;/&gt;&lt;w:defaultTabStop w:val=&quot;420&quot;/&gt;&lt;w:drawingGridHorizontalSpacing w:val=&quot;105&quot;/&gt;&lt;w:drawingGridVerticalSpacing w:val=&quot;156&quot;/&gt;&lt;w:characterSpacingControl w:val=&quot;CompressPunctuation&quot;/&gt;&lt;w:webPageEncoding w:val=&quot;x-cp20936&quot;/&gt;&lt;w:optimizeForBrowser/&gt;&lt;w:validateAgainstSchema/&gt;&lt;w:saveInvalidXML w:val=&quot;off&quot;/&gt;&lt;w:ignoreMixedContent w:val=&quot;off&quot;/&gt;&lt;w:alwaysShowPlaceholderText w:val=&quot;off&quot;/&gt;&lt;w:compat&gt;&lt;w:spaceForUL/&gt;&lt;w:balanceSingleByteDoubleByteWidth/&gt;&lt;w:doNotLeaveBackslashAlone/&gt;&lt;w:doNotExpandShiftReturn/&gt;&lt;w:adjustLineHeightInTable/&gt;&lt;w:breakWrappedTables/&gt;&lt;w:snapToGridInCell/&gt;&lt;w:dontGrowAutofit/&gt;&lt;w:useFELayout/&gt;&lt;/w:compat&gt;&lt;wsp:rsids&gt;&lt;wsp:rsidRoot wsp:val=&quot;005D01AC&quot;/&gt;&lt;wsp:rsid wsp:val=&quot;000008C9&quot;/&gt;&lt;wsp:rsid wsp:val=&quot;00000A1F&quot;/&gt;&lt;wsp:rsid wsp:val=&quot;00000CB6&quot;/&gt;&lt;wsp:rsid wsp:val=&quot;000011FD&quot;/&gt;&lt;wsp:rsid wsp:val=&quot;0000207E&quot;/&gt;&lt;wsp:rsid wsp:val=&quot;000046B3&quot;/&gt;&lt;wsp:rsid wsp:val=&quot;000064F5&quot;/&gt;&lt;wsp:rsid wsp:val=&quot;0000797E&quot;/&gt;&lt;wsp:rsid wsp:val=&quot;0001047A&quot;/&gt;&lt;wsp:rsid wsp:val=&quot;00012460&quot;/&gt;&lt;wsp:rsid wsp:val=&quot;00016F18&quot;/&gt;&lt;wsp:rsid wsp:val=&quot;00017180&quot;/&gt;&lt;wsp:rsid wsp:val=&quot;0001755A&quot;/&gt;&lt;wsp:rsid wsp:val=&quot;0002110C&quot;/&gt;&lt;wsp:rsid wsp:val=&quot;00021817&quot;/&gt;&lt;wsp:rsid wsp:val=&quot;000244B2&quot;/&gt;&lt;wsp:rsid wsp:val=&quot;00024688&quot;/&gt;&lt;wsp:rsid wsp:val=&quot;00025BED&quot;/&gt;&lt;wsp:rsid wsp:val=&quot;00027486&quot;/&gt;&lt;wsp:rsid wsp:val=&quot;000305FC&quot;/&gt;&lt;wsp:rsid wsp:val=&quot;00031923&quot;/&gt;&lt;wsp:rsid wsp:val=&quot;0003290A&quot;/&gt;&lt;wsp:rsid wsp:val=&quot;000354E2&quot;/&gt;&lt;wsp:rsid wsp:val=&quot;000361E0&quot;/&gt;&lt;wsp:rsid wsp:val=&quot;000370BD&quot;/&gt;&lt;wsp:rsid wsp:val=&quot;00040DBE&quot;/&gt;&lt;wsp:rsid wsp:val=&quot;00041459&quot;/&gt;&lt;wsp:rsid wsp:val=&quot;00041E2C&quot;/&gt;&lt;wsp:rsid wsp:val=&quot;000440C4&quot;/&gt;&lt;wsp:rsid wsp:val=&quot;000440F6&quot;/&gt;&lt;wsp:rsid wsp:val=&quot;00044E78&quot;/&gt;&lt;wsp:rsid wsp:val=&quot;000452E5&quot;/&gt;&lt;wsp:rsid wsp:val=&quot;00046579&quot;/&gt;&lt;wsp:rsid wsp:val=&quot;000476A3&quot;/&gt;&lt;wsp:rsid wsp:val=&quot;00052456&quot;/&gt;&lt;wsp:rsid wsp:val=&quot;00055348&quot;/&gt;&lt;wsp:rsid wsp:val=&quot;00056753&quot;/&gt;&lt;wsp:rsid wsp:val=&quot;00056EE7&quot;/&gt;&lt;wsp:rsid wsp:val=&quot;00057AC7&quot;/&gt;&lt;wsp:rsid wsp:val=&quot;00061B93&quot;/&gt;&lt;wsp:rsid wsp:val=&quot;000624DB&quot;/&gt;&lt;wsp:rsid wsp:val=&quot;00063368&quot;/&gt;&lt;wsp:rsid wsp:val=&quot;000633A2&quot;/&gt;&lt;wsp:rsid wsp:val=&quot;00063BEF&quot;/&gt;&lt;wsp:rsid wsp:val=&quot;000654DA&quot;/&gt;&lt;wsp:rsid wsp:val=&quot;00065974&quot;/&gt;&lt;wsp:rsid wsp:val=&quot;000717E4&quot;/&gt;&lt;wsp:rsid wsp:val=&quot;000751CC&quot;/&gt;&lt;wsp:rsid wsp:val=&quot;000768D7&quot;/&gt;&lt;wsp:rsid wsp:val=&quot;00076AAC&quot;/&gt;&lt;wsp:rsid wsp:val=&quot;00080B00&quot;/&gt;&lt;wsp:rsid wsp:val=&quot;000846CA&quot;/&gt;&lt;wsp:rsid wsp:val=&quot;000856C9&quot;/&gt;&lt;wsp:rsid wsp:val=&quot;0008605D&quot;/&gt;&lt;wsp:rsid wsp:val=&quot;0008771C&quot;/&gt;&lt;wsp:rsid wsp:val=&quot;00090492&quot;/&gt;&lt;wsp:rsid wsp:val=&quot;000904C5&quot;/&gt;&lt;wsp:rsid wsp:val=&quot;00090D52&quot;/&gt;&lt;wsp:rsid wsp:val=&quot;00092A3D&quot;/&gt;&lt;wsp:rsid wsp:val=&quot;00093B18&quot;/&gt;&lt;wsp:rsid wsp:val=&quot;0009690B&quot;/&gt;&lt;wsp:rsid wsp:val=&quot;00097845&quot;/&gt;&lt;wsp:rsid wsp:val=&quot;000A0EBB&quot;/&gt;&lt;wsp:rsid wsp:val=&quot;000A1C2B&quot;/&gt;&lt;wsp:rsid wsp:val=&quot;000A457D&quot;/&gt;&lt;wsp:rsid wsp:val=&quot;000A4581&quot;/&gt;&lt;wsp:rsid wsp:val=&quot;000A5354&quot;/&gt;&lt;wsp:rsid wsp:val=&quot;000B02EA&quot;/&gt;&lt;wsp:rsid wsp:val=&quot;000B0E0C&quot;/&gt;&lt;wsp:rsid wsp:val=&quot;000B1F20&quot;/&gt;&lt;wsp:rsid wsp:val=&quot;000B3717&quot;/&gt;&lt;wsp:rsid wsp:val=&quot;000B3D22&quot;/&gt;&lt;wsp:rsid wsp:val=&quot;000B4788&quot;/&gt;&lt;wsp:rsid wsp:val=&quot;000B49B0&quot;/&gt;&lt;wsp:rsid wsp:val=&quot;000B59D4&quot;/&gt;&lt;wsp:rsid wsp:val=&quot;000B5C59&quot;/&gt;&lt;wsp:rsid wsp:val=&quot;000B606E&quot;/&gt;&lt;wsp:rsid wsp:val=&quot;000B6812&quot;/&gt;&lt;wsp:rsid wsp:val=&quot;000C0763&quot;/&gt;&lt;wsp:rsid wsp:val=&quot;000C1DF2&quot;/&gt;&lt;wsp:rsid wsp:val=&quot;000C43D2&quot;/&gt;&lt;wsp:rsid wsp:val=&quot;000C4CC7&quot;/&gt;&lt;wsp:rsid wsp:val=&quot;000C52F8&quot;/&gt;&lt;wsp:rsid wsp:val=&quot;000C6ECC&quot;/&gt;&lt;wsp:rsid wsp:val=&quot;000C780B&quot;/&gt;&lt;wsp:rsid wsp:val=&quot;000D04CD&quot;/&gt;&lt;wsp:rsid wsp:val=&quot;000D1301&quot;/&gt;&lt;wsp:rsid wsp:val=&quot;000D1619&quot;/&gt;&lt;wsp:rsid wsp:val=&quot;000D16DD&quot;/&gt;&lt;wsp:rsid wsp:val=&quot;000D1FE1&quot;/&gt;&lt;wsp:rsid wsp:val=&quot;000D26D0&quot;/&gt;&lt;wsp:rsid wsp:val=&quot;000D2FE4&quot;/&gt;&lt;wsp:rsid wsp:val=&quot;000D40AC&quot;/&gt;&lt;wsp:rsid wsp:val=&quot;000D4A6B&quot;/&gt;&lt;wsp:rsid wsp:val=&quot;000D5BD2&quot;/&gt;&lt;wsp:rsid wsp:val=&quot;000D79DF&quot;/&gt;&lt;wsp:rsid wsp:val=&quot;000E0B0C&quot;/&gt;&lt;wsp:rsid wsp:val=&quot;000E18DB&quot;/&gt;&lt;wsp:rsid wsp:val=&quot;000E1EA2&quot;/&gt;&lt;wsp:rsid wsp:val=&quot;000E3196&quot;/&gt;&lt;wsp:rsid wsp:val=&quot;000E42F2&quot;/&gt;&lt;wsp:rsid wsp:val=&quot;000E4373&quot;/&gt;&lt;wsp:rsid wsp:val=&quot;000E61FF&quot;/&gt;&lt;wsp:rsid wsp:val=&quot;000E639B&quot;/&gt;&lt;wsp:rsid wsp:val=&quot;000E6F62&quot;/&gt;&lt;wsp:rsid wsp:val=&quot;000F166E&quot;/&gt;&lt;wsp:rsid wsp:val=&quot;000F20E0&quot;/&gt;&lt;wsp:rsid wsp:val=&quot;000F34B1&quot;/&gt;&lt;wsp:rsid wsp:val=&quot;000F385E&quot;/&gt;&lt;wsp:rsid wsp:val=&quot;000F569E&quot;/&gt;&lt;wsp:rsid wsp:val=&quot;000F64EF&quot;/&gt;&lt;wsp:rsid wsp:val=&quot;000F69A2&quot;/&gt;&lt;wsp:rsid wsp:val=&quot;000F77AC&quot;/&gt;&lt;wsp:rsid wsp:val=&quot;000F7CCB&quot;/&gt;&lt;wsp:rsid wsp:val=&quot;001001CA&quot;/&gt;&lt;wsp:rsid wsp:val=&quot;00104348&quot;/&gt;&lt;wsp:rsid wsp:val=&quot;00105BAE&quot;/&gt;&lt;wsp:rsid wsp:val=&quot;00107690&quot;/&gt;&lt;wsp:rsid wsp:val=&quot;00107F09&quot;/&gt;&lt;wsp:rsid wsp:val=&quot;00111F82&quot;/&gt;&lt;wsp:rsid wsp:val=&quot;00112742&quot;/&gt;&lt;wsp:rsid wsp:val=&quot;00112D8D&quot;/&gt;&lt;wsp:rsid wsp:val=&quot;00112F8D&quot;/&gt;&lt;wsp:rsid wsp:val=&quot;00114A1C&quot;/&gt;&lt;wsp:rsid wsp:val=&quot;00115178&quot;/&gt;&lt;wsp:rsid wsp:val=&quot;00115B37&quot;/&gt;&lt;wsp:rsid wsp:val=&quot;001164A4&quot;/&gt;&lt;wsp:rsid wsp:val=&quot;00120CAA&quot;/&gt;&lt;wsp:rsid wsp:val=&quot;00121049&quot;/&gt;&lt;wsp:rsid wsp:val=&quot;00121C5D&quot;/&gt;&lt;wsp:rsid wsp:val=&quot;00122E83&quot;/&gt;&lt;wsp:rsid wsp:val=&quot;00123651&quot;/&gt;&lt;wsp:rsid wsp:val=&quot;001238D5&quot;/&gt;&lt;wsp:rsid wsp:val=&quot;00123C23&quot;/&gt;&lt;wsp:rsid wsp:val=&quot;001266E0&quot;/&gt;&lt;wsp:rsid wsp:val=&quot;0012703F&quot;/&gt;&lt;wsp:rsid wsp:val=&quot;001323FB&quot;/&gt;&lt;wsp:rsid wsp:val=&quot;00132A67&quot;/&gt;&lt;wsp:rsid wsp:val=&quot;00133A37&quot;/&gt;&lt;wsp:rsid wsp:val=&quot;00134F13&quot;/&gt;&lt;wsp:rsid wsp:val=&quot;00135721&quot;/&gt;&lt;wsp:rsid wsp:val=&quot;001368EB&quot;/&gt;&lt;wsp:rsid wsp:val=&quot;00137872&quot;/&gt;&lt;wsp:rsid wsp:val=&quot;00140042&quot;/&gt;&lt;wsp:rsid wsp:val=&quot;00144D60&quot;/&gt;&lt;wsp:rsid wsp:val=&quot;00146317&quot;/&gt;&lt;wsp:rsid wsp:val=&quot;00152E1A&quot;/&gt;&lt;wsp:rsid wsp:val=&quot;001547C7&quot;/&gt;&lt;wsp:rsid wsp:val=&quot;00154EEE&quot;/&gt;&lt;wsp:rsid wsp:val=&quot;00155998&quot;/&gt;&lt;wsp:rsid wsp:val=&quot;00155BAD&quot;/&gt;&lt;wsp:rsid wsp:val=&quot;001560C7&quot;/&gt;&lt;wsp:rsid wsp:val=&quot;00156DC2&quot;/&gt;&lt;wsp:rsid wsp:val=&quot;001619E4&quot;/&gt;&lt;wsp:rsid wsp:val=&quot;00162061&quot;/&gt;&lt;wsp:rsid wsp:val=&quot;00162F3C&quot;/&gt;&lt;wsp:rsid wsp:val=&quot;00163FB7&quot;/&gt;&lt;wsp:rsid wsp:val=&quot;001649C5&quot;/&gt;&lt;wsp:rsid wsp:val=&quot;00164F32&quot;/&gt;&lt;wsp:rsid wsp:val=&quot;00171E7D&quot;/&gt;&lt;wsp:rsid wsp:val=&quot;00172FFC&quot;/&gt;&lt;wsp:rsid wsp:val=&quot;00173706&quot;/&gt;&lt;wsp:rsid wsp:val=&quot;00173C37&quot;/&gt;&lt;wsp:rsid wsp:val=&quot;00174BAF&quot;/&gt;&lt;wsp:rsid wsp:val=&quot;00175068&quot;/&gt;&lt;wsp:rsid wsp:val=&quot;0017634D&quot;/&gt;&lt;wsp:rsid wsp:val=&quot;00177DEB&quot;/&gt;&lt;wsp:rsid wsp:val=&quot;0018078E&quot;/&gt;&lt;wsp:rsid wsp:val=&quot;00180AF8&quot;/&gt;&lt;wsp:rsid wsp:val=&quot;0018124D&quot;/&gt;&lt;wsp:rsid wsp:val=&quot;00183C98&quot;/&gt;&lt;wsp:rsid wsp:val=&quot;00184394&quot;/&gt;&lt;wsp:rsid wsp:val=&quot;00186BBD&quot;/&gt;&lt;wsp:rsid wsp:val=&quot;00187303&quot;/&gt;&lt;wsp:rsid wsp:val=&quot;0018753A&quot;/&gt;&lt;wsp:rsid wsp:val=&quot;00187A2C&quot;/&gt;&lt;wsp:rsid wsp:val=&quot;00187A3A&quot;/&gt;&lt;wsp:rsid wsp:val=&quot;00187C69&quot;/&gt;&lt;wsp:rsid wsp:val=&quot;00191262&quot;/&gt;&lt;wsp:rsid wsp:val=&quot;00192689&quot;/&gt;&lt;wsp:rsid wsp:val=&quot;0019344A&quot;/&gt;&lt;wsp:rsid wsp:val=&quot;00193683&quot;/&gt;&lt;wsp:rsid wsp:val=&quot;00194477&quot;/&gt;&lt;wsp:rsid wsp:val=&quot;00195923&quot;/&gt;&lt;wsp:rsid wsp:val=&quot;0019658C&quot;/&gt;&lt;wsp:rsid wsp:val=&quot;001A01E8&quot;/&gt;&lt;wsp:rsid wsp:val=&quot;001A3BED&quot;/&gt;&lt;wsp:rsid wsp:val=&quot;001A6B7D&quot;/&gt;&lt;wsp:rsid wsp:val=&quot;001B003A&quot;/&gt;&lt;wsp:rsid wsp:val=&quot;001B39CC&quot;/&gt;&lt;wsp:rsid wsp:val=&quot;001B60D6&quot;/&gt;&lt;wsp:rsid wsp:val=&quot;001B768B&quot;/&gt;&lt;wsp:rsid wsp:val=&quot;001C51AE&quot;/&gt;&lt;wsp:rsid wsp:val=&quot;001C73DC&quot;/&gt;&lt;wsp:rsid wsp:val=&quot;001C759A&quot;/&gt;&lt;wsp:rsid wsp:val=&quot;001D0721&quot;/&gt;&lt;wsp:rsid wsp:val=&quot;001D2694&quot;/&gt;&lt;wsp:rsid wsp:val=&quot;001D4A95&quot;/&gt;&lt;wsp:rsid wsp:val=&quot;001D5EFD&quot;/&gt;&lt;wsp:rsid wsp:val=&quot;001D6C4D&quot;/&gt;&lt;wsp:rsid wsp:val=&quot;001E4939&quot;/&gt;&lt;wsp:rsid wsp:val=&quot;001E66E3&quot;/&gt;&lt;wsp:rsid wsp:val=&quot;001F4081&quot;/&gt;&lt;wsp:rsid wsp:val=&quot;001F456C&quot;/&gt;&lt;wsp:rsid wsp:val=&quot;001F4A62&quot;/&gt;&lt;wsp:rsid wsp:val=&quot;001F7A9E&quot;/&gt;&lt;wsp:rsid wsp:val=&quot;00200D9A&quot;/&gt;&lt;wsp:rsid wsp:val=&quot;002011DF&quot;/&gt;&lt;wsp:rsid wsp:val=&quot;0020280A&quot;/&gt;&lt;wsp:rsid wsp:val=&quot;00203F83&quot;/&gt;&lt;wsp:rsid wsp:val=&quot;0020411B&quot;/&gt;&lt;wsp:rsid wsp:val=&quot;002069BF&quot;/&gt;&lt;wsp:rsid wsp:val=&quot;00207D06&quot;/&gt;&lt;wsp:rsid wsp:val=&quot;002125E6&quot;/&gt;&lt;wsp:rsid wsp:val=&quot;0021263F&quot;/&gt;&lt;wsp:rsid wsp:val=&quot;002133D7&quot;/&gt;&lt;wsp:rsid wsp:val=&quot;002159FD&quot;/&gt;&lt;wsp:rsid wsp:val=&quot;00216616&quot;/&gt;&lt;wsp:rsid wsp:val=&quot;0022038A&quot;/&gt;&lt;wsp:rsid wsp:val=&quot;00220BE9&quot;/&gt;&lt;wsp:rsid wsp:val=&quot;00220CD8&quot;/&gt;&lt;wsp:rsid wsp:val=&quot;00225CED&quot;/&gt;&lt;wsp:rsid wsp:val=&quot;00226D1D&quot;/&gt;&lt;wsp:rsid wsp:val=&quot;00227415&quot;/&gt;&lt;wsp:rsid wsp:val=&quot;002329B8&quot;/&gt;&lt;wsp:rsid wsp:val=&quot;00232FE8&quot;/&gt;&lt;wsp:rsid wsp:val=&quot;002337A2&quot;/&gt;&lt;wsp:rsid wsp:val=&quot;00235F59&quot;/&gt;&lt;wsp:rsid wsp:val=&quot;00237B00&quot;/&gt;&lt;wsp:rsid wsp:val=&quot;00240567&quot;/&gt;&lt;wsp:rsid wsp:val=&quot;00240889&quot;/&gt;&lt;wsp:rsid wsp:val=&quot;00240C23&quot;/&gt;&lt;wsp:rsid wsp:val=&quot;00241986&quot;/&gt;&lt;wsp:rsid wsp:val=&quot;00242EAD&quot;/&gt;&lt;wsp:rsid wsp:val=&quot;00245A30&quot;/&gt;&lt;wsp:rsid wsp:val=&quot;00245A74&quot;/&gt;&lt;wsp:rsid wsp:val=&quot;00245E84&quot;/&gt;&lt;wsp:rsid wsp:val=&quot;00252F7C&quot;/&gt;&lt;wsp:rsid wsp:val=&quot;00253DA9&quot;/&gt;&lt;wsp:rsid wsp:val=&quot;00256A63&quot;/&gt;&lt;wsp:rsid wsp:val=&quot;00260935&quot;/&gt;&lt;wsp:rsid wsp:val=&quot;00262C52&quot;/&gt;&lt;wsp:rsid wsp:val=&quot;00264782&quot;/&gt;&lt;wsp:rsid wsp:val=&quot;00264B01&quot;/&gt;&lt;wsp:rsid wsp:val=&quot;0026655B&quot;/&gt;&lt;wsp:rsid wsp:val=&quot;00267E74&quot;/&gt;&lt;wsp:rsid wsp:val=&quot;0027018A&quot;/&gt;&lt;wsp:rsid wsp:val=&quot;00276258&quot;/&gt;&lt;wsp:rsid wsp:val=&quot;00277CB1&quot;/&gt;&lt;wsp:rsid wsp:val=&quot;002803B4&quot;/&gt;&lt;wsp:rsid wsp:val=&quot;002809AF&quot;/&gt;&lt;wsp:rsid wsp:val=&quot;00282229&quot;/&gt;&lt;wsp:rsid wsp:val=&quot;00282F99&quot;/&gt;&lt;wsp:rsid wsp:val=&quot;00283824&quot;/&gt;&lt;wsp:rsid wsp:val=&quot;00285E76&quot;/&gt;&lt;wsp:rsid wsp:val=&quot;002871C2&quot;/&gt;&lt;wsp:rsid wsp:val=&quot;00290441&quot;/&gt;&lt;wsp:rsid wsp:val=&quot;00290DFC&quot;/&gt;&lt;wsp:rsid wsp:val=&quot;0029259A&quot;/&gt;&lt;wsp:rsid wsp:val=&quot;00293047&quot;/&gt;&lt;wsp:rsid wsp:val=&quot;00294052&quot;/&gt;&lt;wsp:rsid wsp:val=&quot;002941EB&quot;/&gt;&lt;wsp:rsid wsp:val=&quot;002951E0&quot;/&gt;&lt;wsp:rsid wsp:val=&quot;00296822&quot;/&gt;&lt;wsp:rsid wsp:val=&quot;002978F0&quot;/&gt;&lt;wsp:rsid wsp:val=&quot;00297BD1&quot;/&gt;&lt;wsp:rsid wsp:val=&quot;00297C52&quot;/&gt;&lt;wsp:rsid wsp:val=&quot;002A4958&quot;/&gt;&lt;wsp:rsid wsp:val=&quot;002A6289&quot;/&gt;&lt;wsp:rsid wsp:val=&quot;002B223E&quot;/&gt;&lt;wsp:rsid wsp:val=&quot;002B472D&quot;/&gt;&lt;wsp:rsid wsp:val=&quot;002B61EC&quot;/&gt;&lt;wsp:rsid wsp:val=&quot;002B679E&quot;/&gt;&lt;wsp:rsid wsp:val=&quot;002B7311&quot;/&gt;&lt;wsp:rsid wsp:val=&quot;002B78D1&quot;/&gt;&lt;wsp:rsid wsp:val=&quot;002C0E99&quot;/&gt;&lt;wsp:rsid wsp:val=&quot;002C1522&quot;/&gt;&lt;wsp:rsid wsp:val=&quot;002C1BA5&quot;/&gt;&lt;wsp:rsid wsp:val=&quot;002C1D9D&quot;/&gt;&lt;wsp:rsid wsp:val=&quot;002C24A2&quot;/&gt;&lt;wsp:rsid wsp:val=&quot;002C2D37&quot;/&gt;&lt;wsp:rsid wsp:val=&quot;002C7756&quot;/&gt;&lt;wsp:rsid wsp:val=&quot;002D06B6&quot;/&gt;&lt;wsp:rsid wsp:val=&quot;002D09B9&quot;/&gt;&lt;wsp:rsid wsp:val=&quot;002D0B44&quot;/&gt;&lt;wsp:rsid wsp:val=&quot;002D0C7E&quot;/&gt;&lt;wsp:rsid wsp:val=&quot;002D11A5&quot;/&gt;&lt;wsp:rsid wsp:val=&quot;002D1342&quot;/&gt;&lt;wsp:rsid wsp:val=&quot;002D141D&quot;/&gt;&lt;wsp:rsid wsp:val=&quot;002D2882&quot;/&gt;&lt;wsp:rsid wsp:val=&quot;002D536C&quot;/&gt;&lt;wsp:rsid wsp:val=&quot;002D55E7&quot;/&gt;&lt;wsp:rsid wsp:val=&quot;002D5602&quot;/&gt;&lt;wsp:rsid wsp:val=&quot;002D741A&quot;/&gt;&lt;wsp:rsid wsp:val=&quot;002E3D36&quot;/&gt;&lt;wsp:rsid wsp:val=&quot;002E4DB2&quot;/&gt;&lt;wsp:rsid wsp:val=&quot;002E4E61&quot;/&gt;&lt;wsp:rsid wsp:val=&quot;002E5F14&quot;/&gt;&lt;wsp:rsid wsp:val=&quot;002E6237&quot;/&gt;&lt;wsp:rsid wsp:val=&quot;002F03DF&quot;/&gt;&lt;wsp:rsid wsp:val=&quot;002F0B07&quot;/&gt;&lt;wsp:rsid wsp:val=&quot;002F1AB2&quot;/&gt;&lt;wsp:rsid wsp:val=&quot;002F28BA&quot;/&gt;&lt;wsp:rsid wsp:val=&quot;002F3694&quot;/&gt;&lt;wsp:rsid wsp:val=&quot;002F3D7E&quot;/&gt;&lt;wsp:rsid wsp:val=&quot;002F6239&quot;/&gt;&lt;wsp:rsid wsp:val=&quot;003001EB&quot;/&gt;&lt;wsp:rsid wsp:val=&quot;00301453&quot;/&gt;&lt;wsp:rsid wsp:val=&quot;00301A94&quot;/&gt;&lt;wsp:rsid wsp:val=&quot;0030223B&quot;/&gt;&lt;wsp:rsid wsp:val=&quot;00307F8E&quot;/&gt;&lt;wsp:rsid wsp:val=&quot;00310F85&quot;/&gt;&lt;wsp:rsid wsp:val=&quot;00311898&quot;/&gt;&lt;wsp:rsid wsp:val=&quot;00315626&quot;/&gt;&lt;wsp:rsid wsp:val=&quot;00315AC9&quot;/&gt;&lt;wsp:rsid wsp:val=&quot;00315D8B&quot;/&gt;&lt;wsp:rsid wsp:val=&quot;00316B28&quot;/&gt;&lt;wsp:rsid wsp:val=&quot;00320297&quot;/&gt;&lt;wsp:rsid wsp:val=&quot;00321A79&quot;/&gt;&lt;wsp:rsid wsp:val=&quot;00322693&quot;/&gt;&lt;wsp:rsid wsp:val=&quot;00322E88&quot;/&gt;&lt;wsp:rsid wsp:val=&quot;00323072&quot;/&gt;&lt;wsp:rsid wsp:val=&quot;00326E0D&quot;/&gt;&lt;wsp:rsid wsp:val=&quot;003306D9&quot;/&gt;&lt;wsp:rsid wsp:val=&quot;00330BF7&quot;/&gt;&lt;wsp:rsid wsp:val=&quot;00331AFD&quot;/&gt;&lt;wsp:rsid wsp:val=&quot;0033251C&quot;/&gt;&lt;wsp:rsid wsp:val=&quot;003325A2&quot;/&gt;&lt;wsp:rsid wsp:val=&quot;0033384E&quot;/&gt;&lt;wsp:rsid wsp:val=&quot;0033594E&quot;/&gt;&lt;wsp:rsid wsp:val=&quot;00336429&quot;/&gt;&lt;wsp:rsid wsp:val=&quot;00343066&quot;/&gt;&lt;wsp:rsid wsp:val=&quot;00343DE4&quot;/&gt;&lt;wsp:rsid wsp:val=&quot;00345033&quot;/&gt;&lt;wsp:rsid wsp:val=&quot;003450D2&quot;/&gt;&lt;wsp:rsid wsp:val=&quot;00345F3B&quot;/&gt;&lt;wsp:rsid wsp:val=&quot;00347F55&quot;/&gt;&lt;wsp:rsid wsp:val=&quot;00350363&quot;/&gt;&lt;wsp:rsid wsp:val=&quot;0035300A&quot;/&gt;&lt;wsp:rsid wsp:val=&quot;00353B12&quot;/&gt;&lt;wsp:rsid wsp:val=&quot;00353B58&quot;/&gt;&lt;wsp:rsid wsp:val=&quot;00353BC5&quot;/&gt;&lt;wsp:rsid wsp:val=&quot;00354806&quot;/&gt;&lt;wsp:rsid wsp:val=&quot;00356E0A&quot;/&gt;&lt;wsp:rsid wsp:val=&quot;00361BDC&quot;/&gt;&lt;wsp:rsid wsp:val=&quot;00361EF2&quot;/&gt;&lt;wsp:rsid wsp:val=&quot;00362551&quot;/&gt;&lt;wsp:rsid wsp:val=&quot;0036314D&quot;/&gt;&lt;wsp:rsid wsp:val=&quot;00364E39&quot;/&gt;&lt;wsp:rsid wsp:val=&quot;0036536E&quot;/&gt;&lt;wsp:rsid wsp:val=&quot;00370A26&quot;/&gt;&lt;wsp:rsid wsp:val=&quot;00370FB0&quot;/&gt;&lt;wsp:rsid wsp:val=&quot;003714F8&quot;/&gt;&lt;wsp:rsid wsp:val=&quot;003740B0&quot;/&gt;&lt;wsp:rsid wsp:val=&quot;0037442A&quot;/&gt;&lt;wsp:rsid wsp:val=&quot;0037480D&quot;/&gt;&lt;wsp:rsid wsp:val=&quot;003749A8&quot;/&gt;&lt;wsp:rsid wsp:val=&quot;00374EEC&quot;/&gt;&lt;wsp:rsid wsp:val=&quot;00375CBF&quot;/&gt;&lt;wsp:rsid wsp:val=&quot;00376851&quot;/&gt;&lt;wsp:rsid wsp:val=&quot;00376BA6&quot;/&gt;&lt;wsp:rsid wsp:val=&quot;00377DE0&quot;/&gt;&lt;wsp:rsid wsp:val=&quot;00380159&quot;/&gt;&lt;wsp:rsid wsp:val=&quot;003821AF&quot;/&gt;&lt;wsp:rsid wsp:val=&quot;0038220B&quot;/&gt;&lt;wsp:rsid wsp:val=&quot;00383602&quot;/&gt;&lt;wsp:rsid wsp:val=&quot;00384108&quot;/&gt;&lt;wsp:rsid wsp:val=&quot;0038509E&quot;/&gt;&lt;wsp:rsid wsp:val=&quot;0038546A&quot;/&gt;&lt;wsp:rsid wsp:val=&quot;003903B9&quot;/&gt;&lt;wsp:rsid wsp:val=&quot;00390982&quot;/&gt;&lt;wsp:rsid wsp:val=&quot;003918CE&quot;/&gt;&lt;wsp:rsid wsp:val=&quot;00391C2E&quot;/&gt;&lt;wsp:rsid wsp:val=&quot;00395EC6&quot;/&gt;&lt;wsp:rsid wsp:val=&quot;003A0BCB&quot;/&gt;&lt;wsp:rsid wsp:val=&quot;003A2347&quot;/&gt;&lt;wsp:rsid wsp:val=&quot;003A4BF1&quot;/&gt;&lt;wsp:rsid wsp:val=&quot;003A7D09&quot;/&gt;&lt;wsp:rsid wsp:val=&quot;003B2BBA&quot;/&gt;&lt;wsp:rsid wsp:val=&quot;003B2EC4&quot;/&gt;&lt;wsp:rsid wsp:val=&quot;003B2FE1&quot;/&gt;&lt;wsp:rsid wsp:val=&quot;003B468C&quot;/&gt;&lt;wsp:rsid wsp:val=&quot;003B6C9E&quot;/&gt;&lt;wsp:rsid wsp:val=&quot;003B7CAF&quot;/&gt;&lt;wsp:rsid wsp:val=&quot;003C013B&quot;/&gt;&lt;wsp:rsid wsp:val=&quot;003C061A&quot;/&gt;&lt;wsp:rsid wsp:val=&quot;003C1C69&quot;/&gt;&lt;wsp:rsid wsp:val=&quot;003C2720&quot;/&gt;&lt;wsp:rsid wsp:val=&quot;003C27F1&quot;/&gt;&lt;wsp:rsid wsp:val=&quot;003C3E95&quot;/&gt;&lt;wsp:rsid wsp:val=&quot;003C7581&quot;/&gt;&lt;wsp:rsid wsp:val=&quot;003C7DDE&quot;/&gt;&lt;wsp:rsid wsp:val=&quot;003D112B&quot;/&gt;&lt;wsp:rsid wsp:val=&quot;003D1BDE&quot;/&gt;&lt;wsp:rsid wsp:val=&quot;003D1C26&quot;/&gt;&lt;wsp:rsid wsp:val=&quot;003D20F0&quot;/&gt;&lt;wsp:rsid wsp:val=&quot;003D67F6&quot;/&gt;&lt;wsp:rsid wsp:val=&quot;003D7027&quot;/&gt;&lt;wsp:rsid wsp:val=&quot;003E0AD1&quot;/&gt;&lt;wsp:rsid wsp:val=&quot;003E15FB&quot;/&gt;&lt;wsp:rsid wsp:val=&quot;003E2A60&quot;/&gt;&lt;wsp:rsid wsp:val=&quot;003E3890&quot;/&gt;&lt;wsp:rsid wsp:val=&quot;003E40BA&quot;/&gt;&lt;wsp:rsid wsp:val=&quot;003E4222&quot;/&gt;&lt;wsp:rsid wsp:val=&quot;003F0D7C&quot;/&gt;&lt;wsp:rsid wsp:val=&quot;003F1747&quot;/&gt;&lt;wsp:rsid wsp:val=&quot;003F2975&quot;/&gt;&lt;wsp:rsid wsp:val=&quot;003F2DEE&quot;/&gt;&lt;wsp:rsid wsp:val=&quot;003F337C&quot;/&gt;&lt;wsp:rsid wsp:val=&quot;003F36F3&quot;/&gt;&lt;wsp:rsid wsp:val=&quot;003F5D5C&quot;/&gt;&lt;wsp:rsid wsp:val=&quot;003F60C7&quot;/&gt;&lt;wsp:rsid wsp:val=&quot;003F6986&quot;/&gt;&lt;wsp:rsid wsp:val=&quot;00400755&quot;/&gt;&lt;wsp:rsid wsp:val=&quot;00402AFE&quot;/&gt;&lt;wsp:rsid wsp:val=&quot;004038BC&quot;/&gt;&lt;wsp:rsid wsp:val=&quot;00404F59&quot;/&gt;&lt;wsp:rsid wsp:val=&quot;004059C1&quot;/&gt;&lt;wsp:rsid wsp:val=&quot;004061E2&quot;/&gt;&lt;wsp:rsid wsp:val=&quot;00406C49&quot;/&gt;&lt;wsp:rsid wsp:val=&quot;00410F30&quot;/&gt;&lt;wsp:rsid wsp:val=&quot;004113CF&quot;/&gt;&lt;wsp:rsid wsp:val=&quot;004125C8&quot;/&gt;&lt;wsp:rsid wsp:val=&quot;0041317F&quot;/&gt;&lt;wsp:rsid wsp:val=&quot;0041492F&quot;/&gt;&lt;wsp:rsid wsp:val=&quot;0041523D&quot;/&gt;&lt;wsp:rsid wsp:val=&quot;00416545&quot;/&gt;&lt;wsp:rsid wsp:val=&quot;0041654A&quot;/&gt;&lt;wsp:rsid wsp:val=&quot;00416795&quot;/&gt;&lt;wsp:rsid wsp:val=&quot;00417D1D&quot;/&gt;&lt;wsp:rsid wsp:val=&quot;00420B31&quot;/&gt;&lt;wsp:rsid wsp:val=&quot;004229B6&quot;/&gt;&lt;wsp:rsid wsp:val=&quot;00424CB4&quot;/&gt;&lt;wsp:rsid wsp:val=&quot;00425E0D&quot;/&gt;&lt;wsp:rsid wsp:val=&quot;004270C9&quot;/&gt;&lt;wsp:rsid wsp:val=&quot;00427B99&quot;/&gt;&lt;wsp:rsid wsp:val=&quot;00427DDA&quot;/&gt;&lt;wsp:rsid wsp:val=&quot;00432AC9&quot;/&gt;&lt;wsp:rsid wsp:val=&quot;00433118&quot;/&gt;&lt;wsp:rsid wsp:val=&quot;0043505A&quot;/&gt;&lt;wsp:rsid wsp:val=&quot;00436247&quot;/&gt;&lt;wsp:rsid wsp:val=&quot;00436DD4&quot;/&gt;&lt;wsp:rsid wsp:val=&quot;00437A35&quot;/&gt;&lt;wsp:rsid wsp:val=&quot;004403F7&quot;/&gt;&lt;wsp:rsid wsp:val=&quot;00441692&quot;/&gt;&lt;wsp:rsid wsp:val=&quot;00442544&quot;/&gt;&lt;wsp:rsid wsp:val=&quot;00443C8F&quot;/&gt;&lt;wsp:rsid wsp:val=&quot;004451CC&quot;/&gt;&lt;wsp:rsid wsp:val=&quot;00447194&quot;/&gt;&lt;wsp:rsid wsp:val=&quot;004479EA&quot;/&gt;&lt;wsp:rsid wsp:val=&quot;00452D49&quot;/&gt;&lt;wsp:rsid wsp:val=&quot;0045353B&quot;/&gt;&lt;wsp:rsid wsp:val=&quot;00453EC9&quot;/&gt;&lt;wsp:rsid wsp:val=&quot;004553FA&quot;/&gt;&lt;wsp:rsid wsp:val=&quot;004559EB&quot;/&gt;&lt;wsp:rsid wsp:val=&quot;00456AC4&quot;/&gt;&lt;wsp:rsid wsp:val=&quot;004570B7&quot;/&gt;&lt;wsp:rsid wsp:val=&quot;004575FC&quot;/&gt;&lt;wsp:rsid wsp:val=&quot;00462818&quot;/&gt;&lt;wsp:rsid wsp:val=&quot;004635A5&quot;/&gt;&lt;wsp:rsid wsp:val=&quot;004639EC&quot;/&gt;&lt;wsp:rsid wsp:val=&quot;00463ADF&quot;/&gt;&lt;wsp:rsid wsp:val=&quot;00470CE6&quot;/&gt;&lt;wsp:rsid wsp:val=&quot;00471049&quot;/&gt;&lt;wsp:rsid wsp:val=&quot;004730ED&quot;/&gt;&lt;wsp:rsid wsp:val=&quot;00473194&quot;/&gt;&lt;wsp:rsid wsp:val=&quot;0047668A&quot;/&gt;&lt;wsp:rsid wsp:val=&quot;00477693&quot;/&gt;&lt;wsp:rsid wsp:val=&quot;00477A41&quot;/&gt;&lt;wsp:rsid wsp:val=&quot;00481877&quot;/&gt;&lt;wsp:rsid wsp:val=&quot;00482620&quot;/&gt;&lt;wsp:rsid wsp:val=&quot;004903C5&quot;/&gt;&lt;wsp:rsid wsp:val=&quot;004911E0&quot;/&gt;&lt;wsp:rsid wsp:val=&quot;00492B52&quot;/&gt;&lt;wsp:rsid wsp:val=&quot;00493463&quot;/&gt;&lt;wsp:rsid wsp:val=&quot;00494E38&quot;/&gt;&lt;wsp:rsid wsp:val=&quot;00494F06&quot;/&gt;&lt;wsp:rsid wsp:val=&quot;004950D0&quot;/&gt;&lt;wsp:rsid wsp:val=&quot;00495570&quot;/&gt;&lt;wsp:rsid wsp:val=&quot;004959C9&quot;/&gt;&lt;wsp:rsid wsp:val=&quot;00495CDF&quot;/&gt;&lt;wsp:rsid wsp:val=&quot;00495F47&quot;/&gt;&lt;wsp:rsid wsp:val=&quot;004A1A36&quot;/&gt;&lt;wsp:rsid wsp:val=&quot;004A1E3B&quot;/&gt;&lt;wsp:rsid wsp:val=&quot;004A32E3&quot;/&gt;&lt;wsp:rsid wsp:val=&quot;004A40DC&quot;/&gt;&lt;wsp:rsid wsp:val=&quot;004A4226&quot;/&gt;&lt;wsp:rsid wsp:val=&quot;004A567F&quot;/&gt;&lt;wsp:rsid wsp:val=&quot;004A6F9E&quot;/&gt;&lt;wsp:rsid wsp:val=&quot;004A7D6A&quot;/&gt;&lt;wsp:rsid wsp:val=&quot;004B0704&quot;/&gt;&lt;wsp:rsid wsp:val=&quot;004B1334&quot;/&gt;&lt;wsp:rsid wsp:val=&quot;004B1F8E&quot;/&gt;&lt;wsp:rsid wsp:val=&quot;004B4009&quot;/&gt;&lt;wsp:rsid wsp:val=&quot;004B44C8&quot;/&gt;&lt;wsp:rsid wsp:val=&quot;004B5FA2&quot;/&gt;&lt;wsp:rsid wsp:val=&quot;004B6144&quot;/&gt;&lt;wsp:rsid wsp:val=&quot;004B7A44&quot;/&gt;&lt;wsp:rsid wsp:val=&quot;004B7EA8&quot;/&gt;&lt;wsp:rsid wsp:val=&quot;004C0459&quot;/&gt;&lt;wsp:rsid wsp:val=&quot;004C0C49&quot;/&gt;&lt;wsp:rsid wsp:val=&quot;004C1B41&quot;/&gt;&lt;wsp:rsid wsp:val=&quot;004C1EDA&quot;/&gt;&lt;wsp:rsid wsp:val=&quot;004C2F04&quot;/&gt;&lt;wsp:rsid wsp:val=&quot;004C2F0D&quot;/&gt;&lt;wsp:rsid wsp:val=&quot;004C55F5&quot;/&gt;&lt;wsp:rsid wsp:val=&quot;004C5FD9&quot;/&gt;&lt;wsp:rsid wsp:val=&quot;004C7945&quot;/&gt;&lt;wsp:rsid wsp:val=&quot;004D1872&quot;/&gt;&lt;wsp:rsid wsp:val=&quot;004D4062&quot;/&gt;&lt;wsp:rsid wsp:val=&quot;004D6BF3&quot;/&gt;&lt;wsp:rsid wsp:val=&quot;004E0280&quot;/&gt;&lt;wsp:rsid wsp:val=&quot;004E0587&quot;/&gt;&lt;wsp:rsid wsp:val=&quot;004E5A4C&quot;/&gt;&lt;wsp:rsid wsp:val=&quot;004E5BD4&quot;/&gt;&lt;wsp:rsid wsp:val=&quot;004E6267&quot;/&gt;&lt;wsp:rsid wsp:val=&quot;004E6B8A&quot;/&gt;&lt;wsp:rsid wsp:val=&quot;004E72E9&quot;/&gt;&lt;wsp:rsid wsp:val=&quot;004F14A8&quot;/&gt;&lt;wsp:rsid wsp:val=&quot;004F24E3&quot;/&gt;&lt;wsp:rsid wsp:val=&quot;004F25A4&quot;/&gt;&lt;wsp:rsid wsp:val=&quot;004F2BD5&quot;/&gt;&lt;wsp:rsid wsp:val=&quot;004F3546&quot;/&gt;&lt;wsp:rsid wsp:val=&quot;004F3CC6&quot;/&gt;&lt;wsp:rsid wsp:val=&quot;004F4F49&quot;/&gt;&lt;wsp:rsid wsp:val=&quot;004F76F4&quot;/&gt;&lt;wsp:rsid wsp:val=&quot;00500289&quot;/&gt;&lt;wsp:rsid wsp:val=&quot;0050087B&quot;/&gt;&lt;wsp:rsid wsp:val=&quot;00500EC4&quot;/&gt;&lt;wsp:rsid wsp:val=&quot;005014BC&quot;/&gt;&lt;wsp:rsid wsp:val=&quot;00501F3D&quot;/&gt;&lt;wsp:rsid wsp:val=&quot;00503B47&quot;/&gt;&lt;wsp:rsid wsp:val=&quot;005043F1&quot;/&gt;&lt;wsp:rsid wsp:val=&quot;0050513E&quot;/&gt;&lt;wsp:rsid wsp:val=&quot;00506C27&quot;/&gt;&lt;wsp:rsid wsp:val=&quot;0050739D&quot;/&gt;&lt;wsp:rsid wsp:val=&quot;005074C3&quot;/&gt;&lt;wsp:rsid wsp:val=&quot;00511FF4&quot;/&gt;&lt;wsp:rsid wsp:val=&quot;00513419&quot;/&gt;&lt;wsp:rsid wsp:val=&quot;0051404E&quot;/&gt;&lt;wsp:rsid wsp:val=&quot;005151A5&quot;/&gt;&lt;wsp:rsid wsp:val=&quot;005154E2&quot;/&gt;&lt;wsp:rsid wsp:val=&quot;00515842&quot;/&gt;&lt;wsp:rsid wsp:val=&quot;00521330&quot;/&gt;&lt;wsp:rsid wsp:val=&quot;00521818&quot;/&gt;&lt;wsp:rsid wsp:val=&quot;00522337&quot;/&gt;&lt;wsp:rsid wsp:val=&quot;00523279&quot;/&gt;&lt;wsp:rsid wsp:val=&quot;005236A5&quot;/&gt;&lt;wsp:rsid wsp:val=&quot;00523982&quot;/&gt;&lt;wsp:rsid wsp:val=&quot;0052454A&quot;/&gt;&lt;wsp:rsid wsp:val=&quot;0052614D&quot;/&gt;&lt;wsp:rsid wsp:val=&quot;005262B2&quot;/&gt;&lt;wsp:rsid wsp:val=&quot;00526F45&quot;/&gt;&lt;wsp:rsid wsp:val=&quot;00530646&quot;/&gt;&lt;wsp:rsid wsp:val=&quot;00531FDA&quot;/&gt;&lt;wsp:rsid wsp:val=&quot;00532D92&quot;/&gt;&lt;wsp:rsid wsp:val=&quot;005354AD&quot;/&gt;&lt;wsp:rsid wsp:val=&quot;00537DC3&quot;/&gt;&lt;wsp:rsid wsp:val=&quot;005405C7&quot;/&gt;&lt;wsp:rsid wsp:val=&quot;00540F31&quot;/&gt;&lt;wsp:rsid wsp:val=&quot;005411F0&quot;/&gt;&lt;wsp:rsid wsp:val=&quot;00541793&quot;/&gt;&lt;wsp:rsid wsp:val=&quot;00542267&quot;/&gt;&lt;wsp:rsid wsp:val=&quot;0054471F&quot;/&gt;&lt;wsp:rsid wsp:val=&quot;00545B44&quot;/&gt;&lt;wsp:rsid wsp:val=&quot;00546FA1&quot;/&gt;&lt;wsp:rsid wsp:val=&quot;00550DDA&quot;/&gt;&lt;wsp:rsid wsp:val=&quot;00552F18&quot;/&gt;&lt;wsp:rsid wsp:val=&quot;0055424A&quot;/&gt;&lt;wsp:rsid wsp:val=&quot;0055438E&quot;/&gt;&lt;wsp:rsid wsp:val=&quot;0055689E&quot;/&gt;&lt;wsp:rsid wsp:val=&quot;0055789D&quot;/&gt;&lt;wsp:rsid wsp:val=&quot;00561462&quot;/&gt;&lt;wsp:rsid wsp:val=&quot;00562F5B&quot;/&gt;&lt;wsp:rsid wsp:val=&quot;00562FDD&quot;/&gt;&lt;wsp:rsid wsp:val=&quot;00566C62&quot;/&gt;&lt;wsp:rsid wsp:val=&quot;00566EA7&quot;/&gt;&lt;wsp:rsid wsp:val=&quot;005752B5&quot;/&gt;&lt;wsp:rsid wsp:val=&quot;00575533&quot;/&gt;&lt;wsp:rsid wsp:val=&quot;00575C24&quot;/&gt;&lt;wsp:rsid wsp:val=&quot;00576046&quot;/&gt;&lt;wsp:rsid wsp:val=&quot;00576FA2&quot;/&gt;&lt;wsp:rsid wsp:val=&quot;00582CF5&quot;/&gt;&lt;wsp:rsid wsp:val=&quot;0058342B&quot;/&gt;&lt;wsp:rsid wsp:val=&quot;005835BC&quot;/&gt;&lt;wsp:rsid wsp:val=&quot;00584863&quot;/&gt;&lt;wsp:rsid wsp:val=&quot;00584B0C&quot;/&gt;&lt;wsp:rsid wsp:val=&quot;0059557A&quot;/&gt;&lt;wsp:rsid wsp:val=&quot;005956C1&quot;/&gt;&lt;wsp:rsid wsp:val=&quot;00595A6D&quot;/&gt;&lt;wsp:rsid wsp:val=&quot;00596871&quot;/&gt;&lt;wsp:rsid wsp:val=&quot;005A0651&quot;/&gt;&lt;wsp:rsid wsp:val=&quot;005A0CB4&quot;/&gt;&lt;wsp:rsid wsp:val=&quot;005A31D7&quot;/&gt;&lt;wsp:rsid wsp:val=&quot;005A376E&quot;/&gt;&lt;wsp:rsid wsp:val=&quot;005A4ECE&quot;/&gt;&lt;wsp:rsid wsp:val=&quot;005A5BE0&quot;/&gt;&lt;wsp:rsid wsp:val=&quot;005A625C&quot;/&gt;&lt;wsp:rsid wsp:val=&quot;005B014D&quot;/&gt;&lt;wsp:rsid wsp:val=&quot;005B135D&quot;/&gt;&lt;wsp:rsid wsp:val=&quot;005B1C6B&quot;/&gt;&lt;wsp:rsid wsp:val=&quot;005B28A2&quot;/&gt;&lt;wsp:rsid wsp:val=&quot;005B3107&quot;/&gt;&lt;wsp:rsid wsp:val=&quot;005B49EA&quot;/&gt;&lt;wsp:rsid wsp:val=&quot;005B4D9A&quot;/&gt;&lt;wsp:rsid wsp:val=&quot;005B6FA6&quot;/&gt;&lt;wsp:rsid wsp:val=&quot;005B723F&quot;/&gt;&lt;wsp:rsid wsp:val=&quot;005B74D8&quot;/&gt;&lt;wsp:rsid wsp:val=&quot;005C1C54&quot;/&gt;&lt;wsp:rsid wsp:val=&quot;005C48C1&quot;/&gt;&lt;wsp:rsid wsp:val=&quot;005C509B&quot;/&gt;&lt;wsp:rsid wsp:val=&quot;005C6037&quot;/&gt;&lt;wsp:rsid wsp:val=&quot;005C6781&quot;/&gt;&lt;wsp:rsid wsp:val=&quot;005C704A&quot;/&gt;&lt;wsp:rsid wsp:val=&quot;005C73CD&quot;/&gt;&lt;wsp:rsid wsp:val=&quot;005D01AC&quot;/&gt;&lt;wsp:rsid wsp:val=&quot;005D0559&quot;/&gt;&lt;wsp:rsid wsp:val=&quot;005D0761&quot;/&gt;&lt;wsp:rsid wsp:val=&quot;005D2D4C&quot;/&gt;&lt;wsp:rsid wsp:val=&quot;005D3312&quot;/&gt;&lt;wsp:rsid wsp:val=&quot;005D5AE4&quot;/&gt;&lt;wsp:rsid wsp:val=&quot;005D69F2&quot;/&gt;&lt;wsp:rsid wsp:val=&quot;005D7561&quot;/&gt;&lt;wsp:rsid wsp:val=&quot;005E0540&quot;/&gt;&lt;wsp:rsid wsp:val=&quot;005E096C&quot;/&gt;&lt;wsp:rsid wsp:val=&quot;005E66EE&quot;/&gt;&lt;wsp:rsid wsp:val=&quot;005E6E68&quot;/&gt;&lt;wsp:rsid wsp:val=&quot;005E757C&quot;/&gt;&lt;wsp:rsid wsp:val=&quot;005F161D&quot;/&gt;&lt;wsp:rsid wsp:val=&quot;005F1B1B&quot;/&gt;&lt;wsp:rsid wsp:val=&quot;005F2BC5&quot;/&gt;&lt;wsp:rsid wsp:val=&quot;005F3C75&quot;/&gt;&lt;wsp:rsid wsp:val=&quot;005F4BB6&quot;/&gt;&lt;wsp:rsid wsp:val=&quot;005F717D&quot;/&gt;&lt;wsp:rsid wsp:val=&quot;00600E7F&quot;/&gt;&lt;wsp:rsid wsp:val=&quot;00601981&quot;/&gt;&lt;wsp:rsid wsp:val=&quot;00601BE7&quot;/&gt;&lt;wsp:rsid wsp:val=&quot;00602C40&quot;/&gt;&lt;wsp:rsid wsp:val=&quot;006035C1&quot;/&gt;&lt;wsp:rsid wsp:val=&quot;006036B2&quot;/&gt;&lt;wsp:rsid wsp:val=&quot;006055F2&quot;/&gt;&lt;wsp:rsid wsp:val=&quot;0060684C&quot;/&gt;&lt;wsp:rsid wsp:val=&quot;00610760&quot;/&gt;&lt;wsp:rsid wsp:val=&quot;00611512&quot;/&gt;&lt;wsp:rsid wsp:val=&quot;00611EF1&quot;/&gt;&lt;wsp:rsid wsp:val=&quot;00611F2B&quot;/&gt;&lt;wsp:rsid wsp:val=&quot;00612799&quot;/&gt;&lt;wsp:rsid wsp:val=&quot;00613065&quot;/&gt;&lt;wsp:rsid wsp:val=&quot;00613957&quot;/&gt;&lt;wsp:rsid wsp:val=&quot;0061796A&quot;/&gt;&lt;wsp:rsid wsp:val=&quot;00620438&quot;/&gt;&lt;wsp:rsid wsp:val=&quot;00621211&quot;/&gt;&lt;wsp:rsid wsp:val=&quot;006213E9&quot;/&gt;&lt;wsp:rsid wsp:val=&quot;0062169C&quot;/&gt;&lt;wsp:rsid wsp:val=&quot;00622073&quot;/&gt;&lt;wsp:rsid wsp:val=&quot;00622C14&quot;/&gt;&lt;wsp:rsid wsp:val=&quot;00623288&quot;/&gt;&lt;wsp:rsid wsp:val=&quot;006246FC&quot;/&gt;&lt;wsp:rsid wsp:val=&quot;00624EDC&quot;/&gt;&lt;wsp:rsid wsp:val=&quot;00625F51&quot;/&gt;&lt;wsp:rsid wsp:val=&quot;0062772F&quot;/&gt;&lt;wsp:rsid wsp:val=&quot;00630538&quot;/&gt;&lt;wsp:rsid wsp:val=&quot;00630B07&quot;/&gt;&lt;wsp:rsid wsp:val=&quot;00631938&quot;/&gt;&lt;wsp:rsid wsp:val=&quot;00632B3E&quot;/&gt;&lt;wsp:rsid wsp:val=&quot;00635A69&quot;/&gt;&lt;wsp:rsid wsp:val=&quot;00637028&quot;/&gt;&lt;wsp:rsid wsp:val=&quot;0063729C&quot;/&gt;&lt;wsp:rsid wsp:val=&quot;0064140A&quot;/&gt;&lt;wsp:rsid wsp:val=&quot;00641CD8&quot;/&gt;&lt;wsp:rsid wsp:val=&quot;00642761&quot;/&gt;&lt;wsp:rsid wsp:val=&quot;006441F1&quot;/&gt;&lt;wsp:rsid wsp:val=&quot;00644CE4&quot;/&gt;&lt;wsp:rsid wsp:val=&quot;00645CC3&quot;/&gt;&lt;wsp:rsid wsp:val=&quot;00645F6C&quot;/&gt;&lt;wsp:rsid wsp:val=&quot;00652B62&quot;/&gt;&lt;wsp:rsid wsp:val=&quot;00653CEE&quot;/&gt;&lt;wsp:rsid wsp:val=&quot;00653F32&quot;/&gt;&lt;wsp:rsid wsp:val=&quot;00654E4C&quot;/&gt;&lt;wsp:rsid wsp:val=&quot;0065552F&quot;/&gt;&lt;wsp:rsid wsp:val=&quot;00655F96&quot;/&gt;&lt;wsp:rsid wsp:val=&quot;00657DE8&quot;/&gt;&lt;wsp:rsid wsp:val=&quot;006605AF&quot;/&gt;&lt;wsp:rsid wsp:val=&quot;00661C9D&quot;/&gt;&lt;wsp:rsid wsp:val=&quot;00662FB2&quot;/&gt;&lt;wsp:rsid wsp:val=&quot;00662FFF&quot;/&gt;&lt;wsp:rsid wsp:val=&quot;006645AE&quot;/&gt;&lt;wsp:rsid wsp:val=&quot;0066582C&quot;/&gt;&lt;wsp:rsid wsp:val=&quot;00666A80&quot;/&gt;&lt;wsp:rsid wsp:val=&quot;006715ED&quot;/&gt;&lt;wsp:rsid wsp:val=&quot;00673195&quot;/&gt;&lt;wsp:rsid wsp:val=&quot;00673C90&quot;/&gt;&lt;wsp:rsid wsp:val=&quot;00674631&quot;/&gt;&lt;wsp:rsid wsp:val=&quot;00674F7E&quot;/&gt;&lt;wsp:rsid wsp:val=&quot;0067522E&quot;/&gt;&lt;wsp:rsid wsp:val=&quot;00675363&quot;/&gt;&lt;wsp:rsid wsp:val=&quot;006757EA&quot;/&gt;&lt;wsp:rsid wsp:val=&quot;006762B4&quot;/&gt;&lt;wsp:rsid wsp:val=&quot;006771ED&quot;/&gt;&lt;wsp:rsid wsp:val=&quot;00677F44&quot;/&gt;&lt;wsp:rsid wsp:val=&quot;006808BA&quot;/&gt;&lt;wsp:rsid wsp:val=&quot;00680AF8&quot;/&gt;&lt;wsp:rsid wsp:val=&quot;006812B3&quot;/&gt;&lt;wsp:rsid wsp:val=&quot;00681F28&quot;/&gt;&lt;wsp:rsid wsp:val=&quot;00682101&quot;/&gt;&lt;wsp:rsid wsp:val=&quot;006826A9&quot;/&gt;&lt;wsp:rsid wsp:val=&quot;00682941&quot;/&gt;&lt;wsp:rsid wsp:val=&quot;00682E05&quot;/&gt;&lt;wsp:rsid wsp:val=&quot;00683AB8&quot;/&gt;&lt;wsp:rsid wsp:val=&quot;00685F96&quot;/&gt;&lt;wsp:rsid wsp:val=&quot;006867E2&quot;/&gt;&lt;wsp:rsid wsp:val=&quot;00687308&quot;/&gt;&lt;wsp:rsid wsp:val=&quot;00690433&quot;/&gt;&lt;wsp:rsid wsp:val=&quot;006908ED&quot;/&gt;&lt;wsp:rsid wsp:val=&quot;00690D28&quot;/&gt;&lt;wsp:rsid wsp:val=&quot;00691505&quot;/&gt;&lt;wsp:rsid wsp:val=&quot;006932EB&quot;/&gt;&lt;wsp:rsid wsp:val=&quot;00693E01&quot;/&gt;&lt;wsp:rsid wsp:val=&quot;006956B7&quot;/&gt;&lt;wsp:rsid wsp:val=&quot;00696991&quot;/&gt;&lt;wsp:rsid wsp:val=&quot;006973E9&quot;/&gt;&lt;wsp:rsid wsp:val=&quot;006A0471&quot;/&gt;&lt;wsp:rsid wsp:val=&quot;006A1D97&quot;/&gt;&lt;wsp:rsid wsp:val=&quot;006A2566&quot;/&gt;&lt;wsp:rsid wsp:val=&quot;006A3487&quot;/&gt;&lt;wsp:rsid wsp:val=&quot;006A4307&quot;/&gt;&lt;wsp:rsid wsp:val=&quot;006A45C4&quot;/&gt;&lt;wsp:rsid wsp:val=&quot;006A5262&quot;/&gt;&lt;wsp:rsid wsp:val=&quot;006A5CA2&quot;/&gt;&lt;wsp:rsid wsp:val=&quot;006A67C4&quot;/&gt;&lt;wsp:rsid wsp:val=&quot;006A7876&quot;/&gt;&lt;wsp:rsid wsp:val=&quot;006A79F9&quot;/&gt;&lt;wsp:rsid wsp:val=&quot;006B15C0&quot;/&gt;&lt;wsp:rsid wsp:val=&quot;006B1B4C&quot;/&gt;&lt;wsp:rsid wsp:val=&quot;006B3B78&quot;/&gt;&lt;wsp:rsid wsp:val=&quot;006B3C11&quot;/&gt;&lt;wsp:rsid wsp:val=&quot;006B3F8D&quot;/&gt;&lt;wsp:rsid wsp:val=&quot;006B4425&quot;/&gt;&lt;wsp:rsid wsp:val=&quot;006C2671&quot;/&gt;&lt;wsp:rsid wsp:val=&quot;006C27BB&quot;/&gt;&lt;wsp:rsid wsp:val=&quot;006C55A6&quot;/&gt;&lt;wsp:rsid wsp:val=&quot;006C6680&quot;/&gt;&lt;wsp:rsid wsp:val=&quot;006D07A7&quot;/&gt;&lt;wsp:rsid wsp:val=&quot;006D4E40&quot;/&gt;&lt;wsp:rsid wsp:val=&quot;006D5D2B&quot;/&gt;&lt;wsp:rsid wsp:val=&quot;006D70A5&quot;/&gt;&lt;wsp:rsid wsp:val=&quot;006E2003&quot;/&gt;&lt;wsp:rsid wsp:val=&quot;006E2B4F&quot;/&gt;&lt;wsp:rsid wsp:val=&quot;006E373B&quot;/&gt;&lt;wsp:rsid wsp:val=&quot;006E5767&quot;/&gt;&lt;wsp:rsid wsp:val=&quot;006E6A45&quot;/&gt;&lt;wsp:rsid wsp:val=&quot;006F0E30&quot;/&gt;&lt;wsp:rsid wsp:val=&quot;006F13C0&quot;/&gt;&lt;wsp:rsid wsp:val=&quot;006F1DC4&quot;/&gt;&lt;wsp:rsid wsp:val=&quot;006F2071&quot;/&gt;&lt;wsp:rsid wsp:val=&quot;006F3260&quot;/&gt;&lt;wsp:rsid wsp:val=&quot;006F4E16&quot;/&gt;&lt;wsp:rsid wsp:val=&quot;006F5FC8&quot;/&gt;&lt;wsp:rsid wsp:val=&quot;006F6039&quot;/&gt;&lt;wsp:rsid wsp:val=&quot;00701621&quot;/&gt;&lt;wsp:rsid wsp:val=&quot;007032C6&quot;/&gt;&lt;wsp:rsid wsp:val=&quot;00703DB7&quot;/&gt;&lt;wsp:rsid wsp:val=&quot;0070622E&quot;/&gt;&lt;wsp:rsid wsp:val=&quot;00706A77&quot;/&gt;&lt;wsp:rsid wsp:val=&quot;00707894&quot;/&gt;&lt;wsp:rsid wsp:val=&quot;00711959&quot;/&gt;&lt;wsp:rsid wsp:val=&quot;00712694&quot;/&gt;&lt;wsp:rsid wsp:val=&quot;007138C4&quot;/&gt;&lt;wsp:rsid wsp:val=&quot;00716DA8&quot;/&gt;&lt;wsp:rsid wsp:val=&quot;00717D15&quot;/&gt;&lt;wsp:rsid wsp:val=&quot;0072291E&quot;/&gt;&lt;wsp:rsid wsp:val=&quot;00723B92&quot;/&gt;&lt;wsp:rsid wsp:val=&quot;00724398&quot;/&gt;&lt;wsp:rsid wsp:val=&quot;00726B84&quot;/&gt;&lt;wsp:rsid wsp:val=&quot;00730B8B&quot;/&gt;&lt;wsp:rsid wsp:val=&quot;00731C1D&quot;/&gt;&lt;wsp:rsid wsp:val=&quot;00733741&quot;/&gt;&lt;wsp:rsid wsp:val=&quot;007337F0&quot;/&gt;&lt;wsp:rsid wsp:val=&quot;0073409A&quot;/&gt;&lt;wsp:rsid wsp:val=&quot;007347C9&quot;/&gt;&lt;wsp:rsid wsp:val=&quot;00734841&quot;/&gt;&lt;wsp:rsid wsp:val=&quot;00735FE6&quot;/&gt;&lt;wsp:rsid wsp:val=&quot;00736C09&quot;/&gt;&lt;wsp:rsid wsp:val=&quot;00737B18&quot;/&gt;&lt;wsp:rsid wsp:val=&quot;00740561&quot;/&gt;&lt;wsp:rsid wsp:val=&quot;00740824&quot;/&gt;&lt;wsp:rsid wsp:val=&quot;00740D72&quot;/&gt;&lt;wsp:rsid wsp:val=&quot;00741215&quot;/&gt;&lt;wsp:rsid wsp:val=&quot;00741F91&quot;/&gt;&lt;wsp:rsid wsp:val=&quot;0074389F&quot;/&gt;&lt;wsp:rsid wsp:val=&quot;00745631&quot;/&gt;&lt;wsp:rsid wsp:val=&quot;00745903&quot;/&gt;&lt;wsp:rsid wsp:val=&quot;00745F44&quot;/&gt;&lt;wsp:rsid wsp:val=&quot;00747826&quot;/&gt;&lt;wsp:rsid wsp:val=&quot;00753C4B&quot;/&gt;&lt;wsp:rsid wsp:val=&quot;00753CF5&quot;/&gt;&lt;wsp:rsid wsp:val=&quot;00755AFF&quot;/&gt;&lt;wsp:rsid wsp:val=&quot;00755C75&quot;/&gt;&lt;wsp:rsid wsp:val=&quot;00757EA9&quot;/&gt;&lt;wsp:rsid wsp:val=&quot;00760E13&quot;/&gt;&lt;wsp:rsid wsp:val=&quot;007614BD&quot;/&gt;&lt;wsp:rsid wsp:val=&quot;0076401A&quot;/&gt;&lt;wsp:rsid wsp:val=&quot;007650F6&quot;/&gt;&lt;wsp:rsid wsp:val=&quot;007658D6&quot;/&gt;&lt;wsp:rsid wsp:val=&quot;00765A82&quot;/&gt;&lt;wsp:rsid wsp:val=&quot;00773044&quot;/&gt;&lt;wsp:rsid wsp:val=&quot;00775BDB&quot;/&gt;&lt;wsp:rsid wsp:val=&quot;0078071A&quot;/&gt;&lt;wsp:rsid wsp:val=&quot;00782119&quot;/&gt;&lt;wsp:rsid wsp:val=&quot;00782339&quot;/&gt;&lt;wsp:rsid wsp:val=&quot;00782EE1&quot;/&gt;&lt;wsp:rsid wsp:val=&quot;007831B5&quot;/&gt;&lt;wsp:rsid wsp:val=&quot;0078378B&quot;/&gt;&lt;wsp:rsid wsp:val=&quot;007847A2&quot;/&gt;&lt;wsp:rsid wsp:val=&quot;00785379&quot;/&gt;&lt;wsp:rsid wsp:val=&quot;007869D6&quot;/&gt;&lt;wsp:rsid wsp:val=&quot;00787DB4&quot;/&gt;&lt;wsp:rsid wsp:val=&quot;007901A7&quot;/&gt;&lt;wsp:rsid wsp:val=&quot;00791791&quot;/&gt;&lt;wsp:rsid wsp:val=&quot;00791869&quot;/&gt;&lt;wsp:rsid wsp:val=&quot;00791D76&quot;/&gt;&lt;wsp:rsid wsp:val=&quot;00793DEE&quot;/&gt;&lt;wsp:rsid wsp:val=&quot;00794268&quot;/&gt;&lt;wsp:rsid wsp:val=&quot;00795063&quot;/&gt;&lt;wsp:rsid wsp:val=&quot;007956BF&quot;/&gt;&lt;wsp:rsid wsp:val=&quot;00795BFF&quot;/&gt;&lt;wsp:rsid wsp:val=&quot;007969F7&quot;/&gt;&lt;wsp:rsid wsp:val=&quot;00796A9C&quot;/&gt;&lt;wsp:rsid wsp:val=&quot;00796E2F&quot;/&gt;&lt;wsp:rsid wsp:val=&quot;007979AB&quot;/&gt;&lt;wsp:rsid wsp:val=&quot;007A122B&quot;/&gt;&lt;wsp:rsid wsp:val=&quot;007A26AE&quot;/&gt;&lt;wsp:rsid wsp:val=&quot;007A3D42&quot;/&gt;&lt;wsp:rsid wsp:val=&quot;007A41E6&quot;/&gt;&lt;wsp:rsid wsp:val=&quot;007A6F5A&quot;/&gt;&lt;wsp:rsid wsp:val=&quot;007B0028&quot;/&gt;&lt;wsp:rsid wsp:val=&quot;007B02E2&quot;/&gt;&lt;wsp:rsid wsp:val=&quot;007B1449&quot;/&gt;&lt;wsp:rsid wsp:val=&quot;007B1D16&quot;/&gt;&lt;wsp:rsid wsp:val=&quot;007B3962&quot;/&gt;&lt;wsp:rsid wsp:val=&quot;007B41E9&quot;/&gt;&lt;wsp:rsid wsp:val=&quot;007B5C7E&quot;/&gt;&lt;wsp:rsid wsp:val=&quot;007B6528&quot;/&gt;&lt;wsp:rsid wsp:val=&quot;007B6623&quot;/&gt;&lt;wsp:rsid wsp:val=&quot;007C04FC&quot;/&gt;&lt;wsp:rsid wsp:val=&quot;007C07D8&quot;/&gt;&lt;wsp:rsid wsp:val=&quot;007C421C&quot;/&gt;&lt;wsp:rsid wsp:val=&quot;007C464D&quot;/&gt;&lt;wsp:rsid wsp:val=&quot;007C479E&quot;/&gt;&lt;wsp:rsid wsp:val=&quot;007C4952&quot;/&gt;&lt;wsp:rsid wsp:val=&quot;007C5E49&quot;/&gt;&lt;wsp:rsid wsp:val=&quot;007C7D0D&quot;/&gt;&lt;wsp:rsid wsp:val=&quot;007D143E&quot;/&gt;&lt;wsp:rsid wsp:val=&quot;007D1C36&quot;/&gt;&lt;wsp:rsid wsp:val=&quot;007D1F76&quot;/&gt;&lt;wsp:rsid wsp:val=&quot;007D216B&quot;/&gt;&lt;wsp:rsid wsp:val=&quot;007D4B03&quot;/&gt;&lt;wsp:rsid wsp:val=&quot;007D6439&quot;/&gt;&lt;wsp:rsid wsp:val=&quot;007D7C23&quot;/&gt;&lt;wsp:rsid wsp:val=&quot;007D7DEF&quot;/&gt;&lt;wsp:rsid wsp:val=&quot;007E0068&quot;/&gt;&lt;wsp:rsid wsp:val=&quot;007E0DE7&quot;/&gt;&lt;wsp:rsid wsp:val=&quot;007E3528&quot;/&gt;&lt;wsp:rsid wsp:val=&quot;007E3C19&quot;/&gt;&lt;wsp:rsid wsp:val=&quot;007E587F&quot;/&gt;&lt;wsp:rsid wsp:val=&quot;007E5999&quot;/&gt;&lt;wsp:rsid wsp:val=&quot;007E661A&quot;/&gt;&lt;wsp:rsid wsp:val=&quot;007E6D34&quot;/&gt;&lt;wsp:rsid wsp:val=&quot;007E76E1&quot;/&gt;&lt;wsp:rsid wsp:val=&quot;007F1E8E&quot;/&gt;&lt;wsp:rsid wsp:val=&quot;007F41B7&quot;/&gt;&lt;wsp:rsid wsp:val=&quot;007F529B&quot;/&gt;&lt;wsp:rsid wsp:val=&quot;007F5BA5&quot;/&gt;&lt;wsp:rsid wsp:val=&quot;007F6068&quot;/&gt;&lt;wsp:rsid wsp:val=&quot;007F6245&quot;/&gt;&lt;wsp:rsid wsp:val=&quot;007F6CBF&quot;/&gt;&lt;wsp:rsid wsp:val=&quot;008016A9&quot;/&gt;&lt;wsp:rsid wsp:val=&quot;00801A24&quot;/&gt;&lt;wsp:rsid wsp:val=&quot;0080215A&quot;/&gt;&lt;wsp:rsid wsp:val=&quot;0080317A&quot;/&gt;&lt;wsp:rsid wsp:val=&quot;00803290&quot;/&gt;&lt;wsp:rsid wsp:val=&quot;008061BF&quot;/&gt;&lt;wsp:rsid wsp:val=&quot;0080631D&quot;/&gt;&lt;wsp:rsid wsp:val=&quot;00806D9E&quot;/&gt;&lt;wsp:rsid wsp:val=&quot;00807FDC&quot;/&gt;&lt;wsp:rsid wsp:val=&quot;00810DB0&quot;/&gt;&lt;wsp:rsid wsp:val=&quot;00811C59&quot;/&gt;&lt;wsp:rsid wsp:val=&quot;00812053&quot;/&gt;&lt;wsp:rsid wsp:val=&quot;00814AA6&quot;/&gt;&lt;wsp:rsid wsp:val=&quot;00815CCD&quot;/&gt;&lt;wsp:rsid wsp:val=&quot;00816826&quot;/&gt;&lt;wsp:rsid wsp:val=&quot;00816BB0&quot;/&gt;&lt;wsp:rsid wsp:val=&quot;008171C6&quot;/&gt;&lt;wsp:rsid wsp:val=&quot;00817D0A&quot;/&gt;&lt;wsp:rsid wsp:val=&quot;00821C8A&quot;/&gt;&lt;wsp:rsid wsp:val=&quot;00823615&quot;/&gt;&lt;wsp:rsid wsp:val=&quot;00823B28&quot;/&gt;&lt;wsp:rsid wsp:val=&quot;008246F0&quot;/&gt;&lt;wsp:rsid wsp:val=&quot;0082654A&quot;/&gt;&lt;wsp:rsid wsp:val=&quot;00826878&quot;/&gt;&lt;wsp:rsid wsp:val=&quot;008274B5&quot;/&gt;&lt;wsp:rsid wsp:val=&quot;008274C1&quot;/&gt;&lt;wsp:rsid wsp:val=&quot;008328CB&quot;/&gt;&lt;wsp:rsid wsp:val=&quot;0083299B&quot;/&gt;&lt;wsp:rsid wsp:val=&quot;0083419B&quot;/&gt;&lt;wsp:rsid wsp:val=&quot;00835965&quot;/&gt;&lt;wsp:rsid wsp:val=&quot;008363D1&quot;/&gt;&lt;wsp:rsid wsp:val=&quot;00836FFA&quot;/&gt;&lt;wsp:rsid wsp:val=&quot;0084204D&quot;/&gt;&lt;wsp:rsid wsp:val=&quot;00846F56&quot;/&gt;&lt;wsp:rsid wsp:val=&quot;008478AD&quot;/&gt;&lt;wsp:rsid wsp:val=&quot;00850D9C&quot;/&gt;&lt;wsp:rsid wsp:val=&quot;00851ADA&quot;/&gt;&lt;wsp:rsid wsp:val=&quot;00854E95&quot;/&gt;&lt;wsp:rsid wsp:val=&quot;00854ED8&quot;/&gt;&lt;wsp:rsid wsp:val=&quot;008553EC&quot;/&gt;&lt;wsp:rsid wsp:val=&quot;0085736C&quot;/&gt;&lt;wsp:rsid wsp:val=&quot;008578FF&quot;/&gt;&lt;wsp:rsid wsp:val=&quot;00860094&quot;/&gt;&lt;wsp:rsid wsp:val=&quot;00864C02&quot;/&gt;&lt;wsp:rsid wsp:val=&quot;008660B4&quot;/&gt;&lt;wsp:rsid wsp:val=&quot;00872201&quot;/&gt;&lt;wsp:rsid wsp:val=&quot;00872350&quot;/&gt;&lt;wsp:rsid wsp:val=&quot;008725D4&quot;/&gt;&lt;wsp:rsid wsp:val=&quot;00872F50&quot;/&gt;&lt;wsp:rsid wsp:val=&quot;00873656&quot;/&gt;&lt;wsp:rsid wsp:val=&quot;00874E16&quot;/&gt;&lt;wsp:rsid wsp:val=&quot;00875F0F&quot;/&gt;&lt;wsp:rsid wsp:val=&quot;00876061&quot;/&gt;&lt;wsp:rsid wsp:val=&quot;00876797&quot;/&gt;&lt;wsp:rsid wsp:val=&quot;00876DE4&quot;/&gt;&lt;wsp:rsid wsp:val=&quot;008806AE&quot;/&gt;&lt;wsp:rsid wsp:val=&quot;0088560B&quot;/&gt;&lt;wsp:rsid wsp:val=&quot;0088606D&quot;/&gt;&lt;wsp:rsid wsp:val=&quot;00886325&quot;/&gt;&lt;wsp:rsid wsp:val=&quot;00887284&quot;/&gt;&lt;wsp:rsid wsp:val=&quot;00890008&quot;/&gt;&lt;wsp:rsid wsp:val=&quot;00890CAB&quot;/&gt;&lt;wsp:rsid wsp:val=&quot;008A06AD&quot;/&gt;&lt;wsp:rsid wsp:val=&quot;008A0E9C&quot;/&gt;&lt;wsp:rsid wsp:val=&quot;008A3D3D&quot;/&gt;&lt;wsp:rsid wsp:val=&quot;008A47D8&quot;/&gt;&lt;wsp:rsid wsp:val=&quot;008A4818&quot;/&gt;&lt;wsp:rsid wsp:val=&quot;008A49D6&quot;/&gt;&lt;wsp:rsid wsp:val=&quot;008A5BD2&quot;/&gt;&lt;wsp:rsid wsp:val=&quot;008A74A1&quot;/&gt;&lt;wsp:rsid wsp:val=&quot;008B1431&quot;/&gt;&lt;wsp:rsid wsp:val=&quot;008B1BCC&quot;/&gt;&lt;wsp:rsid wsp:val=&quot;008B290F&quot;/&gt;&lt;wsp:rsid wsp:val=&quot;008B389F&quot;/&gt;&lt;wsp:rsid wsp:val=&quot;008B41B1&quot;/&gt;&lt;wsp:rsid wsp:val=&quot;008B4D51&quot;/&gt;&lt;wsp:rsid wsp:val=&quot;008B5C44&quot;/&gt;&lt;wsp:rsid wsp:val=&quot;008C00D6&quot;/&gt;&lt;wsp:rsid wsp:val=&quot;008C2489&quot;/&gt;&lt;wsp:rsid wsp:val=&quot;008C38D7&quot;/&gt;&lt;wsp:rsid wsp:val=&quot;008C3A15&quot;/&gt;&lt;wsp:rsid wsp:val=&quot;008C5256&quot;/&gt;&lt;wsp:rsid wsp:val=&quot;008C6367&quot;/&gt;&lt;wsp:rsid wsp:val=&quot;008C7E2D&quot;/&gt;&lt;wsp:rsid wsp:val=&quot;008D11DD&quot;/&gt;&lt;wsp:rsid wsp:val=&quot;008D13BF&quot;/&gt;&lt;wsp:rsid wsp:val=&quot;008D1E7E&quot;/&gt;&lt;wsp:rsid wsp:val=&quot;008D2448&quot;/&gt;&lt;wsp:rsid wsp:val=&quot;008D2608&quot;/&gt;&lt;wsp:rsid wsp:val=&quot;008D3FE1&quot;/&gt;&lt;wsp:rsid wsp:val=&quot;008D4C11&quot;/&gt;&lt;wsp:rsid wsp:val=&quot;008D520F&quot;/&gt;&lt;wsp:rsid wsp:val=&quot;008D7BC9&quot;/&gt;&lt;wsp:rsid wsp:val=&quot;008E4117&quot;/&gt;&lt;wsp:rsid wsp:val=&quot;008E5AE0&quot;/&gt;&lt;wsp:rsid wsp:val=&quot;008E5EE9&quot;/&gt;&lt;wsp:rsid wsp:val=&quot;008E62B2&quot;/&gt;&lt;wsp:rsid wsp:val=&quot;008E7253&quot;/&gt;&lt;wsp:rsid wsp:val=&quot;008F004C&quot;/&gt;&lt;wsp:rsid wsp:val=&quot;008F3D9D&quot;/&gt;&lt;wsp:rsid wsp:val=&quot;008F4124&quot;/&gt;&lt;wsp:rsid wsp:val=&quot;008F7E18&quot;/&gt;&lt;wsp:rsid wsp:val=&quot;00900052&quot;/&gt;&lt;wsp:rsid wsp:val=&quot;0090147F&quot;/&gt;&lt;wsp:rsid wsp:val=&quot;009021EF&quot;/&gt;&lt;wsp:rsid wsp:val=&quot;00902C13&quot;/&gt;&lt;wsp:rsid wsp:val=&quot;00902CCC&quot;/&gt;&lt;wsp:rsid wsp:val=&quot;00902DC1&quot;/&gt;&lt;wsp:rsid wsp:val=&quot;009033C4&quot;/&gt;&lt;wsp:rsid wsp:val=&quot;009062EF&quot;/&gt;&lt;wsp:rsid wsp:val=&quot;00911398&quot;/&gt;&lt;wsp:rsid wsp:val=&quot;00912E09&quot;/&gt;&lt;wsp:rsid wsp:val=&quot;00913E11&quot;/&gt;&lt;wsp:rsid wsp:val=&quot;009157C4&quot;/&gt;&lt;wsp:rsid wsp:val=&quot;00916D3C&quot;/&gt;&lt;wsp:rsid wsp:val=&quot;009176B5&quot;/&gt;&lt;wsp:rsid wsp:val=&quot;009177A0&quot;/&gt;&lt;wsp:rsid wsp:val=&quot;009200DC&quot;/&gt;&lt;wsp:rsid wsp:val=&quot;00920545&quot;/&gt;&lt;wsp:rsid wsp:val=&quot;0092160D&quot;/&gt;&lt;wsp:rsid wsp:val=&quot;009225EF&quot;/&gt;&lt;wsp:rsid wsp:val=&quot;009226BB&quot;/&gt;&lt;wsp:rsid wsp:val=&quot;00924C93&quot;/&gt;&lt;wsp:rsid wsp:val=&quot;00925A3B&quot;/&gt;&lt;wsp:rsid wsp:val=&quot;009268A6&quot;/&gt;&lt;wsp:rsid wsp:val=&quot;00927C2C&quot;/&gt;&lt;wsp:rsid wsp:val=&quot;00930419&quot;/&gt;&lt;wsp:rsid wsp:val=&quot;009330CC&quot;/&gt;&lt;wsp:rsid wsp:val=&quot;009339AB&quot;/&gt;&lt;wsp:rsid wsp:val=&quot;0093784F&quot;/&gt;&lt;wsp:rsid wsp:val=&quot;00937E90&quot;/&gt;&lt;wsp:rsid wsp:val=&quot;0094034B&quot;/&gt;&lt;wsp:rsid wsp:val=&quot;00940B06&quot;/&gt;&lt;wsp:rsid wsp:val=&quot;009433D5&quot;/&gt;&lt;wsp:rsid wsp:val=&quot;009437B6&quot;/&gt;&lt;wsp:rsid wsp:val=&quot;00943813&quot;/&gt;&lt;wsp:rsid wsp:val=&quot;0094730B&quot;/&gt;&lt;wsp:rsid wsp:val=&quot;00950ACC&quot;/&gt;&lt;wsp:rsid wsp:val=&quot;00951506&quot;/&gt;&lt;wsp:rsid wsp:val=&quot;00954B11&quot;/&gt;&lt;wsp:rsid wsp:val=&quot;00954E6C&quot;/&gt;&lt;wsp:rsid wsp:val=&quot;00954F4C&quot;/&gt;&lt;wsp:rsid wsp:val=&quot;00955A14&quot;/&gt;&lt;wsp:rsid wsp:val=&quot;00955CBA&quot;/&gt;&lt;wsp:rsid wsp:val=&quot;00956D2E&quot;/&gt;&lt;wsp:rsid wsp:val=&quot;0095761B&quot;/&gt;&lt;wsp:rsid wsp:val=&quot;0096252E&quot;/&gt;&lt;wsp:rsid wsp:val=&quot;00964282&quot;/&gt;&lt;wsp:rsid wsp:val=&quot;00966722&quot;/&gt;&lt;wsp:rsid wsp:val=&quot;0097077C&quot;/&gt;&lt;wsp:rsid wsp:val=&quot;0097293B&quot;/&gt;&lt;wsp:rsid wsp:val=&quot;0097299B&quot;/&gt;&lt;wsp:rsid wsp:val=&quot;009740A2&quot;/&gt;&lt;wsp:rsid wsp:val=&quot;00974D8A&quot;/&gt;&lt;wsp:rsid wsp:val=&quot;00975EA7&quot;/&gt;&lt;wsp:rsid wsp:val=&quot;00976F33&quot;/&gt;&lt;wsp:rsid wsp:val=&quot;009776FA&quot;/&gt;&lt;wsp:rsid wsp:val=&quot;00977881&quot;/&gt;&lt;wsp:rsid wsp:val=&quot;009779D6&quot;/&gt;&lt;wsp:rsid wsp:val=&quot;0098387A&quot;/&gt;&lt;wsp:rsid wsp:val=&quot;009839E8&quot;/&gt;&lt;wsp:rsid wsp:val=&quot;00983E22&quot;/&gt;&lt;wsp:rsid wsp:val=&quot;0098459A&quot;/&gt;&lt;wsp:rsid wsp:val=&quot;00984955&quot;/&gt;&lt;wsp:rsid wsp:val=&quot;00984FB2&quot;/&gt;&lt;wsp:rsid wsp:val=&quot;00985A54&quot;/&gt;&lt;wsp:rsid wsp:val=&quot;00986EAF&quot;/&gt;&lt;wsp:rsid wsp:val=&quot;0098713F&quot;/&gt;&lt;wsp:rsid wsp:val=&quot;00987C0F&quot;/&gt;&lt;wsp:rsid wsp:val=&quot;00990135&quot;/&gt;&lt;wsp:rsid wsp:val=&quot;00990C21&quot;/&gt;&lt;wsp:rsid wsp:val=&quot;00991990&quot;/&gt;&lt;wsp:rsid wsp:val=&quot;00994702&quot;/&gt;&lt;wsp:rsid wsp:val=&quot;009A00D6&quot;/&gt;&lt;wsp:rsid wsp:val=&quot;009A0BED&quot;/&gt;&lt;wsp:rsid wsp:val=&quot;009A32B7&quot;/&gt;&lt;wsp:rsid wsp:val=&quot;009A42DE&quot;/&gt;&lt;wsp:rsid wsp:val=&quot;009A4601&quot;/&gt;&lt;wsp:rsid wsp:val=&quot;009A4CFE&quot;/&gt;&lt;wsp:rsid wsp:val=&quot;009A50A5&quot;/&gt;&lt;wsp:rsid wsp:val=&quot;009A62E7&quot;/&gt;&lt;wsp:rsid wsp:val=&quot;009A66C6&quot;/&gt;&lt;wsp:rsid wsp:val=&quot;009A6E52&quot;/&gt;&lt;wsp:rsid wsp:val=&quot;009B0219&quot;/&gt;&lt;wsp:rsid wsp:val=&quot;009B1044&quot;/&gt;&lt;wsp:rsid wsp:val=&quot;009B19C7&quot;/&gt;&lt;wsp:rsid wsp:val=&quot;009B2E65&quot;/&gt;&lt;wsp:rsid wsp:val=&quot;009B2EDB&quot;/&gt;&lt;wsp:rsid wsp:val=&quot;009B330B&quot;/&gt;&lt;wsp:rsid wsp:val=&quot;009B62D3&quot;/&gt;&lt;wsp:rsid wsp:val=&quot;009B6B4E&quot;/&gt;&lt;wsp:rsid wsp:val=&quot;009B7C8B&quot;/&gt;&lt;wsp:rsid wsp:val=&quot;009B7E75&quot;/&gt;&lt;wsp:rsid wsp:val=&quot;009C197F&quot;/&gt;&lt;wsp:rsid wsp:val=&quot;009C2C58&quot;/&gt;&lt;wsp:rsid wsp:val=&quot;009C49EB&quot;/&gt;&lt;wsp:rsid wsp:val=&quot;009C6227&quot;/&gt;&lt;wsp:rsid wsp:val=&quot;009C67DE&quot;/&gt;&lt;wsp:rsid wsp:val=&quot;009D1685&quot;/&gt;&lt;wsp:rsid wsp:val=&quot;009D3117&quot;/&gt;&lt;wsp:rsid wsp:val=&quot;009D4D08&quot;/&gt;&lt;wsp:rsid wsp:val=&quot;009D7423&quot;/&gt;&lt;wsp:rsid wsp:val=&quot;009E0057&quot;/&gt;&lt;wsp:rsid wsp:val=&quot;009E3376&quot;/&gt;&lt;wsp:rsid wsp:val=&quot;009E3A65&quot;/&gt;&lt;wsp:rsid wsp:val=&quot;009E6037&quot;/&gt;&lt;wsp:rsid wsp:val=&quot;009E6041&quot;/&gt;&lt;wsp:rsid wsp:val=&quot;009E688B&quot;/&gt;&lt;wsp:rsid wsp:val=&quot;009F0CB6&quot;/&gt;&lt;wsp:rsid wsp:val=&quot;009F189C&quot;/&gt;&lt;wsp:rsid wsp:val=&quot;009F1EB1&quot;/&gt;&lt;wsp:rsid wsp:val=&quot;009F26C9&quot;/&gt;&lt;wsp:rsid wsp:val=&quot;009F279E&quot;/&gt;&lt;wsp:rsid wsp:val=&quot;009F2ED4&quot;/&gt;&lt;wsp:rsid wsp:val=&quot;009F5D4D&quot;/&gt;&lt;wsp:rsid wsp:val=&quot;009F6DD5&quot;/&gt;&lt;wsp:rsid wsp:val=&quot;009F79DE&quot;/&gt;&lt;wsp:rsid wsp:val=&quot;00A005F6&quot;/&gt;&lt;wsp:rsid wsp:val=&quot;00A04E37&quot;/&gt;&lt;wsp:rsid wsp:val=&quot;00A04FD5&quot;/&gt;&lt;wsp:rsid wsp:val=&quot;00A05273&quot;/&gt;&lt;wsp:rsid wsp:val=&quot;00A06F91&quot;/&gt;&lt;wsp:rsid wsp:val=&quot;00A0765A&quot;/&gt;&lt;wsp:rsid wsp:val=&quot;00A11437&quot;/&gt;&lt;wsp:rsid wsp:val=&quot;00A11936&quot;/&gt;&lt;wsp:rsid wsp:val=&quot;00A11BFC&quot;/&gt;&lt;wsp:rsid wsp:val=&quot;00A1221A&quot;/&gt;&lt;wsp:rsid wsp:val=&quot;00A131D4&quot;/&gt;&lt;wsp:rsid wsp:val=&quot;00A16666&quot;/&gt;&lt;wsp:rsid wsp:val=&quot;00A21638&quot;/&gt;&lt;wsp:rsid wsp:val=&quot;00A2252D&quot;/&gt;&lt;wsp:rsid wsp:val=&quot;00A237C2&quot;/&gt;&lt;wsp:rsid wsp:val=&quot;00A25759&quot;/&gt;&lt;wsp:rsid wsp:val=&quot;00A27197&quot;/&gt;&lt;wsp:rsid wsp:val=&quot;00A2764D&quot;/&gt;&lt;wsp:rsid wsp:val=&quot;00A306EA&quot;/&gt;&lt;wsp:rsid wsp:val=&quot;00A32021&quot;/&gt;&lt;wsp:rsid wsp:val=&quot;00A339E2&quot;/&gt;&lt;wsp:rsid wsp:val=&quot;00A36F9F&quot;/&gt;&lt;wsp:rsid wsp:val=&quot;00A3790E&quot;/&gt;&lt;wsp:rsid wsp:val=&quot;00A37D5A&quot;/&gt;&lt;wsp:rsid wsp:val=&quot;00A4017E&quot;/&gt;&lt;wsp:rsid wsp:val=&quot;00A40EEB&quot;/&gt;&lt;wsp:rsid wsp:val=&quot;00A41B96&quot;/&gt;&lt;wsp:rsid wsp:val=&quot;00A42407&quot;/&gt;&lt;wsp:rsid wsp:val=&quot;00A433BF&quot;/&gt;&lt;wsp:rsid wsp:val=&quot;00A4375D&quot;/&gt;&lt;wsp:rsid wsp:val=&quot;00A44D32&quot;/&gt;&lt;wsp:rsid wsp:val=&quot;00A45AED&quot;/&gt;&lt;wsp:rsid wsp:val=&quot;00A471A2&quot;/&gt;&lt;wsp:rsid wsp:val=&quot;00A47EDE&quot;/&gt;&lt;wsp:rsid wsp:val=&quot;00A513CE&quot;/&gt;&lt;wsp:rsid wsp:val=&quot;00A52303&quot;/&gt;&lt;wsp:rsid wsp:val=&quot;00A5310F&quot;/&gt;&lt;wsp:rsid wsp:val=&quot;00A55822&quot;/&gt;&lt;wsp:rsid wsp:val=&quot;00A558CC&quot;/&gt;&lt;wsp:rsid wsp:val=&quot;00A6027F&quot;/&gt;&lt;wsp:rsid wsp:val=&quot;00A60F0D&quot;/&gt;&lt;wsp:rsid wsp:val=&quot;00A614B1&quot;/&gt;&lt;wsp:rsid wsp:val=&quot;00A61FB8&quot;/&gt;&lt;wsp:rsid wsp:val=&quot;00A62391&quot;/&gt;&lt;wsp:rsid wsp:val=&quot;00A63EC1&quot;/&gt;&lt;wsp:rsid wsp:val=&quot;00A64CE7&quot;/&gt;&lt;wsp:rsid wsp:val=&quot;00A66954&quot;/&gt;&lt;wsp:rsid wsp:val=&quot;00A671FD&quot;/&gt;&lt;wsp:rsid wsp:val=&quot;00A715A1&quot;/&gt;&lt;wsp:rsid wsp:val=&quot;00A72686&quot;/&gt;&lt;wsp:rsid wsp:val=&quot;00A72DB3&quot;/&gt;&lt;wsp:rsid wsp:val=&quot;00A72FFB&quot;/&gt;&lt;wsp:rsid wsp:val=&quot;00A74AF1&quot;/&gt;&lt;wsp:rsid wsp:val=&quot;00A75422&quot;/&gt;&lt;wsp:rsid wsp:val=&quot;00A75C29&quot;/&gt;&lt;wsp:rsid wsp:val=&quot;00A76107&quot;/&gt;&lt;wsp:rsid wsp:val=&quot;00A7671C&quot;/&gt;&lt;wsp:rsid wsp:val=&quot;00A76B33&quot;/&gt;&lt;wsp:rsid wsp:val=&quot;00A77F07&quot;/&gt;&lt;wsp:rsid wsp:val=&quot;00A77FFE&quot;/&gt;&lt;wsp:rsid wsp:val=&quot;00A82B3A&quot;/&gt;&lt;wsp:rsid wsp:val=&quot;00A84008&quot;/&gt;&lt;wsp:rsid wsp:val=&quot;00A86C09&quot;/&gt;&lt;wsp:rsid wsp:val=&quot;00A90534&quot;/&gt;&lt;wsp:rsid wsp:val=&quot;00A94771&quot;/&gt;&lt;wsp:rsid wsp:val=&quot;00AA51F9&quot;/&gt;&lt;wsp:rsid wsp:val=&quot;00AA5226&quot;/&gt;&lt;wsp:rsid wsp:val=&quot;00AA72FB&quot;/&gt;&lt;wsp:rsid wsp:val=&quot;00AA7A38&quot;/&gt;&lt;wsp:rsid wsp:val=&quot;00AA7D39&quot;/&gt;&lt;wsp:rsid wsp:val=&quot;00AB100D&quot;/&gt;&lt;wsp:rsid wsp:val=&quot;00AB6371&quot;/&gt;&lt;wsp:rsid wsp:val=&quot;00AB65FC&quot;/&gt;&lt;wsp:rsid wsp:val=&quot;00AB7095&quot;/&gt;&lt;wsp:rsid wsp:val=&quot;00AB7FE3&quot;/&gt;&lt;wsp:rsid wsp:val=&quot;00AC21FC&quot;/&gt;&lt;wsp:rsid wsp:val=&quot;00AC236F&quot;/&gt;&lt;wsp:rsid wsp:val=&quot;00AC405F&quot;/&gt;&lt;wsp:rsid wsp:val=&quot;00AC60B0&quot;/&gt;&lt;wsp:rsid wsp:val=&quot;00AD00E0&quot;/&gt;&lt;wsp:rsid wsp:val=&quot;00AD271A&quot;/&gt;&lt;wsp:rsid wsp:val=&quot;00AD2EA0&quot;/&gt;&lt;wsp:rsid wsp:val=&quot;00AD4EF1&quot;/&gt;&lt;wsp:rsid wsp:val=&quot;00AD695C&quot;/&gt;&lt;wsp:rsid wsp:val=&quot;00AD715A&quot;/&gt;&lt;wsp:rsid wsp:val=&quot;00AD7BD1&quot;/&gt;&lt;wsp:rsid wsp:val=&quot;00AE0A34&quot;/&gt;&lt;wsp:rsid wsp:val=&quot;00AE2D1B&quot;/&gt;&lt;wsp:rsid wsp:val=&quot;00AE457E&quot;/&gt;&lt;wsp:rsid wsp:val=&quot;00AE47EC&quot;/&gt;&lt;wsp:rsid wsp:val=&quot;00AE498D&quot;/&gt;&lt;wsp:rsid wsp:val=&quot;00AE623C&quot;/&gt;&lt;wsp:rsid wsp:val=&quot;00AE6660&quot;/&gt;&lt;wsp:rsid wsp:val=&quot;00AE7BC6&quot;/&gt;&lt;wsp:rsid wsp:val=&quot;00AF18BF&quot;/&gt;&lt;wsp:rsid wsp:val=&quot;00AF1C3D&quot;/&gt;&lt;wsp:rsid wsp:val=&quot;00AF23FC&quot;/&gt;&lt;wsp:rsid wsp:val=&quot;00AF2C75&quot;/&gt;&lt;wsp:rsid wsp:val=&quot;00AF3B01&quot;/&gt;&lt;wsp:rsid wsp:val=&quot;00AF4A08&quot;/&gt;&lt;wsp:rsid wsp:val=&quot;00AF5164&quot;/&gt;&lt;wsp:rsid wsp:val=&quot;00AF78F8&quot;/&gt;&lt;wsp:rsid wsp:val=&quot;00AF7DE6&quot;/&gt;&lt;wsp:rsid wsp:val=&quot;00B00C61&quot;/&gt;&lt;wsp:rsid wsp:val=&quot;00B015BE&quot;/&gt;&lt;wsp:rsid wsp:val=&quot;00B0406A&quot;/&gt;&lt;wsp:rsid wsp:val=&quot;00B04D6C&quot;/&gt;&lt;wsp:rsid wsp:val=&quot;00B04E83&quot;/&gt;&lt;wsp:rsid wsp:val=&quot;00B063CE&quot;/&gt;&lt;wsp:rsid wsp:val=&quot;00B107BC&quot;/&gt;&lt;wsp:rsid wsp:val=&quot;00B107D0&quot;/&gt;&lt;wsp:rsid wsp:val=&quot;00B11004&quot;/&gt;&lt;wsp:rsid wsp:val=&quot;00B11775&quot;/&gt;&lt;wsp:rsid wsp:val=&quot;00B1450D&quot;/&gt;&lt;wsp:rsid wsp:val=&quot;00B147BF&quot;/&gt;&lt;wsp:rsid wsp:val=&quot;00B1493F&quot;/&gt;&lt;wsp:rsid wsp:val=&quot;00B14C74&quot;/&gt;&lt;wsp:rsid wsp:val=&quot;00B159DF&quot;/&gt;&lt;wsp:rsid wsp:val=&quot;00B15A93&quot;/&gt;&lt;wsp:rsid wsp:val=&quot;00B1660B&quot;/&gt;&lt;wsp:rsid wsp:val=&quot;00B20FE0&quot;/&gt;&lt;wsp:rsid wsp:val=&quot;00B2404C&quot;/&gt;&lt;wsp:rsid wsp:val=&quot;00B2605E&quot;/&gt;&lt;wsp:rsid wsp:val=&quot;00B26148&quot;/&gt;&lt;wsp:rsid wsp:val=&quot;00B26C98&quot;/&gt;&lt;wsp:rsid wsp:val=&quot;00B27E12&quot;/&gt;&lt;wsp:rsid wsp:val=&quot;00B30B27&quot;/&gt;&lt;wsp:rsid wsp:val=&quot;00B33D3F&quot;/&gt;&lt;wsp:rsid wsp:val=&quot;00B35A13&quot;/&gt;&lt;wsp:rsid wsp:val=&quot;00B405B0&quot;/&gt;&lt;wsp:rsid wsp:val=&quot;00B411DE&quot;/&gt;&lt;wsp:rsid wsp:val=&quot;00B41EDC&quot;/&gt;&lt;wsp:rsid wsp:val=&quot;00B422F3&quot;/&gt;&lt;wsp:rsid wsp:val=&quot;00B42909&quot;/&gt;&lt;wsp:rsid wsp:val=&quot;00B45FA0&quot;/&gt;&lt;wsp:rsid wsp:val=&quot;00B47403&quot;/&gt;&lt;wsp:rsid wsp:val=&quot;00B47F08&quot;/&gt;&lt;wsp:rsid wsp:val=&quot;00B503B7&quot;/&gt;&lt;wsp:rsid wsp:val=&quot;00B52640&quot;/&gt;&lt;wsp:rsid wsp:val=&quot;00B53F32&quot;/&gt;&lt;wsp:rsid wsp:val=&quot;00B54817&quot;/&gt;&lt;wsp:rsid wsp:val=&quot;00B64340&quot;/&gt;&lt;wsp:rsid wsp:val=&quot;00B65A24&quot;/&gt;&lt;wsp:rsid wsp:val=&quot;00B66E6F&quot;/&gt;&lt;wsp:rsid wsp:val=&quot;00B7033C&quot;/&gt;&lt;wsp:rsid wsp:val=&quot;00B709FF&quot;/&gt;&lt;wsp:rsid wsp:val=&quot;00B72A35&quot;/&gt;&lt;wsp:rsid wsp:val=&quot;00B7412A&quot;/&gt;&lt;wsp:rsid wsp:val=&quot;00B770D4&quot;/&gt;&lt;wsp:rsid wsp:val=&quot;00B826BA&quot;/&gt;&lt;wsp:rsid wsp:val=&quot;00B82750&quot;/&gt;&lt;wsp:rsid wsp:val=&quot;00B84475&quot;/&gt;&lt;wsp:rsid wsp:val=&quot;00B85792&quot;/&gt;&lt;wsp:rsid wsp:val=&quot;00B86311&quot;/&gt;&lt;wsp:rsid wsp:val=&quot;00B87E46&quot;/&gt;&lt;wsp:rsid wsp:val=&quot;00B915C1&quot;/&gt;&lt;wsp:rsid wsp:val=&quot;00B9274C&quot;/&gt;&lt;wsp:rsid wsp:val=&quot;00B927BE&quot;/&gt;&lt;wsp:rsid wsp:val=&quot;00B94DDB&quot;/&gt;&lt;wsp:rsid wsp:val=&quot;00B95AF7&quot;/&gt;&lt;wsp:rsid wsp:val=&quot;00BA0A03&quot;/&gt;&lt;wsp:rsid wsp:val=&quot;00BA134E&quot;/&gt;&lt;wsp:rsid wsp:val=&quot;00BA2104&quot;/&gt;&lt;wsp:rsid wsp:val=&quot;00BA5DA5&quot;/&gt;&lt;wsp:rsid wsp:val=&quot;00BA5FAF&quot;/&gt;&lt;wsp:rsid wsp:val=&quot;00BA6287&quot;/&gt;&lt;wsp:rsid wsp:val=&quot;00BA73B2&quot;/&gt;&lt;wsp:rsid wsp:val=&quot;00BA73CC&quot;/&gt;&lt;wsp:rsid wsp:val=&quot;00BA75D2&quot;/&gt;&lt;wsp:rsid wsp:val=&quot;00BB088E&quot;/&gt;&lt;wsp:rsid wsp:val=&quot;00BB0C41&quot;/&gt;&lt;wsp:rsid wsp:val=&quot;00BB0E1B&quot;/&gt;&lt;wsp:rsid wsp:val=&quot;00BB1076&quot;/&gt;&lt;wsp:rsid wsp:val=&quot;00BB2B86&quot;/&gt;&lt;wsp:rsid wsp:val=&quot;00BB2C80&quot;/&gt;&lt;wsp:rsid wsp:val=&quot;00BB349C&quot;/&gt;&lt;wsp:rsid wsp:val=&quot;00BB3F11&quot;/&gt;&lt;wsp:rsid wsp:val=&quot;00BB452E&quot;/&gt;&lt;wsp:rsid wsp:val=&quot;00BB7663&quot;/&gt;&lt;wsp:rsid wsp:val=&quot;00BB7C06&quot;/&gt;&lt;wsp:rsid wsp:val=&quot;00BC1232&quot;/&gt;&lt;wsp:rsid wsp:val=&quot;00BC1A9E&quot;/&gt;&lt;wsp:rsid wsp:val=&quot;00BC2364&quot;/&gt;&lt;wsp:rsid wsp:val=&quot;00BC4C9E&quot;/&gt;&lt;wsp:rsid wsp:val=&quot;00BC5070&quot;/&gt;&lt;wsp:rsid wsp:val=&quot;00BC66AF&quot;/&gt;&lt;wsp:rsid wsp:val=&quot;00BC67FB&quot;/&gt;&lt;wsp:rsid wsp:val=&quot;00BD0DD5&quot;/&gt;&lt;wsp:rsid wsp:val=&quot;00BD1028&quot;/&gt;&lt;wsp:rsid wsp:val=&quot;00BD251D&quot;/&gt;&lt;wsp:rsid wsp:val=&quot;00BD2F22&quot;/&gt;&lt;wsp:rsid wsp:val=&quot;00BD5128&quot;/&gt;&lt;wsp:rsid wsp:val=&quot;00BD55EF&quot;/&gt;&lt;wsp:rsid wsp:val=&quot;00BD6599&quot;/&gt;&lt;wsp:rsid wsp:val=&quot;00BD714F&quot;/&gt;&lt;wsp:rsid wsp:val=&quot;00BD773C&quot;/&gt;&lt;wsp:rsid wsp:val=&quot;00BE0415&quot;/&gt;&lt;wsp:rsid wsp:val=&quot;00BE0BAB&quot;/&gt;&lt;wsp:rsid wsp:val=&quot;00BE1582&quot;/&gt;&lt;wsp:rsid wsp:val=&quot;00BE1D67&quot;/&gt;&lt;wsp:rsid wsp:val=&quot;00BE532D&quot;/&gt;&lt;wsp:rsid wsp:val=&quot;00BE7A07&quot;/&gt;&lt;wsp:rsid wsp:val=&quot;00BE7C72&quot;/&gt;&lt;wsp:rsid wsp:val=&quot;00BE7FE4&quot;/&gt;&lt;wsp:rsid wsp:val=&quot;00BF1B05&quot;/&gt;&lt;wsp:rsid wsp:val=&quot;00BF30BF&quot;/&gt;&lt;wsp:rsid wsp:val=&quot;00BF327F&quot;/&gt;&lt;wsp:rsid wsp:val=&quot;00BF3812&quot;/&gt;&lt;wsp:rsid wsp:val=&quot;00BF44DD&quot;/&gt;&lt;wsp:rsid wsp:val=&quot;00BF4860&quot;/&gt;&lt;wsp:rsid wsp:val=&quot;00BF5390&quot;/&gt;&lt;wsp:rsid wsp:val=&quot;00BF7A1E&quot;/&gt;&lt;wsp:rsid wsp:val=&quot;00C00BB6&quot;/&gt;&lt;wsp:rsid wsp:val=&quot;00C00D2B&quot;/&gt;&lt;wsp:rsid wsp:val=&quot;00C016D7&quot;/&gt;&lt;wsp:rsid wsp:val=&quot;00C02157&quot;/&gt;&lt;wsp:rsid wsp:val=&quot;00C0256F&quot;/&gt;&lt;wsp:rsid wsp:val=&quot;00C03CF2&quot;/&gt;&lt;wsp:rsid wsp:val=&quot;00C079C9&quot;/&gt;&lt;wsp:rsid wsp:val=&quot;00C07D16&quot;/&gt;&lt;wsp:rsid wsp:val=&quot;00C11B97&quot;/&gt;&lt;wsp:rsid wsp:val=&quot;00C122D4&quot;/&gt;&lt;wsp:rsid wsp:val=&quot;00C13245&quot;/&gt;&lt;wsp:rsid wsp:val=&quot;00C133C3&quot;/&gt;&lt;wsp:rsid wsp:val=&quot;00C13823&quot;/&gt;&lt;wsp:rsid wsp:val=&quot;00C13838&quot;/&gt;&lt;wsp:rsid wsp:val=&quot;00C14B23&quot;/&gt;&lt;wsp:rsid wsp:val=&quot;00C15BAD&quot;/&gt;&lt;wsp:rsid wsp:val=&quot;00C21E8F&quot;/&gt;&lt;wsp:rsid wsp:val=&quot;00C22192&quot;/&gt;&lt;wsp:rsid wsp:val=&quot;00C24618&quot;/&gt;&lt;wsp:rsid wsp:val=&quot;00C27708&quot;/&gt;&lt;wsp:rsid wsp:val=&quot;00C27F9F&quot;/&gt;&lt;wsp:rsid wsp:val=&quot;00C305BF&quot;/&gt;&lt;wsp:rsid wsp:val=&quot;00C3347F&quot;/&gt;&lt;wsp:rsid wsp:val=&quot;00C33792&quot;/&gt;&lt;wsp:rsid wsp:val=&quot;00C33A6A&quot;/&gt;&lt;wsp:rsid wsp:val=&quot;00C3549E&quot;/&gt;&lt;wsp:rsid wsp:val=&quot;00C36CA9&quot;/&gt;&lt;wsp:rsid wsp:val=&quot;00C456A4&quot;/&gt;&lt;wsp:rsid wsp:val=&quot;00C458B2&quot;/&gt;&lt;wsp:rsid wsp:val=&quot;00C46075&quot;/&gt;&lt;wsp:rsid wsp:val=&quot;00C46544&quot;/&gt;&lt;wsp:rsid wsp:val=&quot;00C47D48&quot;/&gt;&lt;wsp:rsid wsp:val=&quot;00C5004F&quot;/&gt;&lt;wsp:rsid wsp:val=&quot;00C5012B&quot;/&gt;&lt;wsp:rsid wsp:val=&quot;00C509BD&quot;/&gt;&lt;wsp:rsid wsp:val=&quot;00C52993&quot;/&gt;&lt;wsp:rsid wsp:val=&quot;00C52CF4&quot;/&gt;&lt;wsp:rsid wsp:val=&quot;00C52D39&quot;/&gt;&lt;wsp:rsid wsp:val=&quot;00C5575E&quot;/&gt;&lt;wsp:rsid wsp:val=&quot;00C60696&quot;/&gt;&lt;wsp:rsid wsp:val=&quot;00C64829&quot;/&gt;&lt;wsp:rsid wsp:val=&quot;00C6608D&quot;/&gt;&lt;wsp:rsid wsp:val=&quot;00C70DF1&quot;/&gt;&lt;wsp:rsid wsp:val=&quot;00C723A2&quot;/&gt;&lt;wsp:rsid wsp:val=&quot;00C7416C&quot;/&gt;&lt;wsp:rsid wsp:val=&quot;00C80785&quot;/&gt;&lt;wsp:rsid wsp:val=&quot;00C822E4&quot;/&gt;&lt;wsp:rsid wsp:val=&quot;00C86394&quot;/&gt;&lt;wsp:rsid wsp:val=&quot;00C8752E&quot;/&gt;&lt;wsp:rsid wsp:val=&quot;00C87DF4&quot;/&gt;&lt;wsp:rsid wsp:val=&quot;00C9060C&quot;/&gt;&lt;wsp:rsid wsp:val=&quot;00C92EFD&quot;/&gt;&lt;wsp:rsid wsp:val=&quot;00C93D68&quot;/&gt;&lt;wsp:rsid wsp:val=&quot;00C94A38&quot;/&gt;&lt;wsp:rsid wsp:val=&quot;00C95117&quot;/&gt;&lt;wsp:rsid wsp:val=&quot;00C953A1&quot;/&gt;&lt;wsp:rsid wsp:val=&quot;00C9725E&quot;/&gt;&lt;wsp:rsid wsp:val=&quot;00C97E3E&quot;/&gt;&lt;wsp:rsid wsp:val=&quot;00CA1744&quot;/&gt;&lt;wsp:rsid wsp:val=&quot;00CA195D&quot;/&gt;&lt;wsp:rsid wsp:val=&quot;00CA1B4C&quot;/&gt;&lt;wsp:rsid wsp:val=&quot;00CA1FA1&quot;/&gt;&lt;wsp:rsid wsp:val=&quot;00CA2B73&quot;/&gt;&lt;wsp:rsid wsp:val=&quot;00CA2E43&quot;/&gt;&lt;wsp:rsid wsp:val=&quot;00CA3393&quot;/&gt;&lt;wsp:rsid wsp:val=&quot;00CA4051&quot;/&gt;&lt;wsp:rsid wsp:val=&quot;00CA5B2A&quot;/&gt;&lt;wsp:rsid wsp:val=&quot;00CA7068&quot;/&gt;&lt;wsp:rsid wsp:val=&quot;00CA72F4&quot;/&gt;&lt;wsp:rsid wsp:val=&quot;00CA784C&quot;/&gt;&lt;wsp:rsid wsp:val=&quot;00CB01E2&quot;/&gt;&lt;wsp:rsid wsp:val=&quot;00CB3386&quot;/&gt;&lt;wsp:rsid wsp:val=&quot;00CB6D25&quot;/&gt;&lt;wsp:rsid wsp:val=&quot;00CB73D2&quot;/&gt;&lt;wsp:rsid wsp:val=&quot;00CC1256&quot;/&gt;&lt;wsp:rsid wsp:val=&quot;00CC3A32&quot;/&gt;&lt;wsp:rsid wsp:val=&quot;00CC3DE7&quot;/&gt;&lt;wsp:rsid wsp:val=&quot;00CC507E&quot;/&gt;&lt;wsp:rsid wsp:val=&quot;00CC5CBC&quot;/&gt;&lt;wsp:rsid wsp:val=&quot;00CC5FD5&quot;/&gt;&lt;wsp:rsid wsp:val=&quot;00CC65F4&quot;/&gt;&lt;wsp:rsid wsp:val=&quot;00CC75F8&quot;/&gt;&lt;wsp:rsid wsp:val=&quot;00CD0523&quot;/&gt;&lt;wsp:rsid wsp:val=&quot;00CD097A&quot;/&gt;&lt;wsp:rsid wsp:val=&quot;00CD1211&quot;/&gt;&lt;wsp:rsid wsp:val=&quot;00CD1AB1&quot;/&gt;&lt;wsp:rsid wsp:val=&quot;00CD20D0&quot;/&gt;&lt;wsp:rsid wsp:val=&quot;00CD20F2&quot;/&gt;&lt;wsp:rsid wsp:val=&quot;00CD2EDB&quot;/&gt;&lt;wsp:rsid wsp:val=&quot;00CD3B5B&quot;/&gt;&lt;wsp:rsid wsp:val=&quot;00CD644C&quot;/&gt;&lt;wsp:rsid wsp:val=&quot;00CD6738&quot;/&gt;&lt;wsp:rsid wsp:val=&quot;00CD73B1&quot;/&gt;&lt;wsp:rsid wsp:val=&quot;00CE0D5D&quot;/&gt;&lt;wsp:rsid wsp:val=&quot;00CE21B8&quot;/&gt;&lt;wsp:rsid wsp:val=&quot;00CE238D&quot;/&gt;&lt;wsp:rsid wsp:val=&quot;00CE28AC&quot;/&gt;&lt;wsp:rsid wsp:val=&quot;00CE3344&quot;/&gt;&lt;wsp:rsid wsp:val=&quot;00CE495B&quot;/&gt;&lt;wsp:rsid wsp:val=&quot;00CE6431&quot;/&gt;&lt;wsp:rsid wsp:val=&quot;00CE6A76&quot;/&gt;&lt;wsp:rsid wsp:val=&quot;00CE7B09&quot;/&gt;&lt;wsp:rsid wsp:val=&quot;00CE7F82&quot;/&gt;&lt;wsp:rsid wsp:val=&quot;00CF0235&quot;/&gt;&lt;wsp:rsid wsp:val=&quot;00CF1EB7&quot;/&gt;&lt;wsp:rsid wsp:val=&quot;00CF2C8C&quot;/&gt;&lt;wsp:rsid wsp:val=&quot;00CF521F&quot;/&gt;&lt;wsp:rsid wsp:val=&quot;00CF6300&quot;/&gt;&lt;wsp:rsid wsp:val=&quot;00CF6775&quot;/&gt;&lt;wsp:rsid wsp:val=&quot;00CF6930&quot;/&gt;&lt;wsp:rsid wsp:val=&quot;00CF7134&quot;/&gt;&lt;wsp:rsid wsp:val=&quot;00D00A33&quot;/&gt;&lt;wsp:rsid wsp:val=&quot;00D01039&quot;/&gt;&lt;wsp:rsid wsp:val=&quot;00D05CA8&quot;/&gt;&lt;wsp:rsid wsp:val=&quot;00D076CE&quot;/&gt;&lt;wsp:rsid wsp:val=&quot;00D07B55&quot;/&gt;&lt;wsp:rsid wsp:val=&quot;00D1050C&quot;/&gt;&lt;wsp:rsid wsp:val=&quot;00D11722&quot;/&gt;&lt;wsp:rsid wsp:val=&quot;00D11946&quot;/&gt;&lt;wsp:rsid wsp:val=&quot;00D127D3&quot;/&gt;&lt;wsp:rsid wsp:val=&quot;00D136C6&quot;/&gt;&lt;wsp:rsid wsp:val=&quot;00D14189&quot;/&gt;&lt;wsp:rsid wsp:val=&quot;00D14BCC&quot;/&gt;&lt;wsp:rsid wsp:val=&quot;00D14F25&quot;/&gt;&lt;wsp:rsid wsp:val=&quot;00D157FD&quot;/&gt;&lt;wsp:rsid wsp:val=&quot;00D16C85&quot;/&gt;&lt;wsp:rsid wsp:val=&quot;00D16DEE&quot;/&gt;&lt;wsp:rsid wsp:val=&quot;00D16F64&quot;/&gt;&lt;wsp:rsid wsp:val=&quot;00D17F6C&quot;/&gt;&lt;wsp:rsid wsp:val=&quot;00D21E45&quot;/&gt;&lt;wsp:rsid wsp:val=&quot;00D22B59&quot;/&gt;&lt;wsp:rsid wsp:val=&quot;00D25582&quot;/&gt;&lt;wsp:rsid wsp:val=&quot;00D25AD6&quot;/&gt;&lt;wsp:rsid wsp:val=&quot;00D25EF9&quot;/&gt;&lt;wsp:rsid wsp:val=&quot;00D27845&quot;/&gt;&lt;wsp:rsid wsp:val=&quot;00D317E6&quot;/&gt;&lt;wsp:rsid wsp:val=&quot;00D31D85&quot;/&gt;&lt;wsp:rsid wsp:val=&quot;00D31F67&quot;/&gt;&lt;wsp:rsid wsp:val=&quot;00D324AD&quot;/&gt;&lt;wsp:rsid wsp:val=&quot;00D326E5&quot;/&gt;&lt;wsp:rsid wsp:val=&quot;00D3357E&quot;/&gt;&lt;wsp:rsid wsp:val=&quot;00D33A59&quot;/&gt;&lt;wsp:rsid wsp:val=&quot;00D35902&quot;/&gt;&lt;wsp:rsid wsp:val=&quot;00D35A93&quot;/&gt;&lt;wsp:rsid wsp:val=&quot;00D40E87&quot;/&gt;&lt;wsp:rsid wsp:val=&quot;00D445BF&quot;/&gt;&lt;wsp:rsid wsp:val=&quot;00D44A41&quot;/&gt;&lt;wsp:rsid wsp:val=&quot;00D44D7D&quot;/&gt;&lt;wsp:rsid wsp:val=&quot;00D4523B&quot;/&gt;&lt;wsp:rsid wsp:val=&quot;00D46EBB&quot;/&gt;&lt;wsp:rsid wsp:val=&quot;00D47030&quot;/&gt;&lt;wsp:rsid wsp:val=&quot;00D47144&quot;/&gt;&lt;wsp:rsid wsp:val=&quot;00D472A5&quot;/&gt;&lt;wsp:rsid wsp:val=&quot;00D51205&quot;/&gt;&lt;wsp:rsid wsp:val=&quot;00D51672&quot;/&gt;&lt;wsp:rsid wsp:val=&quot;00D53299&quot;/&gt;&lt;wsp:rsid wsp:val=&quot;00D54DB1&quot;/&gt;&lt;wsp:rsid wsp:val=&quot;00D54DB8&quot;/&gt;&lt;wsp:rsid wsp:val=&quot;00D57AC1&quot;/&gt;&lt;wsp:rsid wsp:val=&quot;00D57CCE&quot;/&gt;&lt;wsp:rsid wsp:val=&quot;00D63E86&quot;/&gt;&lt;wsp:rsid wsp:val=&quot;00D702DF&quot;/&gt;&lt;wsp:rsid wsp:val=&quot;00D71D09&quot;/&gt;&lt;wsp:rsid wsp:val=&quot;00D71E70&quot;/&gt;&lt;wsp:rsid wsp:val=&quot;00D72386&quot;/&gt;&lt;wsp:rsid wsp:val=&quot;00D72CB2&quot;/&gt;&lt;wsp:rsid wsp:val=&quot;00D7332E&quot;/&gt;&lt;wsp:rsid wsp:val=&quot;00D747B4&quot;/&gt;&lt;wsp:rsid wsp:val=&quot;00D74FCF&quot;/&gt;&lt;wsp:rsid wsp:val=&quot;00D75C86&quot;/&gt;&lt;wsp:rsid wsp:val=&quot;00D817FB&quot;/&gt;&lt;wsp:rsid wsp:val=&quot;00D83140&quot;/&gt;&lt;wsp:rsid wsp:val=&quot;00D837B6&quot;/&gt;&lt;wsp:rsid wsp:val=&quot;00D83A41&quot;/&gt;&lt;wsp:rsid wsp:val=&quot;00D84B09&quot;/&gt;&lt;wsp:rsid wsp:val=&quot;00D85545&quot;/&gt;&lt;wsp:rsid wsp:val=&quot;00D85BBE&quot;/&gt;&lt;wsp:rsid wsp:val=&quot;00D91936&quot;/&gt;&lt;wsp:rsid wsp:val=&quot;00D92361&quot;/&gt;&lt;wsp:rsid wsp:val=&quot;00D930DC&quot;/&gt;&lt;wsp:rsid wsp:val=&quot;00D94C59&quot;/&gt;&lt;wsp:rsid wsp:val=&quot;00D95EB8&quot;/&gt;&lt;wsp:rsid wsp:val=&quot;00D96A18&quot;/&gt;&lt;wsp:rsid wsp:val=&quot;00D97116&quot;/&gt;&lt;wsp:rsid wsp:val=&quot;00D97151&quot;/&gt;&lt;wsp:rsid wsp:val=&quot;00D9783E&quot;/&gt;&lt;wsp:rsid wsp:val=&quot;00D97960&quot;/&gt;&lt;wsp:rsid wsp:val=&quot;00D97CC5&quot;/&gt;&lt;wsp:rsid wsp:val=&quot;00D97E84&quot;/&gt;&lt;wsp:rsid wsp:val=&quot;00DA0AA7&quot;/&gt;&lt;wsp:rsid wsp:val=&quot;00DA15E9&quot;/&gt;&lt;wsp:rsid wsp:val=&quot;00DA6AF0&quot;/&gt;&lt;wsp:rsid wsp:val=&quot;00DB0871&quot;/&gt;&lt;wsp:rsid wsp:val=&quot;00DB0D8D&quot;/&gt;&lt;wsp:rsid wsp:val=&quot;00DB4C22&quot;/&gt;&lt;wsp:rsid wsp:val=&quot;00DB4D50&quot;/&gt;&lt;wsp:rsid wsp:val=&quot;00DB5FEB&quot;/&gt;&lt;wsp:rsid wsp:val=&quot;00DC074B&quot;/&gt;&lt;wsp:rsid wsp:val=&quot;00DC0772&quot;/&gt;&lt;wsp:rsid wsp:val=&quot;00DC2D31&quot;/&gt;&lt;wsp:rsid wsp:val=&quot;00DC2D84&quot;/&gt;&lt;wsp:rsid wsp:val=&quot;00DC4468&quot;/&gt;&lt;wsp:rsid wsp:val=&quot;00DC61BF&quot;/&gt;&lt;wsp:rsid wsp:val=&quot;00DC7141&quot;/&gt;&lt;wsp:rsid wsp:val=&quot;00DC7D14&quot;/&gt;&lt;wsp:rsid wsp:val=&quot;00DC7FD4&quot;/&gt;&lt;wsp:rsid wsp:val=&quot;00DD0066&quot;/&gt;&lt;wsp:rsid wsp:val=&quot;00DD1886&quot;/&gt;&lt;wsp:rsid wsp:val=&quot;00DD19A0&quot;/&gt;&lt;wsp:rsid wsp:val=&quot;00DD53B6&quot;/&gt;&lt;wsp:rsid wsp:val=&quot;00DD74EA&quot;/&gt;&lt;wsp:rsid wsp:val=&quot;00DD7BB0&quot;/&gt;&lt;wsp:rsid wsp:val=&quot;00DE07B1&quot;/&gt;&lt;wsp:rsid wsp:val=&quot;00DE10DC&quot;/&gt;&lt;wsp:rsid wsp:val=&quot;00DE267E&quot;/&gt;&lt;wsp:rsid wsp:val=&quot;00DE3AA6&quot;/&gt;&lt;wsp:rsid wsp:val=&quot;00DE3FB7&quot;/&gt;&lt;wsp:rsid wsp:val=&quot;00DE526C&quot;/&gt;&lt;wsp:rsid wsp:val=&quot;00DE53FC&quot;/&gt;&lt;wsp:rsid wsp:val=&quot;00DE659C&quot;/&gt;&lt;wsp:rsid wsp:val=&quot;00DF1701&quot;/&gt;&lt;wsp:rsid wsp:val=&quot;00DF3379&quot;/&gt;&lt;wsp:rsid wsp:val=&quot;00DF4221&quot;/&gt;&lt;wsp:rsid wsp:val=&quot;00DF4C81&quot;/&gt;&lt;wsp:rsid wsp:val=&quot;00DF76A6&quot;/&gt;&lt;wsp:rsid wsp:val=&quot;00DF7A04&quot;/&gt;&lt;wsp:rsid wsp:val=&quot;00E021CE&quot;/&gt;&lt;wsp:rsid wsp:val=&quot;00E03A6E&quot;/&gt;&lt;wsp:rsid wsp:val=&quot;00E04146&quot;/&gt;&lt;wsp:rsid wsp:val=&quot;00E07888&quot;/&gt;&lt;wsp:rsid wsp:val=&quot;00E07ED1&quot;/&gt;&lt;wsp:rsid wsp:val=&quot;00E109B5&quot;/&gt;&lt;wsp:rsid wsp:val=&quot;00E10A4F&quot;/&gt;&lt;wsp:rsid wsp:val=&quot;00E125A4&quot;/&gt;&lt;wsp:rsid wsp:val=&quot;00E1268D&quot;/&gt;&lt;wsp:rsid wsp:val=&quot;00E13373&quot;/&gt;&lt;wsp:rsid wsp:val=&quot;00E1568D&quot;/&gt;&lt;wsp:rsid wsp:val=&quot;00E16D9F&quot;/&gt;&lt;wsp:rsid wsp:val=&quot;00E20B9F&quot;/&gt;&lt;wsp:rsid wsp:val=&quot;00E229DB&quot;/&gt;&lt;wsp:rsid wsp:val=&quot;00E27201&quot;/&gt;&lt;wsp:rsid wsp:val=&quot;00E30305&quot;/&gt;&lt;wsp:rsid wsp:val=&quot;00E31DAF&quot;/&gt;&lt;wsp:rsid wsp:val=&quot;00E3267A&quot;/&gt;&lt;wsp:rsid wsp:val=&quot;00E34209&quot;/&gt;&lt;wsp:rsid wsp:val=&quot;00E3678D&quot;/&gt;&lt;wsp:rsid wsp:val=&quot;00E36BBF&quot;/&gt;&lt;wsp:rsid wsp:val=&quot;00E37A9B&quot;/&gt;&lt;wsp:rsid wsp:val=&quot;00E37B94&quot;/&gt;&lt;wsp:rsid wsp:val=&quot;00E4074F&quot;/&gt;&lt;wsp:rsid wsp:val=&quot;00E40D73&quot;/&gt;&lt;wsp:rsid wsp:val=&quot;00E4192B&quot;/&gt;&lt;wsp:rsid wsp:val=&quot;00E4237A&quot;/&gt;&lt;wsp:rsid wsp:val=&quot;00E425AC&quot;/&gt;&lt;wsp:rsid wsp:val=&quot;00E449BD&quot;/&gt;&lt;wsp:rsid wsp:val=&quot;00E45401&quot;/&gt;&lt;wsp:rsid wsp:val=&quot;00E467F0&quot;/&gt;&lt;wsp:rsid wsp:val=&quot;00E4695F&quot;/&gt;&lt;wsp:rsid wsp:val=&quot;00E47D73&quot;/&gt;&lt;wsp:rsid wsp:val=&quot;00E52744&quot;/&gt;&lt;wsp:rsid wsp:val=&quot;00E52AF5&quot;/&gt;&lt;wsp:rsid wsp:val=&quot;00E52CF0&quot;/&gt;&lt;wsp:rsid wsp:val=&quot;00E53921&quot;/&gt;&lt;wsp:rsid wsp:val=&quot;00E543E7&quot;/&gt;&lt;wsp:rsid wsp:val=&quot;00E553B8&quot;/&gt;&lt;wsp:rsid wsp:val=&quot;00E55783&quot;/&gt;&lt;wsp:rsid wsp:val=&quot;00E60F1C&quot;/&gt;&lt;wsp:rsid wsp:val=&quot;00E6122E&quot;/&gt;&lt;wsp:rsid wsp:val=&quot;00E62BBD&quot;/&gt;&lt;wsp:rsid wsp:val=&quot;00E62CBE&quot;/&gt;&lt;wsp:rsid wsp:val=&quot;00E63B94&quot;/&gt;&lt;wsp:rsid wsp:val=&quot;00E64083&quot;/&gt;&lt;wsp:rsid wsp:val=&quot;00E64538&quot;/&gt;&lt;wsp:rsid wsp:val=&quot;00E65F2C&quot;/&gt;&lt;wsp:rsid wsp:val=&quot;00E67CF5&quot;/&gt;&lt;wsp:rsid wsp:val=&quot;00E70989&quot;/&gt;&lt;wsp:rsid wsp:val=&quot;00E72384&quot;/&gt;&lt;wsp:rsid wsp:val=&quot;00E73DD4&quot;/&gt;&lt;wsp:rsid wsp:val=&quot;00E76291&quot;/&gt;&lt;wsp:rsid wsp:val=&quot;00E76814&quot;/&gt;&lt;wsp:rsid wsp:val=&quot;00E76E70&quot;/&gt;&lt;wsp:rsid wsp:val=&quot;00E77057&quot;/&gt;&lt;wsp:rsid wsp:val=&quot;00E80224&quot;/&gt;&lt;wsp:rsid wsp:val=&quot;00E807DC&quot;/&gt;&lt;wsp:rsid wsp:val=&quot;00E83D52&quot;/&gt;&lt;wsp:rsid wsp:val=&quot;00E84CAB&quot;/&gt;&lt;wsp:rsid wsp:val=&quot;00E8629C&quot;/&gt;&lt;wsp:rsid wsp:val=&quot;00E904CD&quot;/&gt;&lt;wsp:rsid wsp:val=&quot;00E9254C&quot;/&gt;&lt;wsp:rsid wsp:val=&quot;00E92AEE&quot;/&gt;&lt;wsp:rsid wsp:val=&quot;00E97157&quot;/&gt;&lt;wsp:rsid wsp:val=&quot;00EA2BFA&quot;/&gt;&lt;wsp:rsid wsp:val=&quot;00EA55AF&quot;/&gt;&lt;wsp:rsid wsp:val=&quot;00EA56FB&quot;/&gt;&lt;wsp:rsid wsp:val=&quot;00EA5F26&quot;/&gt;&lt;wsp:rsid wsp:val=&quot;00EA67EC&quot;/&gt;&lt;wsp:rsid wsp:val=&quot;00EA739A&quot;/&gt;&lt;wsp:rsid wsp:val=&quot;00EB1D31&quot;/&gt;&lt;wsp:rsid wsp:val=&quot;00EB305E&quot;/&gt;&lt;wsp:rsid wsp:val=&quot;00EB4C99&quot;/&gt;&lt;wsp:rsid wsp:val=&quot;00EC210C&quot;/&gt;&lt;wsp:rsid wsp:val=&quot;00EC30B7&quot;/&gt;&lt;wsp:rsid wsp:val=&quot;00EC4BE5&quot;/&gt;&lt;wsp:rsid wsp:val=&quot;00EC58D9&quot;/&gt;&lt;wsp:rsid wsp:val=&quot;00EC5E4E&quot;/&gt;&lt;wsp:rsid wsp:val=&quot;00ED05AE&quot;/&gt;&lt;wsp:rsid wsp:val=&quot;00ED1084&quot;/&gt;&lt;wsp:rsid wsp:val=&quot;00ED144B&quot;/&gt;&lt;wsp:rsid wsp:val=&quot;00ED30B4&quot;/&gt;&lt;wsp:rsid wsp:val=&quot;00ED3812&quot;/&gt;&lt;wsp:rsid wsp:val=&quot;00ED3B6E&quot;/&gt;&lt;wsp:rsid wsp:val=&quot;00ED3D11&quot;/&gt;&lt;wsp:rsid wsp:val=&quot;00ED50C1&quot;/&gt;&lt;wsp:rsid wsp:val=&quot;00ED5BDC&quot;/&gt;&lt;wsp:rsid wsp:val=&quot;00ED6F8D&quot;/&gt;&lt;wsp:rsid wsp:val=&quot;00ED7620&quot;/&gt;&lt;wsp:rsid wsp:val=&quot;00EE2C03&quot;/&gt;&lt;wsp:rsid wsp:val=&quot;00EE3EE7&quot;/&gt;&lt;wsp:rsid wsp:val=&quot;00EE5457&quot;/&gt;&lt;wsp:rsid wsp:val=&quot;00EE5D3B&quot;/&gt;&lt;wsp:rsid wsp:val=&quot;00EE7414&quot;/&gt;&lt;wsp:rsid wsp:val=&quot;00EF00A0&quot;/&gt;&lt;wsp:rsid wsp:val=&quot;00EF2C9E&quot;/&gt;&lt;wsp:rsid wsp:val=&quot;00EF4931&quot;/&gt;&lt;wsp:rsid wsp:val=&quot;00EF52D0&quot;/&gt;&lt;wsp:rsid wsp:val=&quot;00EF7731&quot;/&gt;&lt;wsp:rsid wsp:val=&quot;00F00328&quot;/&gt;&lt;wsp:rsid wsp:val=&quot;00F009D5&quot;/&gt;&lt;wsp:rsid wsp:val=&quot;00F02F41&quot;/&gt;&lt;wsp:rsid wsp:val=&quot;00F03C66&quot;/&gt;&lt;wsp:rsid wsp:val=&quot;00F03CE8&quot;/&gt;&lt;wsp:rsid wsp:val=&quot;00F03F56&quot;/&gt;&lt;wsp:rsid wsp:val=&quot;00F05B38&quot;/&gt;&lt;wsp:rsid wsp:val=&quot;00F06842&quot;/&gt;&lt;wsp:rsid wsp:val=&quot;00F06F1F&quot;/&gt;&lt;wsp:rsid wsp:val=&quot;00F10442&quot;/&gt;&lt;wsp:rsid wsp:val=&quot;00F114E6&quot;/&gt;&lt;wsp:rsid wsp:val=&quot;00F167E7&quot;/&gt;&lt;wsp:rsid wsp:val=&quot;00F17974&quot;/&gt;&lt;wsp:rsid wsp:val=&quot;00F2159A&quot;/&gt;&lt;wsp:rsid wsp:val=&quot;00F21F8E&quot;/&gt;&lt;wsp:rsid wsp:val=&quot;00F247AD&quot;/&gt;&lt;wsp:rsid wsp:val=&quot;00F24BFB&quot;/&gt;&lt;wsp:rsid wsp:val=&quot;00F254D2&quot;/&gt;&lt;wsp:rsid wsp:val=&quot;00F2568C&quot;/&gt;&lt;wsp:rsid wsp:val=&quot;00F256A1&quot;/&gt;&lt;wsp:rsid wsp:val=&quot;00F25BC8&quot;/&gt;&lt;wsp:rsid wsp:val=&quot;00F25E83&quot;/&gt;&lt;wsp:rsid wsp:val=&quot;00F27EBC&quot;/&gt;&lt;wsp:rsid wsp:val=&quot;00F323B7&quot;/&gt;&lt;wsp:rsid wsp:val=&quot;00F34CBE&quot;/&gt;&lt;wsp:rsid wsp:val=&quot;00F366E6&quot;/&gt;&lt;wsp:rsid wsp:val=&quot;00F41DC5&quot;/&gt;&lt;wsp:rsid wsp:val=&quot;00F4325E&quot;/&gt;&lt;wsp:rsid wsp:val=&quot;00F4380D&quot;/&gt;&lt;wsp:rsid wsp:val=&quot;00F43D89&quot;/&gt;&lt;wsp:rsid wsp:val=&quot;00F51710&quot;/&gt;&lt;wsp:rsid wsp:val=&quot;00F52303&quot;/&gt;&lt;wsp:rsid wsp:val=&quot;00F536F2&quot;/&gt;&lt;wsp:rsid wsp:val=&quot;00F556F0&quot;/&gt;&lt;wsp:rsid wsp:val=&quot;00F57160&quot;/&gt;&lt;wsp:rsid wsp:val=&quot;00F6045A&quot;/&gt;&lt;wsp:rsid wsp:val=&quot;00F661DD&quot;/&gt;&lt;wsp:rsid wsp:val=&quot;00F66411&quot;/&gt;&lt;wsp:rsid wsp:val=&quot;00F66B0D&quot;/&gt;&lt;wsp:rsid wsp:val=&quot;00F71555&quot;/&gt;&lt;wsp:rsid wsp:val=&quot;00F72861&quot;/&gt;&lt;wsp:rsid wsp:val=&quot;00F735B5&quot;/&gt;&lt;wsp:rsid wsp:val=&quot;00F7369D&quot;/&gt;&lt;wsp:rsid wsp:val=&quot;00F73F25&quot;/&gt;&lt;wsp:rsid wsp:val=&quot;00F76757&quot;/&gt;&lt;wsp:rsid wsp:val=&quot;00F775B7&quot;/&gt;&lt;wsp:rsid wsp:val=&quot;00F80036&quot;/&gt;&lt;wsp:rsid wsp:val=&quot;00F80719&quot;/&gt;&lt;wsp:rsid wsp:val=&quot;00F8118C&quot;/&gt;&lt;wsp:rsid wsp:val=&quot;00F818D0&quot;/&gt;&lt;wsp:rsid wsp:val=&quot;00F82340&quot;/&gt;&lt;wsp:rsid wsp:val=&quot;00F825E1&quot;/&gt;&lt;wsp:rsid wsp:val=&quot;00F83740&quot;/&gt;&lt;wsp:rsid wsp:val=&quot;00F839B4&quot;/&gt;&lt;wsp:rsid wsp:val=&quot;00F83C2C&quot;/&gt;&lt;wsp:rsid wsp:val=&quot;00F83C71&quot;/&gt;&lt;wsp:rsid wsp:val=&quot;00F8461B&quot;/&gt;&lt;wsp:rsid wsp:val=&quot;00F867F0&quot;/&gt;&lt;wsp:rsid wsp:val=&quot;00F90570&quot;/&gt;&lt;wsp:rsid wsp:val=&quot;00F90E25&quot;/&gt;&lt;wsp:rsid wsp:val=&quot;00F90F12&quot;/&gt;&lt;wsp:rsid wsp:val=&quot;00F93C84&quot;/&gt;&lt;wsp:rsid wsp:val=&quot;00F97FC3&quot;/&gt;&lt;wsp:rsid wsp:val=&quot;00FA17E1&quot;/&gt;&lt;wsp:rsid wsp:val=&quot;00FA2149&quot;/&gt;&lt;wsp:rsid wsp:val=&quot;00FA3457&quot;/&gt;&lt;wsp:rsid wsp:val=&quot;00FA4D09&quot;/&gt;&lt;wsp:rsid wsp:val=&quot;00FA5073&quot;/&gt;&lt;wsp:rsid wsp:val=&quot;00FA549C&quot;/&gt;&lt;wsp:rsid wsp:val=&quot;00FA5DC4&quot;/&gt;&lt;wsp:rsid wsp:val=&quot;00FA6845&quot;/&gt;&lt;wsp:rsid wsp:val=&quot;00FA68B1&quot;/&gt;&lt;wsp:rsid wsp:val=&quot;00FB00EF&quot;/&gt;&lt;wsp:rsid wsp:val=&quot;00FB31E4&quot;/&gt;&lt;wsp:rsid wsp:val=&quot;00FB369A&quot;/&gt;&lt;wsp:rsid wsp:val=&quot;00FB41FA&quot;/&gt;&lt;wsp:rsid wsp:val=&quot;00FB4C83&quot;/&gt;&lt;wsp:rsid wsp:val=&quot;00FB6822&quot;/&gt;&lt;wsp:rsid wsp:val=&quot;00FC05A9&quot;/&gt;&lt;wsp:rsid wsp:val=&quot;00FC0DC9&quot;/&gt;&lt;wsp:rsid wsp:val=&quot;00FC3F4B&quot;/&gt;&lt;wsp:rsid wsp:val=&quot;00FC4162&quot;/&gt;&lt;wsp:rsid wsp:val=&quot;00FC4469&quot;/&gt;&lt;wsp:rsid wsp:val=&quot;00FC4D4B&quot;/&gt;&lt;wsp:rsid wsp:val=&quot;00FC6BB8&quot;/&gt;&lt;wsp:rsid wsp:val=&quot;00FC71C2&quot;/&gt;&lt;wsp:rsid wsp:val=&quot;00FC7B39&quot;/&gt;&lt;wsp:rsid wsp:val=&quot;00FC7CE4&quot;/&gt;&lt;wsp:rsid wsp:val=&quot;00FD0342&quot;/&gt;&lt;wsp:rsid wsp:val=&quot;00FD1B64&quot;/&gt;&lt;wsp:rsid wsp:val=&quot;00FD1F0C&quot;/&gt;&lt;wsp:rsid wsp:val=&quot;00FD43D3&quot;/&gt;&lt;wsp:rsid wsp:val=&quot;00FD485C&quot;/&gt;&lt;wsp:rsid wsp:val=&quot;00FD7696&quot;/&gt;&lt;wsp:rsid wsp:val=&quot;00FE07BC&quot;/&gt;&lt;wsp:rsid wsp:val=&quot;00FE10BF&quot;/&gt;&lt;wsp:rsid wsp:val=&quot;00FE2301&quot;/&gt;&lt;wsp:rsid wsp:val=&quot;00FE3ECA&quot;/&gt;&lt;wsp:rsid wsp:val=&quot;00FE5117&quot;/&gt;&lt;wsp:rsid wsp:val=&quot;00FE591C&quot;/&gt;&lt;wsp:rsid wsp:val=&quot;00FE66DF&quot;/&gt;&lt;wsp:rsid wsp:val=&quot;00FE788E&quot;/&gt;&lt;wsp:rsid wsp:val=&quot;00FF04F0&quot;/&gt;&lt;wsp:rsid wsp:val=&quot;00FF0A73&quot;/&gt;&lt;wsp:rsid wsp:val=&quot;00FF2D7F&quot;/&gt;&lt;wsp:rsid wsp:val=&quot;00FF3B26&quot;/&gt;&lt;wsp:rsid wsp:val=&quot;00FF3BBC&quot;/&gt;&lt;wsp:rsid wsp:val=&quot;00FF3DD8&quot;/&gt;&lt;wsp:rsid wsp:val=&quot;00FF46A7&quot;/&gt;&lt;wsp:rsid wsp:val=&quot;00FF46D5&quot;/&gt;&lt;wsp:rsid wsp:val=&quot;00FF4D0A&quot;/&gt;&lt;wsp:rsid wsp:val=&quot;00FF5DFC&quot;/&gt;&lt;wsp:rsid wsp:val=&quot;00FF662E&quot;/&gt;&lt;wsp:rsid wsp:val=&quot;00FF78CE&quot;/&gt;&lt;wsp:rsid wsp:val=&quot;010C2981&quot;/&gt;&lt;wsp:rsid wsp:val=&quot;023C527F&quot;/&gt;&lt;wsp:rsid wsp:val=&quot;02F3339A&quot;/&gt;&lt;wsp:rsid wsp:val=&quot;05D91CC6&quot;/&gt;&lt;wsp:rsid wsp:val=&quot;0CC87AC2&quot;/&gt;&lt;wsp:rsid wsp:val=&quot;1229517D&quot;/&gt;&lt;wsp:rsid wsp:val=&quot;14A41D5F&quot;/&gt;&lt;wsp:rsid wsp:val=&quot;164A0475&quot;/&gt;&lt;wsp:rsid wsp:val=&quot;186020A6&quot;/&gt;&lt;wsp:rsid wsp:val=&quot;19310A8B&quot;/&gt;&lt;wsp:rsid wsp:val=&quot;1AB573F0&quot;/&gt;&lt;wsp:rsid wsp:val=&quot;1CF92232&quot;/&gt;&lt;wsp:rsid wsp:val=&quot;1E397353&quot;/&gt;&lt;wsp:rsid wsp:val=&quot;23B542A1&quot;/&gt;&lt;wsp:rsid wsp:val=&quot;245C7BC4&quot;/&gt;&lt;wsp:rsid wsp:val=&quot;2A17557F&quot;/&gt;&lt;wsp:rsid wsp:val=&quot;2A492A9C&quot;/&gt;&lt;wsp:rsid wsp:val=&quot;2A8566A7&quot;/&gt;&lt;wsp:rsid wsp:val=&quot;30E57C41&quot;/&gt;&lt;wsp:rsid wsp:val=&quot;315B4962&quot;/&gt;&lt;wsp:rsid wsp:val=&quot;32791BC3&quot;/&gt;&lt;wsp:rsid wsp:val=&quot;33267902&quot;/&gt;&lt;wsp:rsid wsp:val=&quot;350A1F81&quot;/&gt;&lt;wsp:rsid wsp:val=&quot;359C4321&quot;/&gt;&lt;wsp:rsid wsp:val=&quot;41943A36&quot;/&gt;&lt;wsp:rsid wsp:val=&quot;51636229&quot;/&gt;&lt;wsp:rsid wsp:val=&quot;52031F12&quot;/&gt;&lt;wsp:rsid wsp:val=&quot;54555237&quot;/&gt;&lt;wsp:rsid wsp:val=&quot;548E7DC4&quot;/&gt;&lt;wsp:rsid wsp:val=&quot;5C041DB5&quot;/&gt;&lt;wsp:rsid wsp:val=&quot;5CC90A15&quot;/&gt;&lt;wsp:rsid wsp:val=&quot;5E913859&quot;/&gt;&lt;wsp:rsid wsp:val=&quot;61357D12&quot;/&gt;&lt;wsp:rsid wsp:val=&quot;624559BB&quot;/&gt;&lt;wsp:rsid wsp:val=&quot;67CD2F03&quot;/&gt;&lt;wsp:rsid wsp:val=&quot;6C9B5953&quot;/&gt;&lt;wsp:rsid wsp:val=&quot;6F501183&quot;/&gt;&lt;wsp:rsid wsp:val=&quot;6FB03D8C&quot;/&gt;&lt;wsp:rsid wsp:val=&quot;70070EFB&quot;/&gt;&lt;wsp:rsid wsp:val=&quot;70DE276D&quot;/&gt;&lt;wsp:rsid wsp:val=&quot;7347665F&quot;/&gt;&lt;wsp:rsid wsp:val=&quot;7C543980&quot;/&gt;&lt;/wsp:rsids&gt;&lt;/w:docPr&gt;&lt;w:body&gt;&lt;w:p wsp:rsidR=&quot;00000000&quot; wsp:rsidRDefault=&quot;00A76B33&quot;&gt;&lt;m:oMathPara&gt;&lt;m:oMath&gt;&lt;m:r&gt;&lt;m:rPr&gt;&lt;m:sty m:val=&quot;p&quot;/&gt;&lt;/m:rPr&gt;&lt;w:rPr&gt;&lt;w:rFonts w:ascii=&quot;Cambria Math&quot; w:h-ansi=&quot;Cambria Math&quot;/&gt;&lt;wx:font wx:val=&quot;Cambria Math&quot;/&gt;&lt;w:color w:val=&quot;FF0000&quot;/&gt;&lt;w:kern w:val=&quot;0&quot;/&gt;&lt;w:sz w:val=&quot;24&quot;/&gt;&lt;w:sz-cs w:val=&quot;20&quot;/&gt;&lt;/w:rPr&gt;&lt;m:t&gt;……&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body&gt;&lt;/w:wordDocument">
                  <v:path/>
                  <v:fill on="f" focussize="0,0"/>
                  <v:stroke on="f"/>
                  <v:imagedata r:id="rId13" chromakey="#FFFFFF" o:title=""/>
                  <o:lock v:ext="edit" aspectratio="t"/>
                  <w10:wrap type="none"/>
                  <w10:anchorlock/>
                </v:shape>
              </w:pict>
            </w:r>
            <w:r>
              <w:rPr>
                <w:rFonts w:hint="default" w:ascii="Times New Roman" w:hAnsi="Times New Roman" w:cs="Times New Roman"/>
                <w:color w:val="auto"/>
                <w:sz w:val="21"/>
                <w:szCs w:val="22"/>
                <w:highlight w:val="none"/>
              </w:rPr>
              <w:fldChar w:fldCharType="end"/>
            </w:r>
            <w:r>
              <w:rPr>
                <w:rFonts w:hint="default" w:ascii="Times New Roman" w:hAnsi="Times New Roman" w:cs="Times New Roman"/>
                <w:color w:val="auto"/>
                <w:sz w:val="21"/>
                <w:szCs w:val="22"/>
                <w:highlight w:val="none"/>
              </w:rPr>
              <w:t>qn--每种危险物质实际存在量，t。</w:t>
            </w:r>
          </w:p>
          <w:p w14:paraId="7BD378A5">
            <w:pPr>
              <w:keepNext w:val="0"/>
              <w:keepLines w:val="0"/>
              <w:suppressLineNumbers w:val="0"/>
              <w:adjustRightInd w:val="0"/>
              <w:snapToGrid w:val="0"/>
              <w:spacing w:before="0" w:beforeAutospacing="0" w:after="0" w:afterAutospacing="0" w:line="360" w:lineRule="auto"/>
              <w:ind w:left="0" w:right="0" w:firstLine="420" w:firstLineChars="200"/>
              <w:rPr>
                <w:rFonts w:hint="default" w:ascii="Times New Roman" w:hAnsi="Times New Roman" w:cs="Times New Roman"/>
                <w:color w:val="auto"/>
                <w:sz w:val="21"/>
                <w:szCs w:val="22"/>
                <w:highlight w:val="none"/>
              </w:rPr>
            </w:pPr>
            <w:r>
              <w:rPr>
                <w:rFonts w:hint="default" w:ascii="Times New Roman" w:hAnsi="Times New Roman" w:cs="Times New Roman"/>
                <w:color w:val="auto"/>
                <w:sz w:val="21"/>
                <w:szCs w:val="22"/>
                <w:highlight w:val="none"/>
              </w:rPr>
              <w:t>Q1，Q2</w:t>
            </w:r>
            <w:r>
              <w:rPr>
                <w:rFonts w:hint="default" w:ascii="Times New Roman" w:hAnsi="Times New Roman" w:cs="Times New Roman"/>
                <w:color w:val="auto"/>
                <w:sz w:val="21"/>
                <w:szCs w:val="22"/>
                <w:highlight w:val="none"/>
              </w:rPr>
              <w:fldChar w:fldCharType="begin"/>
            </w:r>
            <w:r>
              <w:rPr>
                <w:rFonts w:hint="default" w:ascii="Times New Roman" w:hAnsi="Times New Roman" w:cs="Times New Roman"/>
                <w:color w:val="auto"/>
                <w:sz w:val="21"/>
                <w:szCs w:val="22"/>
                <w:highlight w:val="none"/>
              </w:rPr>
              <w:instrText xml:space="preserve"> QUOTE </w:instrText>
            </w:r>
            <w:r>
              <w:rPr>
                <w:rFonts w:hint="default" w:ascii="Times New Roman" w:hAnsi="Times New Roman" w:cs="Times New Roman"/>
                <w:color w:val="auto"/>
                <w:sz w:val="21"/>
                <w:szCs w:val="22"/>
                <w:highlight w:val="none"/>
              </w:rPr>
              <w:pict>
                <v:shape id="_x0000_i1027" o:spt="75" type="#_x0000_t75" style="height:14.25pt;width:20.25pt;" filled="f" stroked="f" coordsize="21600,21600" equationxml="&lt;?xml version=&quot;1.0&quot; encoding=&quot;UTF-8&quot; standalone=&quot;yes&quot;?&gt;&#13;&#10;&lt;?mso-application progid=&quot;Word.Document&quot;?&gt;&#13;&#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stylePaneFormatFilter w:val=&quot;3F01&quot;/&gt;&lt;w:defaultTabStop w:val=&quot;420&quot;/&gt;&lt;w:drawingGridHorizontalSpacing w:val=&quot;105&quot;/&gt;&lt;w:drawingGridVerticalSpacing w:val=&quot;156&quot;/&gt;&lt;w:characterSpacingControl w:val=&quot;CompressPunctuation&quot;/&gt;&lt;w:webPageEncoding w:val=&quot;x-cp20936&quot;/&gt;&lt;w:optimizeForBrowser/&gt;&lt;w:validateAgainstSchema/&gt;&lt;w:saveInvalidXML w:val=&quot;off&quot;/&gt;&lt;w:ignoreMixedContent w:val=&quot;off&quot;/&gt;&lt;w:alwaysShowPlaceholderText w:val=&quot;off&quot;/&gt;&lt;w:compat&gt;&lt;w:spaceForUL/&gt;&lt;w:balanceSingleByteDoubleByteWidth/&gt;&lt;w:doNotLeaveBackslashAlone/&gt;&lt;w:doNotExpandShiftReturn/&gt;&lt;w:adjustLineHeightInTable/&gt;&lt;w:breakWrappedTables/&gt;&lt;w:snapToGridInCell/&gt;&lt;w:dontGrowAutofit/&gt;&lt;w:useFELayout/&gt;&lt;/w:compat&gt;&lt;wsp:rsids&gt;&lt;wsp:rsidRoot wsp:val=&quot;005D01AC&quot;/&gt;&lt;wsp:rsid wsp:val=&quot;000008C9&quot;/&gt;&lt;wsp:rsid wsp:val=&quot;00000A1F&quot;/&gt;&lt;wsp:rsid wsp:val=&quot;00000CB6&quot;/&gt;&lt;wsp:rsid wsp:val=&quot;000011FD&quot;/&gt;&lt;wsp:rsid wsp:val=&quot;0000207E&quot;/&gt;&lt;wsp:rsid wsp:val=&quot;000046B3&quot;/&gt;&lt;wsp:rsid wsp:val=&quot;000064F5&quot;/&gt;&lt;wsp:rsid wsp:val=&quot;0000797E&quot;/&gt;&lt;wsp:rsid wsp:val=&quot;0001047A&quot;/&gt;&lt;wsp:rsid wsp:val=&quot;00012460&quot;/&gt;&lt;wsp:rsid wsp:val=&quot;00016F18&quot;/&gt;&lt;wsp:rsid wsp:val=&quot;00017180&quot;/&gt;&lt;wsp:rsid wsp:val=&quot;0001755A&quot;/&gt;&lt;wsp:rsid wsp:val=&quot;0002110C&quot;/&gt;&lt;wsp:rsid wsp:val=&quot;00021817&quot;/&gt;&lt;wsp:rsid wsp:val=&quot;000244B2&quot;/&gt;&lt;wsp:rsid wsp:val=&quot;00024688&quot;/&gt;&lt;wsp:rsid wsp:val=&quot;00025BED&quot;/&gt;&lt;wsp:rsid wsp:val=&quot;00027486&quot;/&gt;&lt;wsp:rsid wsp:val=&quot;000305FC&quot;/&gt;&lt;wsp:rsid wsp:val=&quot;00031923&quot;/&gt;&lt;wsp:rsid wsp:val=&quot;0003290A&quot;/&gt;&lt;wsp:rsid wsp:val=&quot;000354E2&quot;/&gt;&lt;wsp:rsid wsp:val=&quot;000361E0&quot;/&gt;&lt;wsp:rsid wsp:val=&quot;000370BD&quot;/&gt;&lt;wsp:rsid wsp:val=&quot;00040DBE&quot;/&gt;&lt;wsp:rsid wsp:val=&quot;00041459&quot;/&gt;&lt;wsp:rsid wsp:val=&quot;00041E2C&quot;/&gt;&lt;wsp:rsid wsp:val=&quot;000440C4&quot;/&gt;&lt;wsp:rsid wsp:val=&quot;000440F6&quot;/&gt;&lt;wsp:rsid wsp:val=&quot;00044E78&quot;/&gt;&lt;wsp:rsid wsp:val=&quot;000452E5&quot;/&gt;&lt;wsp:rsid wsp:val=&quot;00046579&quot;/&gt;&lt;wsp:rsid wsp:val=&quot;000476A3&quot;/&gt;&lt;wsp:rsid wsp:val=&quot;00052456&quot;/&gt;&lt;wsp:rsid wsp:val=&quot;00055348&quot;/&gt;&lt;wsp:rsid wsp:val=&quot;00056753&quot;/&gt;&lt;wsp:rsid wsp:val=&quot;00056EE7&quot;/&gt;&lt;wsp:rsid wsp:val=&quot;00057AC7&quot;/&gt;&lt;wsp:rsid wsp:val=&quot;00061B93&quot;/&gt;&lt;wsp:rsid wsp:val=&quot;000624DB&quot;/&gt;&lt;wsp:rsid wsp:val=&quot;00063368&quot;/&gt;&lt;wsp:rsid wsp:val=&quot;000633A2&quot;/&gt;&lt;wsp:rsid wsp:val=&quot;00063BEF&quot;/&gt;&lt;wsp:rsid wsp:val=&quot;000654DA&quot;/&gt;&lt;wsp:rsid wsp:val=&quot;00065974&quot;/&gt;&lt;wsp:rsid wsp:val=&quot;000717E4&quot;/&gt;&lt;wsp:rsid wsp:val=&quot;000751CC&quot;/&gt;&lt;wsp:rsid wsp:val=&quot;000768D7&quot;/&gt;&lt;wsp:rsid wsp:val=&quot;00076AAC&quot;/&gt;&lt;wsp:rsid wsp:val=&quot;00080B00&quot;/&gt;&lt;wsp:rsid wsp:val=&quot;000846CA&quot;/&gt;&lt;wsp:rsid wsp:val=&quot;000856C9&quot;/&gt;&lt;wsp:rsid wsp:val=&quot;0008605D&quot;/&gt;&lt;wsp:rsid wsp:val=&quot;0008771C&quot;/&gt;&lt;wsp:rsid wsp:val=&quot;00090492&quot;/&gt;&lt;wsp:rsid wsp:val=&quot;000904C5&quot;/&gt;&lt;wsp:rsid wsp:val=&quot;00090D52&quot;/&gt;&lt;wsp:rsid wsp:val=&quot;00092A3D&quot;/&gt;&lt;wsp:rsid wsp:val=&quot;00093B18&quot;/&gt;&lt;wsp:rsid wsp:val=&quot;0009690B&quot;/&gt;&lt;wsp:rsid wsp:val=&quot;00097845&quot;/&gt;&lt;wsp:rsid wsp:val=&quot;000A0EBB&quot;/&gt;&lt;wsp:rsid wsp:val=&quot;000A1C2B&quot;/&gt;&lt;wsp:rsid wsp:val=&quot;000A457D&quot;/&gt;&lt;wsp:rsid wsp:val=&quot;000A4581&quot;/&gt;&lt;wsp:rsid wsp:val=&quot;000A5354&quot;/&gt;&lt;wsp:rsid wsp:val=&quot;000B02EA&quot;/&gt;&lt;wsp:rsid wsp:val=&quot;000B0E0C&quot;/&gt;&lt;wsp:rsid wsp:val=&quot;000B1F20&quot;/&gt;&lt;wsp:rsid wsp:val=&quot;000B3717&quot;/&gt;&lt;wsp:rsid wsp:val=&quot;000B3D22&quot;/&gt;&lt;wsp:rsid wsp:val=&quot;000B4788&quot;/&gt;&lt;wsp:rsid wsp:val=&quot;000B49B0&quot;/&gt;&lt;wsp:rsid wsp:val=&quot;000B59D4&quot;/&gt;&lt;wsp:rsid wsp:val=&quot;000B5C59&quot;/&gt;&lt;wsp:rsid wsp:val=&quot;000B606E&quot;/&gt;&lt;wsp:rsid wsp:val=&quot;000B6812&quot;/&gt;&lt;wsp:rsid wsp:val=&quot;000C0763&quot;/&gt;&lt;wsp:rsid wsp:val=&quot;000C1DF2&quot;/&gt;&lt;wsp:rsid wsp:val=&quot;000C43D2&quot;/&gt;&lt;wsp:rsid wsp:val=&quot;000C4CC7&quot;/&gt;&lt;wsp:rsid wsp:val=&quot;000C52F8&quot;/&gt;&lt;wsp:rsid wsp:val=&quot;000C6ECC&quot;/&gt;&lt;wsp:rsid wsp:val=&quot;000C780B&quot;/&gt;&lt;wsp:rsid wsp:val=&quot;000D04CD&quot;/&gt;&lt;wsp:rsid wsp:val=&quot;000D1301&quot;/&gt;&lt;wsp:rsid wsp:val=&quot;000D1619&quot;/&gt;&lt;wsp:rsid wsp:val=&quot;000D16DD&quot;/&gt;&lt;wsp:rsid wsp:val=&quot;000D1FE1&quot;/&gt;&lt;wsp:rsid wsp:val=&quot;000D26D0&quot;/&gt;&lt;wsp:rsid wsp:val=&quot;000D2FE4&quot;/&gt;&lt;wsp:rsid wsp:val=&quot;000D40AC&quot;/&gt;&lt;wsp:rsid wsp:val=&quot;000D4A6B&quot;/&gt;&lt;wsp:rsid wsp:val=&quot;000D5BD2&quot;/&gt;&lt;wsp:rsid wsp:val=&quot;000D79DF&quot;/&gt;&lt;wsp:rsid wsp:val=&quot;000E0B0C&quot;/&gt;&lt;wsp:rsid wsp:val=&quot;000E18DB&quot;/&gt;&lt;wsp:rsid wsp:val=&quot;000E1EA2&quot;/&gt;&lt;wsp:rsid wsp:val=&quot;000E3196&quot;/&gt;&lt;wsp:rsid wsp:val=&quot;000E42F2&quot;/&gt;&lt;wsp:rsid wsp:val=&quot;000E4373&quot;/&gt;&lt;wsp:rsid wsp:val=&quot;000E61FF&quot;/&gt;&lt;wsp:rsid wsp:val=&quot;000E639B&quot;/&gt;&lt;wsp:rsid wsp:val=&quot;000E6F62&quot;/&gt;&lt;wsp:rsid wsp:val=&quot;000F166E&quot;/&gt;&lt;wsp:rsid wsp:val=&quot;000F20E0&quot;/&gt;&lt;wsp:rsid wsp:val=&quot;000F34B1&quot;/&gt;&lt;wsp:rsid wsp:val=&quot;000F385E&quot;/&gt;&lt;wsp:rsid wsp:val=&quot;000F569E&quot;/&gt;&lt;wsp:rsid wsp:val=&quot;000F64EF&quot;/&gt;&lt;wsp:rsid wsp:val=&quot;000F69A2&quot;/&gt;&lt;wsp:rsid wsp:val=&quot;000F77AC&quot;/&gt;&lt;wsp:rsid wsp:val=&quot;000F7CCB&quot;/&gt;&lt;wsp:rsid wsp:val=&quot;001001CA&quot;/&gt;&lt;wsp:rsid wsp:val=&quot;00104348&quot;/&gt;&lt;wsp:rsid wsp:val=&quot;00105BAE&quot;/&gt;&lt;wsp:rsid wsp:val=&quot;00107690&quot;/&gt;&lt;wsp:rsid wsp:val=&quot;00107F09&quot;/&gt;&lt;wsp:rsid wsp:val=&quot;00111F82&quot;/&gt;&lt;wsp:rsid wsp:val=&quot;00112742&quot;/&gt;&lt;wsp:rsid wsp:val=&quot;00112D8D&quot;/&gt;&lt;wsp:rsid wsp:val=&quot;00112F8D&quot;/&gt;&lt;wsp:rsid wsp:val=&quot;00114A1C&quot;/&gt;&lt;wsp:rsid wsp:val=&quot;00115178&quot;/&gt;&lt;wsp:rsid wsp:val=&quot;00115B37&quot;/&gt;&lt;wsp:rsid wsp:val=&quot;001164A4&quot;/&gt;&lt;wsp:rsid wsp:val=&quot;00120CAA&quot;/&gt;&lt;wsp:rsid wsp:val=&quot;00121049&quot;/&gt;&lt;wsp:rsid wsp:val=&quot;00121C5D&quot;/&gt;&lt;wsp:rsid wsp:val=&quot;00122E83&quot;/&gt;&lt;wsp:rsid wsp:val=&quot;00123651&quot;/&gt;&lt;wsp:rsid wsp:val=&quot;001238D5&quot;/&gt;&lt;wsp:rsid wsp:val=&quot;00123C23&quot;/&gt;&lt;wsp:rsid wsp:val=&quot;001266E0&quot;/&gt;&lt;wsp:rsid wsp:val=&quot;0012703F&quot;/&gt;&lt;wsp:rsid wsp:val=&quot;001323FB&quot;/&gt;&lt;wsp:rsid wsp:val=&quot;00132A67&quot;/&gt;&lt;wsp:rsid wsp:val=&quot;00133A37&quot;/&gt;&lt;wsp:rsid wsp:val=&quot;00134F13&quot;/&gt;&lt;wsp:rsid wsp:val=&quot;00135721&quot;/&gt;&lt;wsp:rsid wsp:val=&quot;001368EB&quot;/&gt;&lt;wsp:rsid wsp:val=&quot;00137872&quot;/&gt;&lt;wsp:rsid wsp:val=&quot;00140042&quot;/&gt;&lt;wsp:rsid wsp:val=&quot;00144D60&quot;/&gt;&lt;wsp:rsid wsp:val=&quot;00146317&quot;/&gt;&lt;wsp:rsid wsp:val=&quot;00152E1A&quot;/&gt;&lt;wsp:rsid wsp:val=&quot;001547C7&quot;/&gt;&lt;wsp:rsid wsp:val=&quot;00154EEE&quot;/&gt;&lt;wsp:rsid wsp:val=&quot;00155998&quot;/&gt;&lt;wsp:rsid wsp:val=&quot;00155BAD&quot;/&gt;&lt;wsp:rsid wsp:val=&quot;001560C7&quot;/&gt;&lt;wsp:rsid wsp:val=&quot;00156DC2&quot;/&gt;&lt;wsp:rsid wsp:val=&quot;001619E4&quot;/&gt;&lt;wsp:rsid wsp:val=&quot;00162061&quot;/&gt;&lt;wsp:rsid wsp:val=&quot;00162F3C&quot;/&gt;&lt;wsp:rsid wsp:val=&quot;00163FB7&quot;/&gt;&lt;wsp:rsid wsp:val=&quot;001649C5&quot;/&gt;&lt;wsp:rsid wsp:val=&quot;00164F32&quot;/&gt;&lt;wsp:rsid wsp:val=&quot;00171E7D&quot;/&gt;&lt;wsp:rsid wsp:val=&quot;00172FFC&quot;/&gt;&lt;wsp:rsid wsp:val=&quot;00173706&quot;/&gt;&lt;wsp:rsid wsp:val=&quot;00173C37&quot;/&gt;&lt;wsp:rsid wsp:val=&quot;00174BAF&quot;/&gt;&lt;wsp:rsid wsp:val=&quot;00175068&quot;/&gt;&lt;wsp:rsid wsp:val=&quot;0017634D&quot;/&gt;&lt;wsp:rsid wsp:val=&quot;00177DEB&quot;/&gt;&lt;wsp:rsid wsp:val=&quot;0018078E&quot;/&gt;&lt;wsp:rsid wsp:val=&quot;00180AF8&quot;/&gt;&lt;wsp:rsid wsp:val=&quot;0018124D&quot;/&gt;&lt;wsp:rsid wsp:val=&quot;00183C98&quot;/&gt;&lt;wsp:rsid wsp:val=&quot;00184394&quot;/&gt;&lt;wsp:rsid wsp:val=&quot;00186BBD&quot;/&gt;&lt;wsp:rsid wsp:val=&quot;00187303&quot;/&gt;&lt;wsp:rsid wsp:val=&quot;0018753A&quot;/&gt;&lt;wsp:rsid wsp:val=&quot;00187A2C&quot;/&gt;&lt;wsp:rsid wsp:val=&quot;00187A3A&quot;/&gt;&lt;wsp:rsid wsp:val=&quot;00187C69&quot;/&gt;&lt;wsp:rsid wsp:val=&quot;00191262&quot;/&gt;&lt;wsp:rsid wsp:val=&quot;00192689&quot;/&gt;&lt;wsp:rsid wsp:val=&quot;0019344A&quot;/&gt;&lt;wsp:rsid wsp:val=&quot;00193683&quot;/&gt;&lt;wsp:rsid wsp:val=&quot;00194477&quot;/&gt;&lt;wsp:rsid wsp:val=&quot;00195923&quot;/&gt;&lt;wsp:rsid wsp:val=&quot;0019658C&quot;/&gt;&lt;wsp:rsid wsp:val=&quot;001A01E8&quot;/&gt;&lt;wsp:rsid wsp:val=&quot;001A3BED&quot;/&gt;&lt;wsp:rsid wsp:val=&quot;001A6B7D&quot;/&gt;&lt;wsp:rsid wsp:val=&quot;001B003A&quot;/&gt;&lt;wsp:rsid wsp:val=&quot;001B39CC&quot;/&gt;&lt;wsp:rsid wsp:val=&quot;001B60D6&quot;/&gt;&lt;wsp:rsid wsp:val=&quot;001B768B&quot;/&gt;&lt;wsp:rsid wsp:val=&quot;001C51AE&quot;/&gt;&lt;wsp:rsid wsp:val=&quot;001C73DC&quot;/&gt;&lt;wsp:rsid wsp:val=&quot;001C759A&quot;/&gt;&lt;wsp:rsid wsp:val=&quot;001D0721&quot;/&gt;&lt;wsp:rsid wsp:val=&quot;001D2694&quot;/&gt;&lt;wsp:rsid wsp:val=&quot;001D4A95&quot;/&gt;&lt;wsp:rsid wsp:val=&quot;001D5EFD&quot;/&gt;&lt;wsp:rsid wsp:val=&quot;001D6C4D&quot;/&gt;&lt;wsp:rsid wsp:val=&quot;001E4939&quot;/&gt;&lt;wsp:rsid wsp:val=&quot;001E66E3&quot;/&gt;&lt;wsp:rsid wsp:val=&quot;001F4081&quot;/&gt;&lt;wsp:rsid wsp:val=&quot;001F456C&quot;/&gt;&lt;wsp:rsid wsp:val=&quot;001F4A62&quot;/&gt;&lt;wsp:rsid wsp:val=&quot;001F7A9E&quot;/&gt;&lt;wsp:rsid wsp:val=&quot;00200D9A&quot;/&gt;&lt;wsp:rsid wsp:val=&quot;002011DF&quot;/&gt;&lt;wsp:rsid wsp:val=&quot;0020280A&quot;/&gt;&lt;wsp:rsid wsp:val=&quot;00203F83&quot;/&gt;&lt;wsp:rsid wsp:val=&quot;0020411B&quot;/&gt;&lt;wsp:rsid wsp:val=&quot;002069BF&quot;/&gt;&lt;wsp:rsid wsp:val=&quot;00207D06&quot;/&gt;&lt;wsp:rsid wsp:val=&quot;002125E6&quot;/&gt;&lt;wsp:rsid wsp:val=&quot;0021263F&quot;/&gt;&lt;wsp:rsid wsp:val=&quot;002133D7&quot;/&gt;&lt;wsp:rsid wsp:val=&quot;002159FD&quot;/&gt;&lt;wsp:rsid wsp:val=&quot;00216616&quot;/&gt;&lt;wsp:rsid wsp:val=&quot;0022038A&quot;/&gt;&lt;wsp:rsid wsp:val=&quot;00220BE9&quot;/&gt;&lt;wsp:rsid wsp:val=&quot;00220CD8&quot;/&gt;&lt;wsp:rsid wsp:val=&quot;00225CED&quot;/&gt;&lt;wsp:rsid wsp:val=&quot;00226D1D&quot;/&gt;&lt;wsp:rsid wsp:val=&quot;00227415&quot;/&gt;&lt;wsp:rsid wsp:val=&quot;002329B8&quot;/&gt;&lt;wsp:rsid wsp:val=&quot;00232FE8&quot;/&gt;&lt;wsp:rsid wsp:val=&quot;002337A2&quot;/&gt;&lt;wsp:rsid wsp:val=&quot;00235F59&quot;/&gt;&lt;wsp:rsid wsp:val=&quot;00237B00&quot;/&gt;&lt;wsp:rsid wsp:val=&quot;00240567&quot;/&gt;&lt;wsp:rsid wsp:val=&quot;00240889&quot;/&gt;&lt;wsp:rsid wsp:val=&quot;00240C23&quot;/&gt;&lt;wsp:rsid wsp:val=&quot;00241986&quot;/&gt;&lt;wsp:rsid wsp:val=&quot;00242EAD&quot;/&gt;&lt;wsp:rsid wsp:val=&quot;00245A30&quot;/&gt;&lt;wsp:rsid wsp:val=&quot;00245A74&quot;/&gt;&lt;wsp:rsid wsp:val=&quot;00245E84&quot;/&gt;&lt;wsp:rsid wsp:val=&quot;00252F7C&quot;/&gt;&lt;wsp:rsid wsp:val=&quot;00253DA9&quot;/&gt;&lt;wsp:rsid wsp:val=&quot;00256A63&quot;/&gt;&lt;wsp:rsid wsp:val=&quot;00260935&quot;/&gt;&lt;wsp:rsid wsp:val=&quot;00262C52&quot;/&gt;&lt;wsp:rsid wsp:val=&quot;00264782&quot;/&gt;&lt;wsp:rsid wsp:val=&quot;00264B01&quot;/&gt;&lt;wsp:rsid wsp:val=&quot;0026655B&quot;/&gt;&lt;wsp:rsid wsp:val=&quot;00267E74&quot;/&gt;&lt;wsp:rsid wsp:val=&quot;0027018A&quot;/&gt;&lt;wsp:rsid wsp:val=&quot;00276258&quot;/&gt;&lt;wsp:rsid wsp:val=&quot;00277CB1&quot;/&gt;&lt;wsp:rsid wsp:val=&quot;002803B4&quot;/&gt;&lt;wsp:rsid wsp:val=&quot;002809AF&quot;/&gt;&lt;wsp:rsid wsp:val=&quot;00282229&quot;/&gt;&lt;wsp:rsid wsp:val=&quot;00282F99&quot;/&gt;&lt;wsp:rsid wsp:val=&quot;00283824&quot;/&gt;&lt;wsp:rsid wsp:val=&quot;00285E76&quot;/&gt;&lt;wsp:rsid wsp:val=&quot;002871C2&quot;/&gt;&lt;wsp:rsid wsp:val=&quot;00290441&quot;/&gt;&lt;wsp:rsid wsp:val=&quot;00290DFC&quot;/&gt;&lt;wsp:rsid wsp:val=&quot;0029259A&quot;/&gt;&lt;wsp:rsid wsp:val=&quot;00293047&quot;/&gt;&lt;wsp:rsid wsp:val=&quot;00294052&quot;/&gt;&lt;wsp:rsid wsp:val=&quot;002941EB&quot;/&gt;&lt;wsp:rsid wsp:val=&quot;002951E0&quot;/&gt;&lt;wsp:rsid wsp:val=&quot;00296822&quot;/&gt;&lt;wsp:rsid wsp:val=&quot;002978F0&quot;/&gt;&lt;wsp:rsid wsp:val=&quot;00297BD1&quot;/&gt;&lt;wsp:rsid wsp:val=&quot;00297C52&quot;/&gt;&lt;wsp:rsid wsp:val=&quot;002A4958&quot;/&gt;&lt;wsp:rsid wsp:val=&quot;002A6289&quot;/&gt;&lt;wsp:rsid wsp:val=&quot;002B223E&quot;/&gt;&lt;wsp:rsid wsp:val=&quot;002B472D&quot;/&gt;&lt;wsp:rsid wsp:val=&quot;002B61EC&quot;/&gt;&lt;wsp:rsid wsp:val=&quot;002B679E&quot;/&gt;&lt;wsp:rsid wsp:val=&quot;002B7311&quot;/&gt;&lt;wsp:rsid wsp:val=&quot;002B78D1&quot;/&gt;&lt;wsp:rsid wsp:val=&quot;002C0E99&quot;/&gt;&lt;wsp:rsid wsp:val=&quot;002C1522&quot;/&gt;&lt;wsp:rsid wsp:val=&quot;002C1BA5&quot;/&gt;&lt;wsp:rsid wsp:val=&quot;002C1D9D&quot;/&gt;&lt;wsp:rsid wsp:val=&quot;002C24A2&quot;/&gt;&lt;wsp:rsid wsp:val=&quot;002C2D37&quot;/&gt;&lt;wsp:rsid wsp:val=&quot;002C7756&quot;/&gt;&lt;wsp:rsid wsp:val=&quot;002D06B6&quot;/&gt;&lt;wsp:rsid wsp:val=&quot;002D09B9&quot;/&gt;&lt;wsp:rsid wsp:val=&quot;002D0B44&quot;/&gt;&lt;wsp:rsid wsp:val=&quot;002D0C7E&quot;/&gt;&lt;wsp:rsid wsp:val=&quot;002D11A5&quot;/&gt;&lt;wsp:rsid wsp:val=&quot;002D1342&quot;/&gt;&lt;wsp:rsid wsp:val=&quot;002D141D&quot;/&gt;&lt;wsp:rsid wsp:val=&quot;002D2882&quot;/&gt;&lt;wsp:rsid wsp:val=&quot;002D536C&quot;/&gt;&lt;wsp:rsid wsp:val=&quot;002D55E7&quot;/&gt;&lt;wsp:rsid wsp:val=&quot;002D5602&quot;/&gt;&lt;wsp:rsid wsp:val=&quot;002D741A&quot;/&gt;&lt;wsp:rsid wsp:val=&quot;002E3D36&quot;/&gt;&lt;wsp:rsid wsp:val=&quot;002E4DB2&quot;/&gt;&lt;wsp:rsid wsp:val=&quot;002E4E61&quot;/&gt;&lt;wsp:rsid wsp:val=&quot;002E5F14&quot;/&gt;&lt;wsp:rsid wsp:val=&quot;002E6237&quot;/&gt;&lt;wsp:rsid wsp:val=&quot;002F03DF&quot;/&gt;&lt;wsp:rsid wsp:val=&quot;002F0B07&quot;/&gt;&lt;wsp:rsid wsp:val=&quot;002F1AB2&quot;/&gt;&lt;wsp:rsid wsp:val=&quot;002F28BA&quot;/&gt;&lt;wsp:rsid wsp:val=&quot;002F3694&quot;/&gt;&lt;wsp:rsid wsp:val=&quot;002F3D7E&quot;/&gt;&lt;wsp:rsid wsp:val=&quot;002F6239&quot;/&gt;&lt;wsp:rsid wsp:val=&quot;003001EB&quot;/&gt;&lt;wsp:rsid wsp:val=&quot;00301453&quot;/&gt;&lt;wsp:rsid wsp:val=&quot;00301A94&quot;/&gt;&lt;wsp:rsid wsp:val=&quot;0030223B&quot;/&gt;&lt;wsp:rsid wsp:val=&quot;00307F8E&quot;/&gt;&lt;wsp:rsid wsp:val=&quot;00310F85&quot;/&gt;&lt;wsp:rsid wsp:val=&quot;00311898&quot;/&gt;&lt;wsp:rsid wsp:val=&quot;00315626&quot;/&gt;&lt;wsp:rsid wsp:val=&quot;00315AC9&quot;/&gt;&lt;wsp:rsid wsp:val=&quot;00315D8B&quot;/&gt;&lt;wsp:rsid wsp:val=&quot;00316B28&quot;/&gt;&lt;wsp:rsid wsp:val=&quot;00320297&quot;/&gt;&lt;wsp:rsid wsp:val=&quot;00321A79&quot;/&gt;&lt;wsp:rsid wsp:val=&quot;00322693&quot;/&gt;&lt;wsp:rsid wsp:val=&quot;00322E88&quot;/&gt;&lt;wsp:rsid wsp:val=&quot;00323072&quot;/&gt;&lt;wsp:rsid wsp:val=&quot;00326E0D&quot;/&gt;&lt;wsp:rsid wsp:val=&quot;003306D9&quot;/&gt;&lt;wsp:rsid wsp:val=&quot;00330BF7&quot;/&gt;&lt;wsp:rsid wsp:val=&quot;00331AFD&quot;/&gt;&lt;wsp:rsid wsp:val=&quot;0033251C&quot;/&gt;&lt;wsp:rsid wsp:val=&quot;003325A2&quot;/&gt;&lt;wsp:rsid wsp:val=&quot;0033384E&quot;/&gt;&lt;wsp:rsid wsp:val=&quot;0033594E&quot;/&gt;&lt;wsp:rsid wsp:val=&quot;00336429&quot;/&gt;&lt;wsp:rsid wsp:val=&quot;00343066&quot;/&gt;&lt;wsp:rsid wsp:val=&quot;00343DE4&quot;/&gt;&lt;wsp:rsid wsp:val=&quot;00345033&quot;/&gt;&lt;wsp:rsid wsp:val=&quot;003450D2&quot;/&gt;&lt;wsp:rsid wsp:val=&quot;00345F3B&quot;/&gt;&lt;wsp:rsid wsp:val=&quot;00347F55&quot;/&gt;&lt;wsp:rsid wsp:val=&quot;00350363&quot;/&gt;&lt;wsp:rsid wsp:val=&quot;0035300A&quot;/&gt;&lt;wsp:rsid wsp:val=&quot;00353B12&quot;/&gt;&lt;wsp:rsid wsp:val=&quot;00353B58&quot;/&gt;&lt;wsp:rsid wsp:val=&quot;00353BC5&quot;/&gt;&lt;wsp:rsid wsp:val=&quot;00354806&quot;/&gt;&lt;wsp:rsid wsp:val=&quot;00356E0A&quot;/&gt;&lt;wsp:rsid wsp:val=&quot;00361BDC&quot;/&gt;&lt;wsp:rsid wsp:val=&quot;00361EF2&quot;/&gt;&lt;wsp:rsid wsp:val=&quot;00362551&quot;/&gt;&lt;wsp:rsid wsp:val=&quot;0036314D&quot;/&gt;&lt;wsp:rsid wsp:val=&quot;00364E39&quot;/&gt;&lt;wsp:rsid wsp:val=&quot;0036536E&quot;/&gt;&lt;wsp:rsid wsp:val=&quot;00370A26&quot;/&gt;&lt;wsp:rsid wsp:val=&quot;00370FB0&quot;/&gt;&lt;wsp:rsid wsp:val=&quot;003714F8&quot;/&gt;&lt;wsp:rsid wsp:val=&quot;003740B0&quot;/&gt;&lt;wsp:rsid wsp:val=&quot;0037442A&quot;/&gt;&lt;wsp:rsid wsp:val=&quot;0037480D&quot;/&gt;&lt;wsp:rsid wsp:val=&quot;003749A8&quot;/&gt;&lt;wsp:rsid wsp:val=&quot;00374EEC&quot;/&gt;&lt;wsp:rsid wsp:val=&quot;00375CBF&quot;/&gt;&lt;wsp:rsid wsp:val=&quot;00376851&quot;/&gt;&lt;wsp:rsid wsp:val=&quot;00376BA6&quot;/&gt;&lt;wsp:rsid wsp:val=&quot;00377DE0&quot;/&gt;&lt;wsp:rsid wsp:val=&quot;00380159&quot;/&gt;&lt;wsp:rsid wsp:val=&quot;003821AF&quot;/&gt;&lt;wsp:rsid wsp:val=&quot;0038220B&quot;/&gt;&lt;wsp:rsid wsp:val=&quot;00383602&quot;/&gt;&lt;wsp:rsid wsp:val=&quot;00384108&quot;/&gt;&lt;wsp:rsid wsp:val=&quot;0038509E&quot;/&gt;&lt;wsp:rsid wsp:val=&quot;0038546A&quot;/&gt;&lt;wsp:rsid wsp:val=&quot;003903B9&quot;/&gt;&lt;wsp:rsid wsp:val=&quot;00390982&quot;/&gt;&lt;wsp:rsid wsp:val=&quot;003918CE&quot;/&gt;&lt;wsp:rsid wsp:val=&quot;00391C2E&quot;/&gt;&lt;wsp:rsid wsp:val=&quot;00395EC6&quot;/&gt;&lt;wsp:rsid wsp:val=&quot;003A0BCB&quot;/&gt;&lt;wsp:rsid wsp:val=&quot;003A2347&quot;/&gt;&lt;wsp:rsid wsp:val=&quot;003A4BF1&quot;/&gt;&lt;wsp:rsid wsp:val=&quot;003A7D09&quot;/&gt;&lt;wsp:rsid wsp:val=&quot;003B2BBA&quot;/&gt;&lt;wsp:rsid wsp:val=&quot;003B2EC4&quot;/&gt;&lt;wsp:rsid wsp:val=&quot;003B2FE1&quot;/&gt;&lt;wsp:rsid wsp:val=&quot;003B468C&quot;/&gt;&lt;wsp:rsid wsp:val=&quot;003B6C9E&quot;/&gt;&lt;wsp:rsid wsp:val=&quot;003B7CAF&quot;/&gt;&lt;wsp:rsid wsp:val=&quot;003C013B&quot;/&gt;&lt;wsp:rsid wsp:val=&quot;003C061A&quot;/&gt;&lt;wsp:rsid wsp:val=&quot;003C1C69&quot;/&gt;&lt;wsp:rsid wsp:val=&quot;003C2720&quot;/&gt;&lt;wsp:rsid wsp:val=&quot;003C27F1&quot;/&gt;&lt;wsp:rsid wsp:val=&quot;003C3E95&quot;/&gt;&lt;wsp:rsid wsp:val=&quot;003C7581&quot;/&gt;&lt;wsp:rsid wsp:val=&quot;003C7DDE&quot;/&gt;&lt;wsp:rsid wsp:val=&quot;003D112B&quot;/&gt;&lt;wsp:rsid wsp:val=&quot;003D1BDE&quot;/&gt;&lt;wsp:rsid wsp:val=&quot;003D1C26&quot;/&gt;&lt;wsp:rsid wsp:val=&quot;003D20F0&quot;/&gt;&lt;wsp:rsid wsp:val=&quot;003D67F6&quot;/&gt;&lt;wsp:rsid wsp:val=&quot;003D7027&quot;/&gt;&lt;wsp:rsid wsp:val=&quot;003E0AD1&quot;/&gt;&lt;wsp:rsid wsp:val=&quot;003E15FB&quot;/&gt;&lt;wsp:rsid wsp:val=&quot;003E2A60&quot;/&gt;&lt;wsp:rsid wsp:val=&quot;003E3890&quot;/&gt;&lt;wsp:rsid wsp:val=&quot;003E40BA&quot;/&gt;&lt;wsp:rsid wsp:val=&quot;003E4222&quot;/&gt;&lt;wsp:rsid wsp:val=&quot;003F0D7C&quot;/&gt;&lt;wsp:rsid wsp:val=&quot;003F1747&quot;/&gt;&lt;wsp:rsid wsp:val=&quot;003F2975&quot;/&gt;&lt;wsp:rsid wsp:val=&quot;003F2DEE&quot;/&gt;&lt;wsp:rsid wsp:val=&quot;003F337C&quot;/&gt;&lt;wsp:rsid wsp:val=&quot;003F36F3&quot;/&gt;&lt;wsp:rsid wsp:val=&quot;003F5D5C&quot;/&gt;&lt;wsp:rsid wsp:val=&quot;003F60C7&quot;/&gt;&lt;wsp:rsid wsp:val=&quot;003F6986&quot;/&gt;&lt;wsp:rsid wsp:val=&quot;00400755&quot;/&gt;&lt;wsp:rsid wsp:val=&quot;00402AFE&quot;/&gt;&lt;wsp:rsid wsp:val=&quot;004038BC&quot;/&gt;&lt;wsp:rsid wsp:val=&quot;00404F59&quot;/&gt;&lt;wsp:rsid wsp:val=&quot;004059C1&quot;/&gt;&lt;wsp:rsid wsp:val=&quot;004061E2&quot;/&gt;&lt;wsp:rsid wsp:val=&quot;00406C49&quot;/&gt;&lt;wsp:rsid wsp:val=&quot;00410F30&quot;/&gt;&lt;wsp:rsid wsp:val=&quot;004113CF&quot;/&gt;&lt;wsp:rsid wsp:val=&quot;004125C8&quot;/&gt;&lt;wsp:rsid wsp:val=&quot;0041317F&quot;/&gt;&lt;wsp:rsid wsp:val=&quot;0041492F&quot;/&gt;&lt;wsp:rsid wsp:val=&quot;0041523D&quot;/&gt;&lt;wsp:rsid wsp:val=&quot;00416545&quot;/&gt;&lt;wsp:rsid wsp:val=&quot;0041654A&quot;/&gt;&lt;wsp:rsid wsp:val=&quot;00416795&quot;/&gt;&lt;wsp:rsid wsp:val=&quot;00417D1D&quot;/&gt;&lt;wsp:rsid wsp:val=&quot;00420B31&quot;/&gt;&lt;wsp:rsid wsp:val=&quot;004229B6&quot;/&gt;&lt;wsp:rsid wsp:val=&quot;00424CB4&quot;/&gt;&lt;wsp:rsid wsp:val=&quot;00425E0D&quot;/&gt;&lt;wsp:rsid wsp:val=&quot;004270C9&quot;/&gt;&lt;wsp:rsid wsp:val=&quot;00427B99&quot;/&gt;&lt;wsp:rsid wsp:val=&quot;00427DDA&quot;/&gt;&lt;wsp:rsid wsp:val=&quot;00432AC9&quot;/&gt;&lt;wsp:rsid wsp:val=&quot;00433118&quot;/&gt;&lt;wsp:rsid wsp:val=&quot;0043505A&quot;/&gt;&lt;wsp:rsid wsp:val=&quot;00436247&quot;/&gt;&lt;wsp:rsid wsp:val=&quot;00436DD4&quot;/&gt;&lt;wsp:rsid wsp:val=&quot;00437A35&quot;/&gt;&lt;wsp:rsid wsp:val=&quot;004403F7&quot;/&gt;&lt;wsp:rsid wsp:val=&quot;00441692&quot;/&gt;&lt;wsp:rsid wsp:val=&quot;00442544&quot;/&gt;&lt;wsp:rsid wsp:val=&quot;00443C8F&quot;/&gt;&lt;wsp:rsid wsp:val=&quot;004451CC&quot;/&gt;&lt;wsp:rsid wsp:val=&quot;00447194&quot;/&gt;&lt;wsp:rsid wsp:val=&quot;004479EA&quot;/&gt;&lt;wsp:rsid wsp:val=&quot;00452D49&quot;/&gt;&lt;wsp:rsid wsp:val=&quot;0045353B&quot;/&gt;&lt;wsp:rsid wsp:val=&quot;00453EC9&quot;/&gt;&lt;wsp:rsid wsp:val=&quot;004553FA&quot;/&gt;&lt;wsp:rsid wsp:val=&quot;004559EB&quot;/&gt;&lt;wsp:rsid wsp:val=&quot;00456AC4&quot;/&gt;&lt;wsp:rsid wsp:val=&quot;004570B7&quot;/&gt;&lt;wsp:rsid wsp:val=&quot;004575FC&quot;/&gt;&lt;wsp:rsid wsp:val=&quot;00462818&quot;/&gt;&lt;wsp:rsid wsp:val=&quot;004635A5&quot;/&gt;&lt;wsp:rsid wsp:val=&quot;004639EC&quot;/&gt;&lt;wsp:rsid wsp:val=&quot;00463ADF&quot;/&gt;&lt;wsp:rsid wsp:val=&quot;00470CE6&quot;/&gt;&lt;wsp:rsid wsp:val=&quot;00471049&quot;/&gt;&lt;wsp:rsid wsp:val=&quot;004730ED&quot;/&gt;&lt;wsp:rsid wsp:val=&quot;00473194&quot;/&gt;&lt;wsp:rsid wsp:val=&quot;0047668A&quot;/&gt;&lt;wsp:rsid wsp:val=&quot;00477693&quot;/&gt;&lt;wsp:rsid wsp:val=&quot;00477A41&quot;/&gt;&lt;wsp:rsid wsp:val=&quot;00481877&quot;/&gt;&lt;wsp:rsid wsp:val=&quot;00482620&quot;/&gt;&lt;wsp:rsid wsp:val=&quot;004903C5&quot;/&gt;&lt;wsp:rsid wsp:val=&quot;004911E0&quot;/&gt;&lt;wsp:rsid wsp:val=&quot;00492B52&quot;/&gt;&lt;wsp:rsid wsp:val=&quot;00493463&quot;/&gt;&lt;wsp:rsid wsp:val=&quot;00494E38&quot;/&gt;&lt;wsp:rsid wsp:val=&quot;00494F06&quot;/&gt;&lt;wsp:rsid wsp:val=&quot;004950D0&quot;/&gt;&lt;wsp:rsid wsp:val=&quot;00495570&quot;/&gt;&lt;wsp:rsid wsp:val=&quot;004959C9&quot;/&gt;&lt;wsp:rsid wsp:val=&quot;00495CDF&quot;/&gt;&lt;wsp:rsid wsp:val=&quot;00495F47&quot;/&gt;&lt;wsp:rsid wsp:val=&quot;004A1A36&quot;/&gt;&lt;wsp:rsid wsp:val=&quot;004A1E3B&quot;/&gt;&lt;wsp:rsid wsp:val=&quot;004A32E3&quot;/&gt;&lt;wsp:rsid wsp:val=&quot;004A40DC&quot;/&gt;&lt;wsp:rsid wsp:val=&quot;004A4226&quot;/&gt;&lt;wsp:rsid wsp:val=&quot;004A567F&quot;/&gt;&lt;wsp:rsid wsp:val=&quot;004A6F9E&quot;/&gt;&lt;wsp:rsid wsp:val=&quot;004A7D6A&quot;/&gt;&lt;wsp:rsid wsp:val=&quot;004B0704&quot;/&gt;&lt;wsp:rsid wsp:val=&quot;004B1334&quot;/&gt;&lt;wsp:rsid wsp:val=&quot;004B1F8E&quot;/&gt;&lt;wsp:rsid wsp:val=&quot;004B4009&quot;/&gt;&lt;wsp:rsid wsp:val=&quot;004B44C8&quot;/&gt;&lt;wsp:rsid wsp:val=&quot;004B5FA2&quot;/&gt;&lt;wsp:rsid wsp:val=&quot;004B6144&quot;/&gt;&lt;wsp:rsid wsp:val=&quot;004B7A44&quot;/&gt;&lt;wsp:rsid wsp:val=&quot;004B7EA8&quot;/&gt;&lt;wsp:rsid wsp:val=&quot;004C0459&quot;/&gt;&lt;wsp:rsid wsp:val=&quot;004C0C49&quot;/&gt;&lt;wsp:rsid wsp:val=&quot;004C1B41&quot;/&gt;&lt;wsp:rsid wsp:val=&quot;004C1EDA&quot;/&gt;&lt;wsp:rsid wsp:val=&quot;004C2F04&quot;/&gt;&lt;wsp:rsid wsp:val=&quot;004C2F0D&quot;/&gt;&lt;wsp:rsid wsp:val=&quot;004C55F5&quot;/&gt;&lt;wsp:rsid wsp:val=&quot;004C5FD9&quot;/&gt;&lt;wsp:rsid wsp:val=&quot;004C7945&quot;/&gt;&lt;wsp:rsid wsp:val=&quot;004D1872&quot;/&gt;&lt;wsp:rsid wsp:val=&quot;004D4062&quot;/&gt;&lt;wsp:rsid wsp:val=&quot;004D6BF3&quot;/&gt;&lt;wsp:rsid wsp:val=&quot;004E0280&quot;/&gt;&lt;wsp:rsid wsp:val=&quot;004E0587&quot;/&gt;&lt;wsp:rsid wsp:val=&quot;004E5A4C&quot;/&gt;&lt;wsp:rsid wsp:val=&quot;004E5BD4&quot;/&gt;&lt;wsp:rsid wsp:val=&quot;004E6267&quot;/&gt;&lt;wsp:rsid wsp:val=&quot;004E6B8A&quot;/&gt;&lt;wsp:rsid wsp:val=&quot;004E72E9&quot;/&gt;&lt;wsp:rsid wsp:val=&quot;004F14A8&quot;/&gt;&lt;wsp:rsid wsp:val=&quot;004F24E3&quot;/&gt;&lt;wsp:rsid wsp:val=&quot;004F25A4&quot;/&gt;&lt;wsp:rsid wsp:val=&quot;004F2BD5&quot;/&gt;&lt;wsp:rsid wsp:val=&quot;004F3546&quot;/&gt;&lt;wsp:rsid wsp:val=&quot;004F3CC6&quot;/&gt;&lt;wsp:rsid wsp:val=&quot;004F4F49&quot;/&gt;&lt;wsp:rsid wsp:val=&quot;004F76F4&quot;/&gt;&lt;wsp:rsid wsp:val=&quot;00500289&quot;/&gt;&lt;wsp:rsid wsp:val=&quot;0050087B&quot;/&gt;&lt;wsp:rsid wsp:val=&quot;00500EC4&quot;/&gt;&lt;wsp:rsid wsp:val=&quot;005014BC&quot;/&gt;&lt;wsp:rsid wsp:val=&quot;00501F3D&quot;/&gt;&lt;wsp:rsid wsp:val=&quot;00503B47&quot;/&gt;&lt;wsp:rsid wsp:val=&quot;005043F1&quot;/&gt;&lt;wsp:rsid wsp:val=&quot;0050513E&quot;/&gt;&lt;wsp:rsid wsp:val=&quot;00506C27&quot;/&gt;&lt;wsp:rsid wsp:val=&quot;0050739D&quot;/&gt;&lt;wsp:rsid wsp:val=&quot;005074C3&quot;/&gt;&lt;wsp:rsid wsp:val=&quot;00511FF4&quot;/&gt;&lt;wsp:rsid wsp:val=&quot;00513419&quot;/&gt;&lt;wsp:rsid wsp:val=&quot;0051404E&quot;/&gt;&lt;wsp:rsid wsp:val=&quot;005151A5&quot;/&gt;&lt;wsp:rsid wsp:val=&quot;005154E2&quot;/&gt;&lt;wsp:rsid wsp:val=&quot;00515842&quot;/&gt;&lt;wsp:rsid wsp:val=&quot;00521330&quot;/&gt;&lt;wsp:rsid wsp:val=&quot;00521818&quot;/&gt;&lt;wsp:rsid wsp:val=&quot;00522337&quot;/&gt;&lt;wsp:rsid wsp:val=&quot;00523279&quot;/&gt;&lt;wsp:rsid wsp:val=&quot;005236A5&quot;/&gt;&lt;wsp:rsid wsp:val=&quot;00523982&quot;/&gt;&lt;wsp:rsid wsp:val=&quot;0052454A&quot;/&gt;&lt;wsp:rsid wsp:val=&quot;0052614D&quot;/&gt;&lt;wsp:rsid wsp:val=&quot;005262B2&quot;/&gt;&lt;wsp:rsid wsp:val=&quot;00526F45&quot;/&gt;&lt;wsp:rsid wsp:val=&quot;00530646&quot;/&gt;&lt;wsp:rsid wsp:val=&quot;00531FDA&quot;/&gt;&lt;wsp:rsid wsp:val=&quot;00532D92&quot;/&gt;&lt;wsp:rsid wsp:val=&quot;005354AD&quot;/&gt;&lt;wsp:rsid wsp:val=&quot;00537292&quot;/&gt;&lt;wsp:rsid wsp:val=&quot;00537DC3&quot;/&gt;&lt;wsp:rsid wsp:val=&quot;005405C7&quot;/&gt;&lt;wsp:rsid wsp:val=&quot;00540F31&quot;/&gt;&lt;wsp:rsid wsp:val=&quot;005411F0&quot;/&gt;&lt;wsp:rsid wsp:val=&quot;00541793&quot;/&gt;&lt;wsp:rsid wsp:val=&quot;00542267&quot;/&gt;&lt;wsp:rsid wsp:val=&quot;0054471F&quot;/&gt;&lt;wsp:rsid wsp:val=&quot;00545B44&quot;/&gt;&lt;wsp:rsid wsp:val=&quot;00546FA1&quot;/&gt;&lt;wsp:rsid wsp:val=&quot;00550DDA&quot;/&gt;&lt;wsp:rsid wsp:val=&quot;00552F18&quot;/&gt;&lt;wsp:rsid wsp:val=&quot;0055424A&quot;/&gt;&lt;wsp:rsid wsp:val=&quot;0055438E&quot;/&gt;&lt;wsp:rsid wsp:val=&quot;0055689E&quot;/&gt;&lt;wsp:rsid wsp:val=&quot;0055789D&quot;/&gt;&lt;wsp:rsid wsp:val=&quot;00561462&quot;/&gt;&lt;wsp:rsid wsp:val=&quot;00562F5B&quot;/&gt;&lt;wsp:rsid wsp:val=&quot;00562FDD&quot;/&gt;&lt;wsp:rsid wsp:val=&quot;00566C62&quot;/&gt;&lt;wsp:rsid wsp:val=&quot;00566EA7&quot;/&gt;&lt;wsp:rsid wsp:val=&quot;005752B5&quot;/&gt;&lt;wsp:rsid wsp:val=&quot;00575533&quot;/&gt;&lt;wsp:rsid wsp:val=&quot;00575C24&quot;/&gt;&lt;wsp:rsid wsp:val=&quot;00576046&quot;/&gt;&lt;wsp:rsid wsp:val=&quot;00576FA2&quot;/&gt;&lt;wsp:rsid wsp:val=&quot;00582CF5&quot;/&gt;&lt;wsp:rsid wsp:val=&quot;0058342B&quot;/&gt;&lt;wsp:rsid wsp:val=&quot;005835BC&quot;/&gt;&lt;wsp:rsid wsp:val=&quot;00584863&quot;/&gt;&lt;wsp:rsid wsp:val=&quot;00584B0C&quot;/&gt;&lt;wsp:rsid wsp:val=&quot;0059557A&quot;/&gt;&lt;wsp:rsid wsp:val=&quot;005956C1&quot;/&gt;&lt;wsp:rsid wsp:val=&quot;00595A6D&quot;/&gt;&lt;wsp:rsid wsp:val=&quot;00596871&quot;/&gt;&lt;wsp:rsid wsp:val=&quot;005A0651&quot;/&gt;&lt;wsp:rsid wsp:val=&quot;005A0CB4&quot;/&gt;&lt;wsp:rsid wsp:val=&quot;005A31D7&quot;/&gt;&lt;wsp:rsid wsp:val=&quot;005A376E&quot;/&gt;&lt;wsp:rsid wsp:val=&quot;005A4ECE&quot;/&gt;&lt;wsp:rsid wsp:val=&quot;005A5BE0&quot;/&gt;&lt;wsp:rsid wsp:val=&quot;005A625C&quot;/&gt;&lt;wsp:rsid wsp:val=&quot;005B014D&quot;/&gt;&lt;wsp:rsid wsp:val=&quot;005B135D&quot;/&gt;&lt;wsp:rsid wsp:val=&quot;005B1C6B&quot;/&gt;&lt;wsp:rsid wsp:val=&quot;005B28A2&quot;/&gt;&lt;wsp:rsid wsp:val=&quot;005B3107&quot;/&gt;&lt;wsp:rsid wsp:val=&quot;005B49EA&quot;/&gt;&lt;wsp:rsid wsp:val=&quot;005B4D9A&quot;/&gt;&lt;wsp:rsid wsp:val=&quot;005B6FA6&quot;/&gt;&lt;wsp:rsid wsp:val=&quot;005B723F&quot;/&gt;&lt;wsp:rsid wsp:val=&quot;005B74D8&quot;/&gt;&lt;wsp:rsid wsp:val=&quot;005C1C54&quot;/&gt;&lt;wsp:rsid wsp:val=&quot;005C48C1&quot;/&gt;&lt;wsp:rsid wsp:val=&quot;005C509B&quot;/&gt;&lt;wsp:rsid wsp:val=&quot;005C6037&quot;/&gt;&lt;wsp:rsid wsp:val=&quot;005C6781&quot;/&gt;&lt;wsp:rsid wsp:val=&quot;005C704A&quot;/&gt;&lt;wsp:rsid wsp:val=&quot;005C73CD&quot;/&gt;&lt;wsp:rsid wsp:val=&quot;005D01AC&quot;/&gt;&lt;wsp:rsid wsp:val=&quot;005D0559&quot;/&gt;&lt;wsp:rsid wsp:val=&quot;005D0761&quot;/&gt;&lt;wsp:rsid wsp:val=&quot;005D2D4C&quot;/&gt;&lt;wsp:rsid wsp:val=&quot;005D3312&quot;/&gt;&lt;wsp:rsid wsp:val=&quot;005D5AE4&quot;/&gt;&lt;wsp:rsid wsp:val=&quot;005D69F2&quot;/&gt;&lt;wsp:rsid wsp:val=&quot;005D7561&quot;/&gt;&lt;wsp:rsid wsp:val=&quot;005E0540&quot;/&gt;&lt;wsp:rsid wsp:val=&quot;005E096C&quot;/&gt;&lt;wsp:rsid wsp:val=&quot;005E66EE&quot;/&gt;&lt;wsp:rsid wsp:val=&quot;005E6E68&quot;/&gt;&lt;wsp:rsid wsp:val=&quot;005E757C&quot;/&gt;&lt;wsp:rsid wsp:val=&quot;005F161D&quot;/&gt;&lt;wsp:rsid wsp:val=&quot;005F1B1B&quot;/&gt;&lt;wsp:rsid wsp:val=&quot;005F2BC5&quot;/&gt;&lt;wsp:rsid wsp:val=&quot;005F3C75&quot;/&gt;&lt;wsp:rsid wsp:val=&quot;005F4BB6&quot;/&gt;&lt;wsp:rsid wsp:val=&quot;005F717D&quot;/&gt;&lt;wsp:rsid wsp:val=&quot;00600E7F&quot;/&gt;&lt;wsp:rsid wsp:val=&quot;00601981&quot;/&gt;&lt;wsp:rsid wsp:val=&quot;00601BE7&quot;/&gt;&lt;wsp:rsid wsp:val=&quot;00602C40&quot;/&gt;&lt;wsp:rsid wsp:val=&quot;006035C1&quot;/&gt;&lt;wsp:rsid wsp:val=&quot;006036B2&quot;/&gt;&lt;wsp:rsid wsp:val=&quot;006055F2&quot;/&gt;&lt;wsp:rsid wsp:val=&quot;0060684C&quot;/&gt;&lt;wsp:rsid wsp:val=&quot;00610760&quot;/&gt;&lt;wsp:rsid wsp:val=&quot;00611512&quot;/&gt;&lt;wsp:rsid wsp:val=&quot;00611EF1&quot;/&gt;&lt;wsp:rsid wsp:val=&quot;00611F2B&quot;/&gt;&lt;wsp:rsid wsp:val=&quot;00612799&quot;/&gt;&lt;wsp:rsid wsp:val=&quot;00613065&quot;/&gt;&lt;wsp:rsid wsp:val=&quot;00613957&quot;/&gt;&lt;wsp:rsid wsp:val=&quot;0061796A&quot;/&gt;&lt;wsp:rsid wsp:val=&quot;00620438&quot;/&gt;&lt;wsp:rsid wsp:val=&quot;00621211&quot;/&gt;&lt;wsp:rsid wsp:val=&quot;006213E9&quot;/&gt;&lt;wsp:rsid wsp:val=&quot;0062169C&quot;/&gt;&lt;wsp:rsid wsp:val=&quot;00622073&quot;/&gt;&lt;wsp:rsid wsp:val=&quot;00622C14&quot;/&gt;&lt;wsp:rsid wsp:val=&quot;00623288&quot;/&gt;&lt;wsp:rsid wsp:val=&quot;006246FC&quot;/&gt;&lt;wsp:rsid wsp:val=&quot;00624EDC&quot;/&gt;&lt;wsp:rsid wsp:val=&quot;00625F51&quot;/&gt;&lt;wsp:rsid wsp:val=&quot;0062772F&quot;/&gt;&lt;wsp:rsid wsp:val=&quot;00630538&quot;/&gt;&lt;wsp:rsid wsp:val=&quot;00630B07&quot;/&gt;&lt;wsp:rsid wsp:val=&quot;00631938&quot;/&gt;&lt;wsp:rsid wsp:val=&quot;00632B3E&quot;/&gt;&lt;wsp:rsid wsp:val=&quot;00635A69&quot;/&gt;&lt;wsp:rsid wsp:val=&quot;00637028&quot;/&gt;&lt;wsp:rsid wsp:val=&quot;0063729C&quot;/&gt;&lt;wsp:rsid wsp:val=&quot;0064140A&quot;/&gt;&lt;wsp:rsid wsp:val=&quot;00641CD8&quot;/&gt;&lt;wsp:rsid wsp:val=&quot;00642761&quot;/&gt;&lt;wsp:rsid wsp:val=&quot;006441F1&quot;/&gt;&lt;wsp:rsid wsp:val=&quot;00644CE4&quot;/&gt;&lt;wsp:rsid wsp:val=&quot;00645CC3&quot;/&gt;&lt;wsp:rsid wsp:val=&quot;00645F6C&quot;/&gt;&lt;wsp:rsid wsp:val=&quot;00652B62&quot;/&gt;&lt;wsp:rsid wsp:val=&quot;00653CEE&quot;/&gt;&lt;wsp:rsid wsp:val=&quot;00653F32&quot;/&gt;&lt;wsp:rsid wsp:val=&quot;00654E4C&quot;/&gt;&lt;wsp:rsid wsp:val=&quot;0065552F&quot;/&gt;&lt;wsp:rsid wsp:val=&quot;00655F96&quot;/&gt;&lt;wsp:rsid wsp:val=&quot;00657DE8&quot;/&gt;&lt;wsp:rsid wsp:val=&quot;006605AF&quot;/&gt;&lt;wsp:rsid wsp:val=&quot;00661C9D&quot;/&gt;&lt;wsp:rsid wsp:val=&quot;00662FB2&quot;/&gt;&lt;wsp:rsid wsp:val=&quot;00662FFF&quot;/&gt;&lt;wsp:rsid wsp:val=&quot;006645AE&quot;/&gt;&lt;wsp:rsid wsp:val=&quot;0066582C&quot;/&gt;&lt;wsp:rsid wsp:val=&quot;00666A80&quot;/&gt;&lt;wsp:rsid wsp:val=&quot;006715ED&quot;/&gt;&lt;wsp:rsid wsp:val=&quot;00673195&quot;/&gt;&lt;wsp:rsid wsp:val=&quot;00673C90&quot;/&gt;&lt;wsp:rsid wsp:val=&quot;00674631&quot;/&gt;&lt;wsp:rsid wsp:val=&quot;00674F7E&quot;/&gt;&lt;wsp:rsid wsp:val=&quot;0067522E&quot;/&gt;&lt;wsp:rsid wsp:val=&quot;00675363&quot;/&gt;&lt;wsp:rsid wsp:val=&quot;006757EA&quot;/&gt;&lt;wsp:rsid wsp:val=&quot;006762B4&quot;/&gt;&lt;wsp:rsid wsp:val=&quot;006771ED&quot;/&gt;&lt;wsp:rsid wsp:val=&quot;00677F44&quot;/&gt;&lt;wsp:rsid wsp:val=&quot;006808BA&quot;/&gt;&lt;wsp:rsid wsp:val=&quot;00680AF8&quot;/&gt;&lt;wsp:rsid wsp:val=&quot;006812B3&quot;/&gt;&lt;wsp:rsid wsp:val=&quot;00681F28&quot;/&gt;&lt;wsp:rsid wsp:val=&quot;00682101&quot;/&gt;&lt;wsp:rsid wsp:val=&quot;006826A9&quot;/&gt;&lt;wsp:rsid wsp:val=&quot;00682941&quot;/&gt;&lt;wsp:rsid wsp:val=&quot;00682E05&quot;/&gt;&lt;wsp:rsid wsp:val=&quot;00683AB8&quot;/&gt;&lt;wsp:rsid wsp:val=&quot;00685F96&quot;/&gt;&lt;wsp:rsid wsp:val=&quot;006867E2&quot;/&gt;&lt;wsp:rsid wsp:val=&quot;00687308&quot;/&gt;&lt;wsp:rsid wsp:val=&quot;00690433&quot;/&gt;&lt;wsp:rsid wsp:val=&quot;006908ED&quot;/&gt;&lt;wsp:rsid wsp:val=&quot;00690D28&quot;/&gt;&lt;wsp:rsid wsp:val=&quot;00691505&quot;/&gt;&lt;wsp:rsid wsp:val=&quot;006932EB&quot;/&gt;&lt;wsp:rsid wsp:val=&quot;00693E01&quot;/&gt;&lt;wsp:rsid wsp:val=&quot;006956B7&quot;/&gt;&lt;wsp:rsid wsp:val=&quot;00696991&quot;/&gt;&lt;wsp:rsid wsp:val=&quot;006973E9&quot;/&gt;&lt;wsp:rsid wsp:val=&quot;006A0471&quot;/&gt;&lt;wsp:rsid wsp:val=&quot;006A1D97&quot;/&gt;&lt;wsp:rsid wsp:val=&quot;006A2566&quot;/&gt;&lt;wsp:rsid wsp:val=&quot;006A3487&quot;/&gt;&lt;wsp:rsid wsp:val=&quot;006A4307&quot;/&gt;&lt;wsp:rsid wsp:val=&quot;006A45C4&quot;/&gt;&lt;wsp:rsid wsp:val=&quot;006A5262&quot;/&gt;&lt;wsp:rsid wsp:val=&quot;006A5CA2&quot;/&gt;&lt;wsp:rsid wsp:val=&quot;006A67C4&quot;/&gt;&lt;wsp:rsid wsp:val=&quot;006A7876&quot;/&gt;&lt;wsp:rsid wsp:val=&quot;006A79F9&quot;/&gt;&lt;wsp:rsid wsp:val=&quot;006B15C0&quot;/&gt;&lt;wsp:rsid wsp:val=&quot;006B1B4C&quot;/&gt;&lt;wsp:rsid wsp:val=&quot;006B3B78&quot;/&gt;&lt;wsp:rsid wsp:val=&quot;006B3C11&quot;/&gt;&lt;wsp:rsid wsp:val=&quot;006B3F8D&quot;/&gt;&lt;wsp:rsid wsp:val=&quot;006B4425&quot;/&gt;&lt;wsp:rsid wsp:val=&quot;006C2671&quot;/&gt;&lt;wsp:rsid wsp:val=&quot;006C27BB&quot;/&gt;&lt;wsp:rsid wsp:val=&quot;006C55A6&quot;/&gt;&lt;wsp:rsid wsp:val=&quot;006C6680&quot;/&gt;&lt;wsp:rsid wsp:val=&quot;006D07A7&quot;/&gt;&lt;wsp:rsid wsp:val=&quot;006D4E40&quot;/&gt;&lt;wsp:rsid wsp:val=&quot;006D5D2B&quot;/&gt;&lt;wsp:rsid wsp:val=&quot;006D70A5&quot;/&gt;&lt;wsp:rsid wsp:val=&quot;006E2003&quot;/&gt;&lt;wsp:rsid wsp:val=&quot;006E2B4F&quot;/&gt;&lt;wsp:rsid wsp:val=&quot;006E373B&quot;/&gt;&lt;wsp:rsid wsp:val=&quot;006E5767&quot;/&gt;&lt;wsp:rsid wsp:val=&quot;006E6A45&quot;/&gt;&lt;wsp:rsid wsp:val=&quot;006F0E30&quot;/&gt;&lt;wsp:rsid wsp:val=&quot;006F13C0&quot;/&gt;&lt;wsp:rsid wsp:val=&quot;006F1DC4&quot;/&gt;&lt;wsp:rsid wsp:val=&quot;006F2071&quot;/&gt;&lt;wsp:rsid wsp:val=&quot;006F3260&quot;/&gt;&lt;wsp:rsid wsp:val=&quot;006F4E16&quot;/&gt;&lt;wsp:rsid wsp:val=&quot;006F5FC8&quot;/&gt;&lt;wsp:rsid wsp:val=&quot;006F6039&quot;/&gt;&lt;wsp:rsid wsp:val=&quot;00701621&quot;/&gt;&lt;wsp:rsid wsp:val=&quot;007032C6&quot;/&gt;&lt;wsp:rsid wsp:val=&quot;00703DB7&quot;/&gt;&lt;wsp:rsid wsp:val=&quot;0070622E&quot;/&gt;&lt;wsp:rsid wsp:val=&quot;00706A77&quot;/&gt;&lt;wsp:rsid wsp:val=&quot;00707894&quot;/&gt;&lt;wsp:rsid wsp:val=&quot;00711959&quot;/&gt;&lt;wsp:rsid wsp:val=&quot;00712694&quot;/&gt;&lt;wsp:rsid wsp:val=&quot;007138C4&quot;/&gt;&lt;wsp:rsid wsp:val=&quot;00716DA8&quot;/&gt;&lt;wsp:rsid wsp:val=&quot;00717D15&quot;/&gt;&lt;wsp:rsid wsp:val=&quot;0072291E&quot;/&gt;&lt;wsp:rsid wsp:val=&quot;00723B92&quot;/&gt;&lt;wsp:rsid wsp:val=&quot;00724398&quot;/&gt;&lt;wsp:rsid wsp:val=&quot;00726B84&quot;/&gt;&lt;wsp:rsid wsp:val=&quot;00730B8B&quot;/&gt;&lt;wsp:rsid wsp:val=&quot;00731C1D&quot;/&gt;&lt;wsp:rsid wsp:val=&quot;00733741&quot;/&gt;&lt;wsp:rsid wsp:val=&quot;007337F0&quot;/&gt;&lt;wsp:rsid wsp:val=&quot;0073409A&quot;/&gt;&lt;wsp:rsid wsp:val=&quot;007347C9&quot;/&gt;&lt;wsp:rsid wsp:val=&quot;00734841&quot;/&gt;&lt;wsp:rsid wsp:val=&quot;00735FE6&quot;/&gt;&lt;wsp:rsid wsp:val=&quot;00736C09&quot;/&gt;&lt;wsp:rsid wsp:val=&quot;00737B18&quot;/&gt;&lt;wsp:rsid wsp:val=&quot;00740561&quot;/&gt;&lt;wsp:rsid wsp:val=&quot;00740824&quot;/&gt;&lt;wsp:rsid wsp:val=&quot;00740D72&quot;/&gt;&lt;wsp:rsid wsp:val=&quot;00741215&quot;/&gt;&lt;wsp:rsid wsp:val=&quot;00741F91&quot;/&gt;&lt;wsp:rsid wsp:val=&quot;0074389F&quot;/&gt;&lt;wsp:rsid wsp:val=&quot;00745631&quot;/&gt;&lt;wsp:rsid wsp:val=&quot;00745903&quot;/&gt;&lt;wsp:rsid wsp:val=&quot;00745F44&quot;/&gt;&lt;wsp:rsid wsp:val=&quot;00747826&quot;/&gt;&lt;wsp:rsid wsp:val=&quot;00753C4B&quot;/&gt;&lt;wsp:rsid wsp:val=&quot;00753CF5&quot;/&gt;&lt;wsp:rsid wsp:val=&quot;00755AFF&quot;/&gt;&lt;wsp:rsid wsp:val=&quot;00755C75&quot;/&gt;&lt;wsp:rsid wsp:val=&quot;00757EA9&quot;/&gt;&lt;wsp:rsid wsp:val=&quot;00760E13&quot;/&gt;&lt;wsp:rsid wsp:val=&quot;007614BD&quot;/&gt;&lt;wsp:rsid wsp:val=&quot;0076401A&quot;/&gt;&lt;wsp:rsid wsp:val=&quot;007650F6&quot;/&gt;&lt;wsp:rsid wsp:val=&quot;007658D6&quot;/&gt;&lt;wsp:rsid wsp:val=&quot;00765A82&quot;/&gt;&lt;wsp:rsid wsp:val=&quot;00773044&quot;/&gt;&lt;wsp:rsid wsp:val=&quot;00775BDB&quot;/&gt;&lt;wsp:rsid wsp:val=&quot;0078071A&quot;/&gt;&lt;wsp:rsid wsp:val=&quot;00782119&quot;/&gt;&lt;wsp:rsid wsp:val=&quot;00782339&quot;/&gt;&lt;wsp:rsid wsp:val=&quot;00782EE1&quot;/&gt;&lt;wsp:rsid wsp:val=&quot;007831B5&quot;/&gt;&lt;wsp:rsid wsp:val=&quot;0078378B&quot;/&gt;&lt;wsp:rsid wsp:val=&quot;007847A2&quot;/&gt;&lt;wsp:rsid wsp:val=&quot;00785379&quot;/&gt;&lt;wsp:rsid wsp:val=&quot;007869D6&quot;/&gt;&lt;wsp:rsid wsp:val=&quot;00787DB4&quot;/&gt;&lt;wsp:rsid wsp:val=&quot;007901A7&quot;/&gt;&lt;wsp:rsid wsp:val=&quot;00791791&quot;/&gt;&lt;wsp:rsid wsp:val=&quot;00791869&quot;/&gt;&lt;wsp:rsid wsp:val=&quot;00791D76&quot;/&gt;&lt;wsp:rsid wsp:val=&quot;00793DEE&quot;/&gt;&lt;wsp:rsid wsp:val=&quot;00794268&quot;/&gt;&lt;wsp:rsid wsp:val=&quot;00795063&quot;/&gt;&lt;wsp:rsid wsp:val=&quot;007956BF&quot;/&gt;&lt;wsp:rsid wsp:val=&quot;00795BFF&quot;/&gt;&lt;wsp:rsid wsp:val=&quot;007969F7&quot;/&gt;&lt;wsp:rsid wsp:val=&quot;00796A9C&quot;/&gt;&lt;wsp:rsid wsp:val=&quot;00796E2F&quot;/&gt;&lt;wsp:rsid wsp:val=&quot;007979AB&quot;/&gt;&lt;wsp:rsid wsp:val=&quot;007A122B&quot;/&gt;&lt;wsp:rsid wsp:val=&quot;007A26AE&quot;/&gt;&lt;wsp:rsid wsp:val=&quot;007A3D42&quot;/&gt;&lt;wsp:rsid wsp:val=&quot;007A41E6&quot;/&gt;&lt;wsp:rsid wsp:val=&quot;007A6F5A&quot;/&gt;&lt;wsp:rsid wsp:val=&quot;007B0028&quot;/&gt;&lt;wsp:rsid wsp:val=&quot;007B02E2&quot;/&gt;&lt;wsp:rsid wsp:val=&quot;007B1449&quot;/&gt;&lt;wsp:rsid wsp:val=&quot;007B1D16&quot;/&gt;&lt;wsp:rsid wsp:val=&quot;007B3962&quot;/&gt;&lt;wsp:rsid wsp:val=&quot;007B41E9&quot;/&gt;&lt;wsp:rsid wsp:val=&quot;007B5C7E&quot;/&gt;&lt;wsp:rsid wsp:val=&quot;007B6528&quot;/&gt;&lt;wsp:rsid wsp:val=&quot;007B6623&quot;/&gt;&lt;wsp:rsid wsp:val=&quot;007C04FC&quot;/&gt;&lt;wsp:rsid wsp:val=&quot;007C07D8&quot;/&gt;&lt;wsp:rsid wsp:val=&quot;007C421C&quot;/&gt;&lt;wsp:rsid wsp:val=&quot;007C464D&quot;/&gt;&lt;wsp:rsid wsp:val=&quot;007C479E&quot;/&gt;&lt;wsp:rsid wsp:val=&quot;007C4952&quot;/&gt;&lt;wsp:rsid wsp:val=&quot;007C5E49&quot;/&gt;&lt;wsp:rsid wsp:val=&quot;007C7D0D&quot;/&gt;&lt;wsp:rsid wsp:val=&quot;007D143E&quot;/&gt;&lt;wsp:rsid wsp:val=&quot;007D1C36&quot;/&gt;&lt;wsp:rsid wsp:val=&quot;007D1F76&quot;/&gt;&lt;wsp:rsid wsp:val=&quot;007D216B&quot;/&gt;&lt;wsp:rsid wsp:val=&quot;007D4B03&quot;/&gt;&lt;wsp:rsid wsp:val=&quot;007D6439&quot;/&gt;&lt;wsp:rsid wsp:val=&quot;007D7C23&quot;/&gt;&lt;wsp:rsid wsp:val=&quot;007D7DEF&quot;/&gt;&lt;wsp:rsid wsp:val=&quot;007E0068&quot;/&gt;&lt;wsp:rsid wsp:val=&quot;007E0DE7&quot;/&gt;&lt;wsp:rsid wsp:val=&quot;007E3528&quot;/&gt;&lt;wsp:rsid wsp:val=&quot;007E3C19&quot;/&gt;&lt;wsp:rsid wsp:val=&quot;007E587F&quot;/&gt;&lt;wsp:rsid wsp:val=&quot;007E5999&quot;/&gt;&lt;wsp:rsid wsp:val=&quot;007E661A&quot;/&gt;&lt;wsp:rsid wsp:val=&quot;007E6D34&quot;/&gt;&lt;wsp:rsid wsp:val=&quot;007E76E1&quot;/&gt;&lt;wsp:rsid wsp:val=&quot;007F1E8E&quot;/&gt;&lt;wsp:rsid wsp:val=&quot;007F41B7&quot;/&gt;&lt;wsp:rsid wsp:val=&quot;007F529B&quot;/&gt;&lt;wsp:rsid wsp:val=&quot;007F5BA5&quot;/&gt;&lt;wsp:rsid wsp:val=&quot;007F6068&quot;/&gt;&lt;wsp:rsid wsp:val=&quot;007F6245&quot;/&gt;&lt;wsp:rsid wsp:val=&quot;007F6CBF&quot;/&gt;&lt;wsp:rsid wsp:val=&quot;008016A9&quot;/&gt;&lt;wsp:rsid wsp:val=&quot;00801A24&quot;/&gt;&lt;wsp:rsid wsp:val=&quot;0080215A&quot;/&gt;&lt;wsp:rsid wsp:val=&quot;0080317A&quot;/&gt;&lt;wsp:rsid wsp:val=&quot;00803290&quot;/&gt;&lt;wsp:rsid wsp:val=&quot;008061BF&quot;/&gt;&lt;wsp:rsid wsp:val=&quot;0080631D&quot;/&gt;&lt;wsp:rsid wsp:val=&quot;00806D9E&quot;/&gt;&lt;wsp:rsid wsp:val=&quot;00807FDC&quot;/&gt;&lt;wsp:rsid wsp:val=&quot;00810DB0&quot;/&gt;&lt;wsp:rsid wsp:val=&quot;00811C59&quot;/&gt;&lt;wsp:rsid wsp:val=&quot;00812053&quot;/&gt;&lt;wsp:rsid wsp:val=&quot;00814AA6&quot;/&gt;&lt;wsp:rsid wsp:val=&quot;00815CCD&quot;/&gt;&lt;wsp:rsid wsp:val=&quot;00816826&quot;/&gt;&lt;wsp:rsid wsp:val=&quot;00816BB0&quot;/&gt;&lt;wsp:rsid wsp:val=&quot;008171C6&quot;/&gt;&lt;wsp:rsid wsp:val=&quot;00817D0A&quot;/&gt;&lt;wsp:rsid wsp:val=&quot;00821C8A&quot;/&gt;&lt;wsp:rsid wsp:val=&quot;00823615&quot;/&gt;&lt;wsp:rsid wsp:val=&quot;00823B28&quot;/&gt;&lt;wsp:rsid wsp:val=&quot;008246F0&quot;/&gt;&lt;wsp:rsid wsp:val=&quot;0082654A&quot;/&gt;&lt;wsp:rsid wsp:val=&quot;00826878&quot;/&gt;&lt;wsp:rsid wsp:val=&quot;008274B5&quot;/&gt;&lt;wsp:rsid wsp:val=&quot;008274C1&quot;/&gt;&lt;wsp:rsid wsp:val=&quot;008328CB&quot;/&gt;&lt;wsp:rsid wsp:val=&quot;0083299B&quot;/&gt;&lt;wsp:rsid wsp:val=&quot;0083419B&quot;/&gt;&lt;wsp:rsid wsp:val=&quot;00835965&quot;/&gt;&lt;wsp:rsid wsp:val=&quot;008363D1&quot;/&gt;&lt;wsp:rsid wsp:val=&quot;00836FFA&quot;/&gt;&lt;wsp:rsid wsp:val=&quot;0084204D&quot;/&gt;&lt;wsp:rsid wsp:val=&quot;00846F56&quot;/&gt;&lt;wsp:rsid wsp:val=&quot;008478AD&quot;/&gt;&lt;wsp:rsid wsp:val=&quot;00850D9C&quot;/&gt;&lt;wsp:rsid wsp:val=&quot;00851ADA&quot;/&gt;&lt;wsp:rsid wsp:val=&quot;00854E95&quot;/&gt;&lt;wsp:rsid wsp:val=&quot;00854ED8&quot;/&gt;&lt;wsp:rsid wsp:val=&quot;008553EC&quot;/&gt;&lt;wsp:rsid wsp:val=&quot;0085736C&quot;/&gt;&lt;wsp:rsid wsp:val=&quot;008578FF&quot;/&gt;&lt;wsp:rsid wsp:val=&quot;00860094&quot;/&gt;&lt;wsp:rsid wsp:val=&quot;00864C02&quot;/&gt;&lt;wsp:rsid wsp:val=&quot;008660B4&quot;/&gt;&lt;wsp:rsid wsp:val=&quot;00872201&quot;/&gt;&lt;wsp:rsid wsp:val=&quot;00872350&quot;/&gt;&lt;wsp:rsid wsp:val=&quot;008725D4&quot;/&gt;&lt;wsp:rsid wsp:val=&quot;00872F50&quot;/&gt;&lt;wsp:rsid wsp:val=&quot;00873656&quot;/&gt;&lt;wsp:rsid wsp:val=&quot;00874E16&quot;/&gt;&lt;wsp:rsid wsp:val=&quot;00875F0F&quot;/&gt;&lt;wsp:rsid wsp:val=&quot;00876061&quot;/&gt;&lt;wsp:rsid wsp:val=&quot;00876797&quot;/&gt;&lt;wsp:rsid wsp:val=&quot;00876DE4&quot;/&gt;&lt;wsp:rsid wsp:val=&quot;008806AE&quot;/&gt;&lt;wsp:rsid wsp:val=&quot;0088560B&quot;/&gt;&lt;wsp:rsid wsp:val=&quot;0088606D&quot;/&gt;&lt;wsp:rsid wsp:val=&quot;00886325&quot;/&gt;&lt;wsp:rsid wsp:val=&quot;00887284&quot;/&gt;&lt;wsp:rsid wsp:val=&quot;00890008&quot;/&gt;&lt;wsp:rsid wsp:val=&quot;00890CAB&quot;/&gt;&lt;wsp:rsid wsp:val=&quot;008A06AD&quot;/&gt;&lt;wsp:rsid wsp:val=&quot;008A0E9C&quot;/&gt;&lt;wsp:rsid wsp:val=&quot;008A3D3D&quot;/&gt;&lt;wsp:rsid wsp:val=&quot;008A47D8&quot;/&gt;&lt;wsp:rsid wsp:val=&quot;008A4818&quot;/&gt;&lt;wsp:rsid wsp:val=&quot;008A49D6&quot;/&gt;&lt;wsp:rsid wsp:val=&quot;008A5BD2&quot;/&gt;&lt;wsp:rsid wsp:val=&quot;008A74A1&quot;/&gt;&lt;wsp:rsid wsp:val=&quot;008B1431&quot;/&gt;&lt;wsp:rsid wsp:val=&quot;008B1BCC&quot;/&gt;&lt;wsp:rsid wsp:val=&quot;008B290F&quot;/&gt;&lt;wsp:rsid wsp:val=&quot;008B389F&quot;/&gt;&lt;wsp:rsid wsp:val=&quot;008B41B1&quot;/&gt;&lt;wsp:rsid wsp:val=&quot;008B4D51&quot;/&gt;&lt;wsp:rsid wsp:val=&quot;008B5C44&quot;/&gt;&lt;wsp:rsid wsp:val=&quot;008C00D6&quot;/&gt;&lt;wsp:rsid wsp:val=&quot;008C2489&quot;/&gt;&lt;wsp:rsid wsp:val=&quot;008C38D7&quot;/&gt;&lt;wsp:rsid wsp:val=&quot;008C3A15&quot;/&gt;&lt;wsp:rsid wsp:val=&quot;008C5256&quot;/&gt;&lt;wsp:rsid wsp:val=&quot;008C6367&quot;/&gt;&lt;wsp:rsid wsp:val=&quot;008C7E2D&quot;/&gt;&lt;wsp:rsid wsp:val=&quot;008D11DD&quot;/&gt;&lt;wsp:rsid wsp:val=&quot;008D13BF&quot;/&gt;&lt;wsp:rsid wsp:val=&quot;008D1E7E&quot;/&gt;&lt;wsp:rsid wsp:val=&quot;008D2448&quot;/&gt;&lt;wsp:rsid wsp:val=&quot;008D2608&quot;/&gt;&lt;wsp:rsid wsp:val=&quot;008D3FE1&quot;/&gt;&lt;wsp:rsid wsp:val=&quot;008D4C11&quot;/&gt;&lt;wsp:rsid wsp:val=&quot;008D520F&quot;/&gt;&lt;wsp:rsid wsp:val=&quot;008D7BC9&quot;/&gt;&lt;wsp:rsid wsp:val=&quot;008E4117&quot;/&gt;&lt;wsp:rsid wsp:val=&quot;008E5AE0&quot;/&gt;&lt;wsp:rsid wsp:val=&quot;008E5EE9&quot;/&gt;&lt;wsp:rsid wsp:val=&quot;008E62B2&quot;/&gt;&lt;wsp:rsid wsp:val=&quot;008E7253&quot;/&gt;&lt;wsp:rsid wsp:val=&quot;008F004C&quot;/&gt;&lt;wsp:rsid wsp:val=&quot;008F3D9D&quot;/&gt;&lt;wsp:rsid wsp:val=&quot;008F4124&quot;/&gt;&lt;wsp:rsid wsp:val=&quot;008F7E18&quot;/&gt;&lt;wsp:rsid wsp:val=&quot;00900052&quot;/&gt;&lt;wsp:rsid wsp:val=&quot;0090147F&quot;/&gt;&lt;wsp:rsid wsp:val=&quot;009021EF&quot;/&gt;&lt;wsp:rsid wsp:val=&quot;00902C13&quot;/&gt;&lt;wsp:rsid wsp:val=&quot;00902CCC&quot;/&gt;&lt;wsp:rsid wsp:val=&quot;00902DC1&quot;/&gt;&lt;wsp:rsid wsp:val=&quot;009033C4&quot;/&gt;&lt;wsp:rsid wsp:val=&quot;009062EF&quot;/&gt;&lt;wsp:rsid wsp:val=&quot;00911398&quot;/&gt;&lt;wsp:rsid wsp:val=&quot;00912E09&quot;/&gt;&lt;wsp:rsid wsp:val=&quot;00913E11&quot;/&gt;&lt;wsp:rsid wsp:val=&quot;009157C4&quot;/&gt;&lt;wsp:rsid wsp:val=&quot;00916D3C&quot;/&gt;&lt;wsp:rsid wsp:val=&quot;009176B5&quot;/&gt;&lt;wsp:rsid wsp:val=&quot;009177A0&quot;/&gt;&lt;wsp:rsid wsp:val=&quot;009200DC&quot;/&gt;&lt;wsp:rsid wsp:val=&quot;00920545&quot;/&gt;&lt;wsp:rsid wsp:val=&quot;0092160D&quot;/&gt;&lt;wsp:rsid wsp:val=&quot;009225EF&quot;/&gt;&lt;wsp:rsid wsp:val=&quot;009226BB&quot;/&gt;&lt;wsp:rsid wsp:val=&quot;00924C93&quot;/&gt;&lt;wsp:rsid wsp:val=&quot;00925A3B&quot;/&gt;&lt;wsp:rsid wsp:val=&quot;009268A6&quot;/&gt;&lt;wsp:rsid wsp:val=&quot;00927C2C&quot;/&gt;&lt;wsp:rsid wsp:val=&quot;00930419&quot;/&gt;&lt;wsp:rsid wsp:val=&quot;009330CC&quot;/&gt;&lt;wsp:rsid wsp:val=&quot;009339AB&quot;/&gt;&lt;wsp:rsid wsp:val=&quot;0093784F&quot;/&gt;&lt;wsp:rsid wsp:val=&quot;00937E90&quot;/&gt;&lt;wsp:rsid wsp:val=&quot;0094034B&quot;/&gt;&lt;wsp:rsid wsp:val=&quot;00940B06&quot;/&gt;&lt;wsp:rsid wsp:val=&quot;009433D5&quot;/&gt;&lt;wsp:rsid wsp:val=&quot;009437B6&quot;/&gt;&lt;wsp:rsid wsp:val=&quot;00943813&quot;/&gt;&lt;wsp:rsid wsp:val=&quot;0094730B&quot;/&gt;&lt;wsp:rsid wsp:val=&quot;00950ACC&quot;/&gt;&lt;wsp:rsid wsp:val=&quot;00951506&quot;/&gt;&lt;wsp:rsid wsp:val=&quot;00954B11&quot;/&gt;&lt;wsp:rsid wsp:val=&quot;00954E6C&quot;/&gt;&lt;wsp:rsid wsp:val=&quot;00954F4C&quot;/&gt;&lt;wsp:rsid wsp:val=&quot;00955A14&quot;/&gt;&lt;wsp:rsid wsp:val=&quot;00955CBA&quot;/&gt;&lt;wsp:rsid wsp:val=&quot;00956D2E&quot;/&gt;&lt;wsp:rsid wsp:val=&quot;0095761B&quot;/&gt;&lt;wsp:rsid wsp:val=&quot;0096252E&quot;/&gt;&lt;wsp:rsid wsp:val=&quot;00964282&quot;/&gt;&lt;wsp:rsid wsp:val=&quot;00966722&quot;/&gt;&lt;wsp:rsid wsp:val=&quot;0097077C&quot;/&gt;&lt;wsp:rsid wsp:val=&quot;0097293B&quot;/&gt;&lt;wsp:rsid wsp:val=&quot;0097299B&quot;/&gt;&lt;wsp:rsid wsp:val=&quot;009740A2&quot;/&gt;&lt;wsp:rsid wsp:val=&quot;00974D8A&quot;/&gt;&lt;wsp:rsid wsp:val=&quot;00975EA7&quot;/&gt;&lt;wsp:rsid wsp:val=&quot;00976F33&quot;/&gt;&lt;wsp:rsid wsp:val=&quot;009776FA&quot;/&gt;&lt;wsp:rsid wsp:val=&quot;00977881&quot;/&gt;&lt;wsp:rsid wsp:val=&quot;009779D6&quot;/&gt;&lt;wsp:rsid wsp:val=&quot;0098387A&quot;/&gt;&lt;wsp:rsid wsp:val=&quot;009839E8&quot;/&gt;&lt;wsp:rsid wsp:val=&quot;00983E22&quot;/&gt;&lt;wsp:rsid wsp:val=&quot;0098459A&quot;/&gt;&lt;wsp:rsid wsp:val=&quot;00984955&quot;/&gt;&lt;wsp:rsid wsp:val=&quot;00984FB2&quot;/&gt;&lt;wsp:rsid wsp:val=&quot;00985A54&quot;/&gt;&lt;wsp:rsid wsp:val=&quot;00986EAF&quot;/&gt;&lt;wsp:rsid wsp:val=&quot;0098713F&quot;/&gt;&lt;wsp:rsid wsp:val=&quot;00987C0F&quot;/&gt;&lt;wsp:rsid wsp:val=&quot;00990135&quot;/&gt;&lt;wsp:rsid wsp:val=&quot;00990C21&quot;/&gt;&lt;wsp:rsid wsp:val=&quot;00991990&quot;/&gt;&lt;wsp:rsid wsp:val=&quot;00994702&quot;/&gt;&lt;wsp:rsid wsp:val=&quot;009A00D6&quot;/&gt;&lt;wsp:rsid wsp:val=&quot;009A0BED&quot;/&gt;&lt;wsp:rsid wsp:val=&quot;009A32B7&quot;/&gt;&lt;wsp:rsid wsp:val=&quot;009A42DE&quot;/&gt;&lt;wsp:rsid wsp:val=&quot;009A4601&quot;/&gt;&lt;wsp:rsid wsp:val=&quot;009A4CFE&quot;/&gt;&lt;wsp:rsid wsp:val=&quot;009A50A5&quot;/&gt;&lt;wsp:rsid wsp:val=&quot;009A62E7&quot;/&gt;&lt;wsp:rsid wsp:val=&quot;009A66C6&quot;/&gt;&lt;wsp:rsid wsp:val=&quot;009A6E52&quot;/&gt;&lt;wsp:rsid wsp:val=&quot;009B0219&quot;/&gt;&lt;wsp:rsid wsp:val=&quot;009B1044&quot;/&gt;&lt;wsp:rsid wsp:val=&quot;009B19C7&quot;/&gt;&lt;wsp:rsid wsp:val=&quot;009B2E65&quot;/&gt;&lt;wsp:rsid wsp:val=&quot;009B2EDB&quot;/&gt;&lt;wsp:rsid wsp:val=&quot;009B330B&quot;/&gt;&lt;wsp:rsid wsp:val=&quot;009B62D3&quot;/&gt;&lt;wsp:rsid wsp:val=&quot;009B6B4E&quot;/&gt;&lt;wsp:rsid wsp:val=&quot;009B7C8B&quot;/&gt;&lt;wsp:rsid wsp:val=&quot;009B7E75&quot;/&gt;&lt;wsp:rsid wsp:val=&quot;009C197F&quot;/&gt;&lt;wsp:rsid wsp:val=&quot;009C2C58&quot;/&gt;&lt;wsp:rsid wsp:val=&quot;009C49EB&quot;/&gt;&lt;wsp:rsid wsp:val=&quot;009C6227&quot;/&gt;&lt;wsp:rsid wsp:val=&quot;009C67DE&quot;/&gt;&lt;wsp:rsid wsp:val=&quot;009D1685&quot;/&gt;&lt;wsp:rsid wsp:val=&quot;009D3117&quot;/&gt;&lt;wsp:rsid wsp:val=&quot;009D4D08&quot;/&gt;&lt;wsp:rsid wsp:val=&quot;009D7423&quot;/&gt;&lt;wsp:rsid wsp:val=&quot;009E0057&quot;/&gt;&lt;wsp:rsid wsp:val=&quot;009E3376&quot;/&gt;&lt;wsp:rsid wsp:val=&quot;009E3A65&quot;/&gt;&lt;wsp:rsid wsp:val=&quot;009E6037&quot;/&gt;&lt;wsp:rsid wsp:val=&quot;009E6041&quot;/&gt;&lt;wsp:rsid wsp:val=&quot;009E688B&quot;/&gt;&lt;wsp:rsid wsp:val=&quot;009F0CB6&quot;/&gt;&lt;wsp:rsid wsp:val=&quot;009F189C&quot;/&gt;&lt;wsp:rsid wsp:val=&quot;009F1EB1&quot;/&gt;&lt;wsp:rsid wsp:val=&quot;009F26C9&quot;/&gt;&lt;wsp:rsid wsp:val=&quot;009F279E&quot;/&gt;&lt;wsp:rsid wsp:val=&quot;009F2ED4&quot;/&gt;&lt;wsp:rsid wsp:val=&quot;009F5D4D&quot;/&gt;&lt;wsp:rsid wsp:val=&quot;009F6DD5&quot;/&gt;&lt;wsp:rsid wsp:val=&quot;009F79DE&quot;/&gt;&lt;wsp:rsid wsp:val=&quot;00A005F6&quot;/&gt;&lt;wsp:rsid wsp:val=&quot;00A04E37&quot;/&gt;&lt;wsp:rsid wsp:val=&quot;00A04FD5&quot;/&gt;&lt;wsp:rsid wsp:val=&quot;00A05273&quot;/&gt;&lt;wsp:rsid wsp:val=&quot;00A06F91&quot;/&gt;&lt;wsp:rsid wsp:val=&quot;00A0765A&quot;/&gt;&lt;wsp:rsid wsp:val=&quot;00A11437&quot;/&gt;&lt;wsp:rsid wsp:val=&quot;00A11936&quot;/&gt;&lt;wsp:rsid wsp:val=&quot;00A11BFC&quot;/&gt;&lt;wsp:rsid wsp:val=&quot;00A1221A&quot;/&gt;&lt;wsp:rsid wsp:val=&quot;00A131D4&quot;/&gt;&lt;wsp:rsid wsp:val=&quot;00A16666&quot;/&gt;&lt;wsp:rsid wsp:val=&quot;00A21638&quot;/&gt;&lt;wsp:rsid wsp:val=&quot;00A2252D&quot;/&gt;&lt;wsp:rsid wsp:val=&quot;00A237C2&quot;/&gt;&lt;wsp:rsid wsp:val=&quot;00A25759&quot;/&gt;&lt;wsp:rsid wsp:val=&quot;00A27197&quot;/&gt;&lt;wsp:rsid wsp:val=&quot;00A2764D&quot;/&gt;&lt;wsp:rsid wsp:val=&quot;00A306EA&quot;/&gt;&lt;wsp:rsid wsp:val=&quot;00A32021&quot;/&gt;&lt;wsp:rsid wsp:val=&quot;00A339E2&quot;/&gt;&lt;wsp:rsid wsp:val=&quot;00A36F9F&quot;/&gt;&lt;wsp:rsid wsp:val=&quot;00A3790E&quot;/&gt;&lt;wsp:rsid wsp:val=&quot;00A37D5A&quot;/&gt;&lt;wsp:rsid wsp:val=&quot;00A4017E&quot;/&gt;&lt;wsp:rsid wsp:val=&quot;00A40EEB&quot;/&gt;&lt;wsp:rsid wsp:val=&quot;00A41B96&quot;/&gt;&lt;wsp:rsid wsp:val=&quot;00A42407&quot;/&gt;&lt;wsp:rsid wsp:val=&quot;00A433BF&quot;/&gt;&lt;wsp:rsid wsp:val=&quot;00A4375D&quot;/&gt;&lt;wsp:rsid wsp:val=&quot;00A44D32&quot;/&gt;&lt;wsp:rsid wsp:val=&quot;00A45AED&quot;/&gt;&lt;wsp:rsid wsp:val=&quot;00A471A2&quot;/&gt;&lt;wsp:rsid wsp:val=&quot;00A47EDE&quot;/&gt;&lt;wsp:rsid wsp:val=&quot;00A513CE&quot;/&gt;&lt;wsp:rsid wsp:val=&quot;00A52303&quot;/&gt;&lt;wsp:rsid wsp:val=&quot;00A5310F&quot;/&gt;&lt;wsp:rsid wsp:val=&quot;00A55822&quot;/&gt;&lt;wsp:rsid wsp:val=&quot;00A558CC&quot;/&gt;&lt;wsp:rsid wsp:val=&quot;00A6027F&quot;/&gt;&lt;wsp:rsid wsp:val=&quot;00A60F0D&quot;/&gt;&lt;wsp:rsid wsp:val=&quot;00A614B1&quot;/&gt;&lt;wsp:rsid wsp:val=&quot;00A61FB8&quot;/&gt;&lt;wsp:rsid wsp:val=&quot;00A62391&quot;/&gt;&lt;wsp:rsid wsp:val=&quot;00A63EC1&quot;/&gt;&lt;wsp:rsid wsp:val=&quot;00A64CE7&quot;/&gt;&lt;wsp:rsid wsp:val=&quot;00A66954&quot;/&gt;&lt;wsp:rsid wsp:val=&quot;00A671FD&quot;/&gt;&lt;wsp:rsid wsp:val=&quot;00A715A1&quot;/&gt;&lt;wsp:rsid wsp:val=&quot;00A72686&quot;/&gt;&lt;wsp:rsid wsp:val=&quot;00A72DB3&quot;/&gt;&lt;wsp:rsid wsp:val=&quot;00A72FFB&quot;/&gt;&lt;wsp:rsid wsp:val=&quot;00A74AF1&quot;/&gt;&lt;wsp:rsid wsp:val=&quot;00A75422&quot;/&gt;&lt;wsp:rsid wsp:val=&quot;00A75C29&quot;/&gt;&lt;wsp:rsid wsp:val=&quot;00A76107&quot;/&gt;&lt;wsp:rsid wsp:val=&quot;00A7671C&quot;/&gt;&lt;wsp:rsid wsp:val=&quot;00A77F07&quot;/&gt;&lt;wsp:rsid wsp:val=&quot;00A77FFE&quot;/&gt;&lt;wsp:rsid wsp:val=&quot;00A82B3A&quot;/&gt;&lt;wsp:rsid wsp:val=&quot;00A84008&quot;/&gt;&lt;wsp:rsid wsp:val=&quot;00A86C09&quot;/&gt;&lt;wsp:rsid wsp:val=&quot;00A90534&quot;/&gt;&lt;wsp:rsid wsp:val=&quot;00A94771&quot;/&gt;&lt;wsp:rsid wsp:val=&quot;00AA51F9&quot;/&gt;&lt;wsp:rsid wsp:val=&quot;00AA5226&quot;/&gt;&lt;wsp:rsid wsp:val=&quot;00AA72FB&quot;/&gt;&lt;wsp:rsid wsp:val=&quot;00AA7A38&quot;/&gt;&lt;wsp:rsid wsp:val=&quot;00AA7D39&quot;/&gt;&lt;wsp:rsid wsp:val=&quot;00AB100D&quot;/&gt;&lt;wsp:rsid wsp:val=&quot;00AB6371&quot;/&gt;&lt;wsp:rsid wsp:val=&quot;00AB65FC&quot;/&gt;&lt;wsp:rsid wsp:val=&quot;00AB7095&quot;/&gt;&lt;wsp:rsid wsp:val=&quot;00AB7FE3&quot;/&gt;&lt;wsp:rsid wsp:val=&quot;00AC21FC&quot;/&gt;&lt;wsp:rsid wsp:val=&quot;00AC236F&quot;/&gt;&lt;wsp:rsid wsp:val=&quot;00AC405F&quot;/&gt;&lt;wsp:rsid wsp:val=&quot;00AC60B0&quot;/&gt;&lt;wsp:rsid wsp:val=&quot;00AD00E0&quot;/&gt;&lt;wsp:rsid wsp:val=&quot;00AD271A&quot;/&gt;&lt;wsp:rsid wsp:val=&quot;00AD2EA0&quot;/&gt;&lt;wsp:rsid wsp:val=&quot;00AD4EF1&quot;/&gt;&lt;wsp:rsid wsp:val=&quot;00AD695C&quot;/&gt;&lt;wsp:rsid wsp:val=&quot;00AD715A&quot;/&gt;&lt;wsp:rsid wsp:val=&quot;00AD7BD1&quot;/&gt;&lt;wsp:rsid wsp:val=&quot;00AE0A34&quot;/&gt;&lt;wsp:rsid wsp:val=&quot;00AE2D1B&quot;/&gt;&lt;wsp:rsid wsp:val=&quot;00AE457E&quot;/&gt;&lt;wsp:rsid wsp:val=&quot;00AE47EC&quot;/&gt;&lt;wsp:rsid wsp:val=&quot;00AE498D&quot;/&gt;&lt;wsp:rsid wsp:val=&quot;00AE623C&quot;/&gt;&lt;wsp:rsid wsp:val=&quot;00AE6660&quot;/&gt;&lt;wsp:rsid wsp:val=&quot;00AE7BC6&quot;/&gt;&lt;wsp:rsid wsp:val=&quot;00AF18BF&quot;/&gt;&lt;wsp:rsid wsp:val=&quot;00AF1C3D&quot;/&gt;&lt;wsp:rsid wsp:val=&quot;00AF23FC&quot;/&gt;&lt;wsp:rsid wsp:val=&quot;00AF2C75&quot;/&gt;&lt;wsp:rsid wsp:val=&quot;00AF3B01&quot;/&gt;&lt;wsp:rsid wsp:val=&quot;00AF4A08&quot;/&gt;&lt;wsp:rsid wsp:val=&quot;00AF5164&quot;/&gt;&lt;wsp:rsid wsp:val=&quot;00AF78F8&quot;/&gt;&lt;wsp:rsid wsp:val=&quot;00AF7DE6&quot;/&gt;&lt;wsp:rsid wsp:val=&quot;00B00C61&quot;/&gt;&lt;wsp:rsid wsp:val=&quot;00B015BE&quot;/&gt;&lt;wsp:rsid wsp:val=&quot;00B0406A&quot;/&gt;&lt;wsp:rsid wsp:val=&quot;00B04D6C&quot;/&gt;&lt;wsp:rsid wsp:val=&quot;00B04E83&quot;/&gt;&lt;wsp:rsid wsp:val=&quot;00B063CE&quot;/&gt;&lt;wsp:rsid wsp:val=&quot;00B107BC&quot;/&gt;&lt;wsp:rsid wsp:val=&quot;00B107D0&quot;/&gt;&lt;wsp:rsid wsp:val=&quot;00B11004&quot;/&gt;&lt;wsp:rsid wsp:val=&quot;00B11775&quot;/&gt;&lt;wsp:rsid wsp:val=&quot;00B1450D&quot;/&gt;&lt;wsp:rsid wsp:val=&quot;00B147BF&quot;/&gt;&lt;wsp:rsid wsp:val=&quot;00B1493F&quot;/&gt;&lt;wsp:rsid wsp:val=&quot;00B14C74&quot;/&gt;&lt;wsp:rsid wsp:val=&quot;00B159DF&quot;/&gt;&lt;wsp:rsid wsp:val=&quot;00B15A93&quot;/&gt;&lt;wsp:rsid wsp:val=&quot;00B1660B&quot;/&gt;&lt;wsp:rsid wsp:val=&quot;00B20FE0&quot;/&gt;&lt;wsp:rsid wsp:val=&quot;00B2404C&quot;/&gt;&lt;wsp:rsid wsp:val=&quot;00B2605E&quot;/&gt;&lt;wsp:rsid wsp:val=&quot;00B26148&quot;/&gt;&lt;wsp:rsid wsp:val=&quot;00B26C98&quot;/&gt;&lt;wsp:rsid wsp:val=&quot;00B27E12&quot;/&gt;&lt;wsp:rsid wsp:val=&quot;00B30B27&quot;/&gt;&lt;wsp:rsid wsp:val=&quot;00B33D3F&quot;/&gt;&lt;wsp:rsid wsp:val=&quot;00B35A13&quot;/&gt;&lt;wsp:rsid wsp:val=&quot;00B405B0&quot;/&gt;&lt;wsp:rsid wsp:val=&quot;00B411DE&quot;/&gt;&lt;wsp:rsid wsp:val=&quot;00B41EDC&quot;/&gt;&lt;wsp:rsid wsp:val=&quot;00B422F3&quot;/&gt;&lt;wsp:rsid wsp:val=&quot;00B42909&quot;/&gt;&lt;wsp:rsid wsp:val=&quot;00B45FA0&quot;/&gt;&lt;wsp:rsid wsp:val=&quot;00B47403&quot;/&gt;&lt;wsp:rsid wsp:val=&quot;00B47F08&quot;/&gt;&lt;wsp:rsid wsp:val=&quot;00B503B7&quot;/&gt;&lt;wsp:rsid wsp:val=&quot;00B52640&quot;/&gt;&lt;wsp:rsid wsp:val=&quot;00B53F32&quot;/&gt;&lt;wsp:rsid wsp:val=&quot;00B54817&quot;/&gt;&lt;wsp:rsid wsp:val=&quot;00B64340&quot;/&gt;&lt;wsp:rsid wsp:val=&quot;00B65A24&quot;/&gt;&lt;wsp:rsid wsp:val=&quot;00B66E6F&quot;/&gt;&lt;wsp:rsid wsp:val=&quot;00B7033C&quot;/&gt;&lt;wsp:rsid wsp:val=&quot;00B709FF&quot;/&gt;&lt;wsp:rsid wsp:val=&quot;00B72A35&quot;/&gt;&lt;wsp:rsid wsp:val=&quot;00B7412A&quot;/&gt;&lt;wsp:rsid wsp:val=&quot;00B770D4&quot;/&gt;&lt;wsp:rsid wsp:val=&quot;00B826BA&quot;/&gt;&lt;wsp:rsid wsp:val=&quot;00B82750&quot;/&gt;&lt;wsp:rsid wsp:val=&quot;00B84475&quot;/&gt;&lt;wsp:rsid wsp:val=&quot;00B85792&quot;/&gt;&lt;wsp:rsid wsp:val=&quot;00B86311&quot;/&gt;&lt;wsp:rsid wsp:val=&quot;00B87E46&quot;/&gt;&lt;wsp:rsid wsp:val=&quot;00B915C1&quot;/&gt;&lt;wsp:rsid wsp:val=&quot;00B9274C&quot;/&gt;&lt;wsp:rsid wsp:val=&quot;00B927BE&quot;/&gt;&lt;wsp:rsid wsp:val=&quot;00B94DDB&quot;/&gt;&lt;wsp:rsid wsp:val=&quot;00B95AF7&quot;/&gt;&lt;wsp:rsid wsp:val=&quot;00BA0A03&quot;/&gt;&lt;wsp:rsid wsp:val=&quot;00BA134E&quot;/&gt;&lt;wsp:rsid wsp:val=&quot;00BA2104&quot;/&gt;&lt;wsp:rsid wsp:val=&quot;00BA5DA5&quot;/&gt;&lt;wsp:rsid wsp:val=&quot;00BA5FAF&quot;/&gt;&lt;wsp:rsid wsp:val=&quot;00BA6287&quot;/&gt;&lt;wsp:rsid wsp:val=&quot;00BA73B2&quot;/&gt;&lt;wsp:rsid wsp:val=&quot;00BA73CC&quot;/&gt;&lt;wsp:rsid wsp:val=&quot;00BA75D2&quot;/&gt;&lt;wsp:rsid wsp:val=&quot;00BB088E&quot;/&gt;&lt;wsp:rsid wsp:val=&quot;00BB0C41&quot;/&gt;&lt;wsp:rsid wsp:val=&quot;00BB0E1B&quot;/&gt;&lt;wsp:rsid wsp:val=&quot;00BB1076&quot;/&gt;&lt;wsp:rsid wsp:val=&quot;00BB2B86&quot;/&gt;&lt;wsp:rsid wsp:val=&quot;00BB2C80&quot;/&gt;&lt;wsp:rsid wsp:val=&quot;00BB349C&quot;/&gt;&lt;wsp:rsid wsp:val=&quot;00BB3F11&quot;/&gt;&lt;wsp:rsid wsp:val=&quot;00BB452E&quot;/&gt;&lt;wsp:rsid wsp:val=&quot;00BB7663&quot;/&gt;&lt;wsp:rsid wsp:val=&quot;00BB7C06&quot;/&gt;&lt;wsp:rsid wsp:val=&quot;00BC1232&quot;/&gt;&lt;wsp:rsid wsp:val=&quot;00BC1A9E&quot;/&gt;&lt;wsp:rsid wsp:val=&quot;00BC2364&quot;/&gt;&lt;wsp:rsid wsp:val=&quot;00BC4C9E&quot;/&gt;&lt;wsp:rsid wsp:val=&quot;00BC5070&quot;/&gt;&lt;wsp:rsid wsp:val=&quot;00BC66AF&quot;/&gt;&lt;wsp:rsid wsp:val=&quot;00BC67FB&quot;/&gt;&lt;wsp:rsid wsp:val=&quot;00BD0DD5&quot;/&gt;&lt;wsp:rsid wsp:val=&quot;00BD1028&quot;/&gt;&lt;wsp:rsid wsp:val=&quot;00BD251D&quot;/&gt;&lt;wsp:rsid wsp:val=&quot;00BD2F22&quot;/&gt;&lt;wsp:rsid wsp:val=&quot;00BD5128&quot;/&gt;&lt;wsp:rsid wsp:val=&quot;00BD55EF&quot;/&gt;&lt;wsp:rsid wsp:val=&quot;00BD6599&quot;/&gt;&lt;wsp:rsid wsp:val=&quot;00BD714F&quot;/&gt;&lt;wsp:rsid wsp:val=&quot;00BD773C&quot;/&gt;&lt;wsp:rsid wsp:val=&quot;00BE0415&quot;/&gt;&lt;wsp:rsid wsp:val=&quot;00BE0BAB&quot;/&gt;&lt;wsp:rsid wsp:val=&quot;00BE1582&quot;/&gt;&lt;wsp:rsid wsp:val=&quot;00BE1D67&quot;/&gt;&lt;wsp:rsid wsp:val=&quot;00BE532D&quot;/&gt;&lt;wsp:rsid wsp:val=&quot;00BE7A07&quot;/&gt;&lt;wsp:rsid wsp:val=&quot;00BE7C72&quot;/&gt;&lt;wsp:rsid wsp:val=&quot;00BE7FE4&quot;/&gt;&lt;wsp:rsid wsp:val=&quot;00BF1B05&quot;/&gt;&lt;wsp:rsid wsp:val=&quot;00BF30BF&quot;/&gt;&lt;wsp:rsid wsp:val=&quot;00BF327F&quot;/&gt;&lt;wsp:rsid wsp:val=&quot;00BF3812&quot;/&gt;&lt;wsp:rsid wsp:val=&quot;00BF44DD&quot;/&gt;&lt;wsp:rsid wsp:val=&quot;00BF4860&quot;/&gt;&lt;wsp:rsid wsp:val=&quot;00BF5390&quot;/&gt;&lt;wsp:rsid wsp:val=&quot;00BF7A1E&quot;/&gt;&lt;wsp:rsid wsp:val=&quot;00C00BB6&quot;/&gt;&lt;wsp:rsid wsp:val=&quot;00C00D2B&quot;/&gt;&lt;wsp:rsid wsp:val=&quot;00C016D7&quot;/&gt;&lt;wsp:rsid wsp:val=&quot;00C02157&quot;/&gt;&lt;wsp:rsid wsp:val=&quot;00C0256F&quot;/&gt;&lt;wsp:rsid wsp:val=&quot;00C03CF2&quot;/&gt;&lt;wsp:rsid wsp:val=&quot;00C079C9&quot;/&gt;&lt;wsp:rsid wsp:val=&quot;00C07D16&quot;/&gt;&lt;wsp:rsid wsp:val=&quot;00C11B97&quot;/&gt;&lt;wsp:rsid wsp:val=&quot;00C122D4&quot;/&gt;&lt;wsp:rsid wsp:val=&quot;00C13245&quot;/&gt;&lt;wsp:rsid wsp:val=&quot;00C133C3&quot;/&gt;&lt;wsp:rsid wsp:val=&quot;00C13823&quot;/&gt;&lt;wsp:rsid wsp:val=&quot;00C13838&quot;/&gt;&lt;wsp:rsid wsp:val=&quot;00C14B23&quot;/&gt;&lt;wsp:rsid wsp:val=&quot;00C15BAD&quot;/&gt;&lt;wsp:rsid wsp:val=&quot;00C21E8F&quot;/&gt;&lt;wsp:rsid wsp:val=&quot;00C22192&quot;/&gt;&lt;wsp:rsid wsp:val=&quot;00C24618&quot;/&gt;&lt;wsp:rsid wsp:val=&quot;00C27708&quot;/&gt;&lt;wsp:rsid wsp:val=&quot;00C27F9F&quot;/&gt;&lt;wsp:rsid wsp:val=&quot;00C305BF&quot;/&gt;&lt;wsp:rsid wsp:val=&quot;00C3347F&quot;/&gt;&lt;wsp:rsid wsp:val=&quot;00C33792&quot;/&gt;&lt;wsp:rsid wsp:val=&quot;00C33A6A&quot;/&gt;&lt;wsp:rsid wsp:val=&quot;00C3549E&quot;/&gt;&lt;wsp:rsid wsp:val=&quot;00C36CA9&quot;/&gt;&lt;wsp:rsid wsp:val=&quot;00C456A4&quot;/&gt;&lt;wsp:rsid wsp:val=&quot;00C458B2&quot;/&gt;&lt;wsp:rsid wsp:val=&quot;00C46075&quot;/&gt;&lt;wsp:rsid wsp:val=&quot;00C46544&quot;/&gt;&lt;wsp:rsid wsp:val=&quot;00C47D48&quot;/&gt;&lt;wsp:rsid wsp:val=&quot;00C5004F&quot;/&gt;&lt;wsp:rsid wsp:val=&quot;00C5012B&quot;/&gt;&lt;wsp:rsid wsp:val=&quot;00C509BD&quot;/&gt;&lt;wsp:rsid wsp:val=&quot;00C52993&quot;/&gt;&lt;wsp:rsid wsp:val=&quot;00C52CF4&quot;/&gt;&lt;wsp:rsid wsp:val=&quot;00C52D39&quot;/&gt;&lt;wsp:rsid wsp:val=&quot;00C5575E&quot;/&gt;&lt;wsp:rsid wsp:val=&quot;00C60696&quot;/&gt;&lt;wsp:rsid wsp:val=&quot;00C64829&quot;/&gt;&lt;wsp:rsid wsp:val=&quot;00C6608D&quot;/&gt;&lt;wsp:rsid wsp:val=&quot;00C70DF1&quot;/&gt;&lt;wsp:rsid wsp:val=&quot;00C723A2&quot;/&gt;&lt;wsp:rsid wsp:val=&quot;00C7416C&quot;/&gt;&lt;wsp:rsid wsp:val=&quot;00C80785&quot;/&gt;&lt;wsp:rsid wsp:val=&quot;00C822E4&quot;/&gt;&lt;wsp:rsid wsp:val=&quot;00C86394&quot;/&gt;&lt;wsp:rsid wsp:val=&quot;00C8752E&quot;/&gt;&lt;wsp:rsid wsp:val=&quot;00C87DF4&quot;/&gt;&lt;wsp:rsid wsp:val=&quot;00C9060C&quot;/&gt;&lt;wsp:rsid wsp:val=&quot;00C92EFD&quot;/&gt;&lt;wsp:rsid wsp:val=&quot;00C93D68&quot;/&gt;&lt;wsp:rsid wsp:val=&quot;00C94A38&quot;/&gt;&lt;wsp:rsid wsp:val=&quot;00C95117&quot;/&gt;&lt;wsp:rsid wsp:val=&quot;00C953A1&quot;/&gt;&lt;wsp:rsid wsp:val=&quot;00C9725E&quot;/&gt;&lt;wsp:rsid wsp:val=&quot;00C97E3E&quot;/&gt;&lt;wsp:rsid wsp:val=&quot;00CA1744&quot;/&gt;&lt;wsp:rsid wsp:val=&quot;00CA195D&quot;/&gt;&lt;wsp:rsid wsp:val=&quot;00CA1B4C&quot;/&gt;&lt;wsp:rsid wsp:val=&quot;00CA1FA1&quot;/&gt;&lt;wsp:rsid wsp:val=&quot;00CA2B73&quot;/&gt;&lt;wsp:rsid wsp:val=&quot;00CA2E43&quot;/&gt;&lt;wsp:rsid wsp:val=&quot;00CA3393&quot;/&gt;&lt;wsp:rsid wsp:val=&quot;00CA4051&quot;/&gt;&lt;wsp:rsid wsp:val=&quot;00CA5B2A&quot;/&gt;&lt;wsp:rsid wsp:val=&quot;00CA7068&quot;/&gt;&lt;wsp:rsid wsp:val=&quot;00CA72F4&quot;/&gt;&lt;wsp:rsid wsp:val=&quot;00CA784C&quot;/&gt;&lt;wsp:rsid wsp:val=&quot;00CB01E2&quot;/&gt;&lt;wsp:rsid wsp:val=&quot;00CB3386&quot;/&gt;&lt;wsp:rsid wsp:val=&quot;00CB6D25&quot;/&gt;&lt;wsp:rsid wsp:val=&quot;00CB73D2&quot;/&gt;&lt;wsp:rsid wsp:val=&quot;00CC1256&quot;/&gt;&lt;wsp:rsid wsp:val=&quot;00CC3A32&quot;/&gt;&lt;wsp:rsid wsp:val=&quot;00CC3DE7&quot;/&gt;&lt;wsp:rsid wsp:val=&quot;00CC507E&quot;/&gt;&lt;wsp:rsid wsp:val=&quot;00CC5CBC&quot;/&gt;&lt;wsp:rsid wsp:val=&quot;00CC5FD5&quot;/&gt;&lt;wsp:rsid wsp:val=&quot;00CC65F4&quot;/&gt;&lt;wsp:rsid wsp:val=&quot;00CC75F8&quot;/&gt;&lt;wsp:rsid wsp:val=&quot;00CD0523&quot;/&gt;&lt;wsp:rsid wsp:val=&quot;00CD097A&quot;/&gt;&lt;wsp:rsid wsp:val=&quot;00CD1211&quot;/&gt;&lt;wsp:rsid wsp:val=&quot;00CD1AB1&quot;/&gt;&lt;wsp:rsid wsp:val=&quot;00CD20D0&quot;/&gt;&lt;wsp:rsid wsp:val=&quot;00CD20F2&quot;/&gt;&lt;wsp:rsid wsp:val=&quot;00CD2EDB&quot;/&gt;&lt;wsp:rsid wsp:val=&quot;00CD3B5B&quot;/&gt;&lt;wsp:rsid wsp:val=&quot;00CD644C&quot;/&gt;&lt;wsp:rsid wsp:val=&quot;00CD6738&quot;/&gt;&lt;wsp:rsid wsp:val=&quot;00CD73B1&quot;/&gt;&lt;wsp:rsid wsp:val=&quot;00CE0D5D&quot;/&gt;&lt;wsp:rsid wsp:val=&quot;00CE21B8&quot;/&gt;&lt;wsp:rsid wsp:val=&quot;00CE238D&quot;/&gt;&lt;wsp:rsid wsp:val=&quot;00CE28AC&quot;/&gt;&lt;wsp:rsid wsp:val=&quot;00CE3344&quot;/&gt;&lt;wsp:rsid wsp:val=&quot;00CE495B&quot;/&gt;&lt;wsp:rsid wsp:val=&quot;00CE6431&quot;/&gt;&lt;wsp:rsid wsp:val=&quot;00CE6A76&quot;/&gt;&lt;wsp:rsid wsp:val=&quot;00CE7B09&quot;/&gt;&lt;wsp:rsid wsp:val=&quot;00CE7F82&quot;/&gt;&lt;wsp:rsid wsp:val=&quot;00CF0235&quot;/&gt;&lt;wsp:rsid wsp:val=&quot;00CF1EB7&quot;/&gt;&lt;wsp:rsid wsp:val=&quot;00CF2C8C&quot;/&gt;&lt;wsp:rsid wsp:val=&quot;00CF521F&quot;/&gt;&lt;wsp:rsid wsp:val=&quot;00CF6300&quot;/&gt;&lt;wsp:rsid wsp:val=&quot;00CF6775&quot;/&gt;&lt;wsp:rsid wsp:val=&quot;00CF6930&quot;/&gt;&lt;wsp:rsid wsp:val=&quot;00CF7134&quot;/&gt;&lt;wsp:rsid wsp:val=&quot;00D00A33&quot;/&gt;&lt;wsp:rsid wsp:val=&quot;00D01039&quot;/&gt;&lt;wsp:rsid wsp:val=&quot;00D05CA8&quot;/&gt;&lt;wsp:rsid wsp:val=&quot;00D076CE&quot;/&gt;&lt;wsp:rsid wsp:val=&quot;00D07B55&quot;/&gt;&lt;wsp:rsid wsp:val=&quot;00D1050C&quot;/&gt;&lt;wsp:rsid wsp:val=&quot;00D11722&quot;/&gt;&lt;wsp:rsid wsp:val=&quot;00D11946&quot;/&gt;&lt;wsp:rsid wsp:val=&quot;00D127D3&quot;/&gt;&lt;wsp:rsid wsp:val=&quot;00D136C6&quot;/&gt;&lt;wsp:rsid wsp:val=&quot;00D14189&quot;/&gt;&lt;wsp:rsid wsp:val=&quot;00D14BCC&quot;/&gt;&lt;wsp:rsid wsp:val=&quot;00D14F25&quot;/&gt;&lt;wsp:rsid wsp:val=&quot;00D157FD&quot;/&gt;&lt;wsp:rsid wsp:val=&quot;00D16C85&quot;/&gt;&lt;wsp:rsid wsp:val=&quot;00D16DEE&quot;/&gt;&lt;wsp:rsid wsp:val=&quot;00D16F64&quot;/&gt;&lt;wsp:rsid wsp:val=&quot;00D17F6C&quot;/&gt;&lt;wsp:rsid wsp:val=&quot;00D21E45&quot;/&gt;&lt;wsp:rsid wsp:val=&quot;00D22B59&quot;/&gt;&lt;wsp:rsid wsp:val=&quot;00D25582&quot;/&gt;&lt;wsp:rsid wsp:val=&quot;00D25AD6&quot;/&gt;&lt;wsp:rsid wsp:val=&quot;00D25EF9&quot;/&gt;&lt;wsp:rsid wsp:val=&quot;00D27845&quot;/&gt;&lt;wsp:rsid wsp:val=&quot;00D317E6&quot;/&gt;&lt;wsp:rsid wsp:val=&quot;00D31D85&quot;/&gt;&lt;wsp:rsid wsp:val=&quot;00D31F67&quot;/&gt;&lt;wsp:rsid wsp:val=&quot;00D324AD&quot;/&gt;&lt;wsp:rsid wsp:val=&quot;00D326E5&quot;/&gt;&lt;wsp:rsid wsp:val=&quot;00D3357E&quot;/&gt;&lt;wsp:rsid wsp:val=&quot;00D33A59&quot;/&gt;&lt;wsp:rsid wsp:val=&quot;00D35902&quot;/&gt;&lt;wsp:rsid wsp:val=&quot;00D35A93&quot;/&gt;&lt;wsp:rsid wsp:val=&quot;00D40E87&quot;/&gt;&lt;wsp:rsid wsp:val=&quot;00D445BF&quot;/&gt;&lt;wsp:rsid wsp:val=&quot;00D44A41&quot;/&gt;&lt;wsp:rsid wsp:val=&quot;00D44D7D&quot;/&gt;&lt;wsp:rsid wsp:val=&quot;00D4523B&quot;/&gt;&lt;wsp:rsid wsp:val=&quot;00D46EBB&quot;/&gt;&lt;wsp:rsid wsp:val=&quot;00D47030&quot;/&gt;&lt;wsp:rsid wsp:val=&quot;00D47144&quot;/&gt;&lt;wsp:rsid wsp:val=&quot;00D472A5&quot;/&gt;&lt;wsp:rsid wsp:val=&quot;00D51205&quot;/&gt;&lt;wsp:rsid wsp:val=&quot;00D51672&quot;/&gt;&lt;wsp:rsid wsp:val=&quot;00D53299&quot;/&gt;&lt;wsp:rsid wsp:val=&quot;00D54DB1&quot;/&gt;&lt;wsp:rsid wsp:val=&quot;00D54DB8&quot;/&gt;&lt;wsp:rsid wsp:val=&quot;00D57AC1&quot;/&gt;&lt;wsp:rsid wsp:val=&quot;00D57CCE&quot;/&gt;&lt;wsp:rsid wsp:val=&quot;00D63E86&quot;/&gt;&lt;wsp:rsid wsp:val=&quot;00D702DF&quot;/&gt;&lt;wsp:rsid wsp:val=&quot;00D71D09&quot;/&gt;&lt;wsp:rsid wsp:val=&quot;00D71E70&quot;/&gt;&lt;wsp:rsid wsp:val=&quot;00D72386&quot;/&gt;&lt;wsp:rsid wsp:val=&quot;00D72CB2&quot;/&gt;&lt;wsp:rsid wsp:val=&quot;00D7332E&quot;/&gt;&lt;wsp:rsid wsp:val=&quot;00D747B4&quot;/&gt;&lt;wsp:rsid wsp:val=&quot;00D74FCF&quot;/&gt;&lt;wsp:rsid wsp:val=&quot;00D75C86&quot;/&gt;&lt;wsp:rsid wsp:val=&quot;00D817FB&quot;/&gt;&lt;wsp:rsid wsp:val=&quot;00D83140&quot;/&gt;&lt;wsp:rsid wsp:val=&quot;00D837B6&quot;/&gt;&lt;wsp:rsid wsp:val=&quot;00D83A41&quot;/&gt;&lt;wsp:rsid wsp:val=&quot;00D84B09&quot;/&gt;&lt;wsp:rsid wsp:val=&quot;00D85545&quot;/&gt;&lt;wsp:rsid wsp:val=&quot;00D85BBE&quot;/&gt;&lt;wsp:rsid wsp:val=&quot;00D91936&quot;/&gt;&lt;wsp:rsid wsp:val=&quot;00D92361&quot;/&gt;&lt;wsp:rsid wsp:val=&quot;00D930DC&quot;/&gt;&lt;wsp:rsid wsp:val=&quot;00D94C59&quot;/&gt;&lt;wsp:rsid wsp:val=&quot;00D95EB8&quot;/&gt;&lt;wsp:rsid wsp:val=&quot;00D96A18&quot;/&gt;&lt;wsp:rsid wsp:val=&quot;00D97116&quot;/&gt;&lt;wsp:rsid wsp:val=&quot;00D97151&quot;/&gt;&lt;wsp:rsid wsp:val=&quot;00D9783E&quot;/&gt;&lt;wsp:rsid wsp:val=&quot;00D97960&quot;/&gt;&lt;wsp:rsid wsp:val=&quot;00D97CC5&quot;/&gt;&lt;wsp:rsid wsp:val=&quot;00D97E84&quot;/&gt;&lt;wsp:rsid wsp:val=&quot;00DA0AA7&quot;/&gt;&lt;wsp:rsid wsp:val=&quot;00DA15E9&quot;/&gt;&lt;wsp:rsid wsp:val=&quot;00DA6AF0&quot;/&gt;&lt;wsp:rsid wsp:val=&quot;00DB0871&quot;/&gt;&lt;wsp:rsid wsp:val=&quot;00DB0D8D&quot;/&gt;&lt;wsp:rsid wsp:val=&quot;00DB4C22&quot;/&gt;&lt;wsp:rsid wsp:val=&quot;00DB4D50&quot;/&gt;&lt;wsp:rsid wsp:val=&quot;00DB5FEB&quot;/&gt;&lt;wsp:rsid wsp:val=&quot;00DC074B&quot;/&gt;&lt;wsp:rsid wsp:val=&quot;00DC0772&quot;/&gt;&lt;wsp:rsid wsp:val=&quot;00DC2D31&quot;/&gt;&lt;wsp:rsid wsp:val=&quot;00DC2D84&quot;/&gt;&lt;wsp:rsid wsp:val=&quot;00DC4468&quot;/&gt;&lt;wsp:rsid wsp:val=&quot;00DC61BF&quot;/&gt;&lt;wsp:rsid wsp:val=&quot;00DC7141&quot;/&gt;&lt;wsp:rsid wsp:val=&quot;00DC7D14&quot;/&gt;&lt;wsp:rsid wsp:val=&quot;00DC7FD4&quot;/&gt;&lt;wsp:rsid wsp:val=&quot;00DD0066&quot;/&gt;&lt;wsp:rsid wsp:val=&quot;00DD1886&quot;/&gt;&lt;wsp:rsid wsp:val=&quot;00DD19A0&quot;/&gt;&lt;wsp:rsid wsp:val=&quot;00DD53B6&quot;/&gt;&lt;wsp:rsid wsp:val=&quot;00DD74EA&quot;/&gt;&lt;wsp:rsid wsp:val=&quot;00DD7BB0&quot;/&gt;&lt;wsp:rsid wsp:val=&quot;00DE07B1&quot;/&gt;&lt;wsp:rsid wsp:val=&quot;00DE10DC&quot;/&gt;&lt;wsp:rsid wsp:val=&quot;00DE267E&quot;/&gt;&lt;wsp:rsid wsp:val=&quot;00DE3AA6&quot;/&gt;&lt;wsp:rsid wsp:val=&quot;00DE3FB7&quot;/&gt;&lt;wsp:rsid wsp:val=&quot;00DE526C&quot;/&gt;&lt;wsp:rsid wsp:val=&quot;00DE53FC&quot;/&gt;&lt;wsp:rsid wsp:val=&quot;00DE659C&quot;/&gt;&lt;wsp:rsid wsp:val=&quot;00DF1701&quot;/&gt;&lt;wsp:rsid wsp:val=&quot;00DF3379&quot;/&gt;&lt;wsp:rsid wsp:val=&quot;00DF4221&quot;/&gt;&lt;wsp:rsid wsp:val=&quot;00DF4C81&quot;/&gt;&lt;wsp:rsid wsp:val=&quot;00DF76A6&quot;/&gt;&lt;wsp:rsid wsp:val=&quot;00DF7A04&quot;/&gt;&lt;wsp:rsid wsp:val=&quot;00E021CE&quot;/&gt;&lt;wsp:rsid wsp:val=&quot;00E03A6E&quot;/&gt;&lt;wsp:rsid wsp:val=&quot;00E04146&quot;/&gt;&lt;wsp:rsid wsp:val=&quot;00E07888&quot;/&gt;&lt;wsp:rsid wsp:val=&quot;00E07ED1&quot;/&gt;&lt;wsp:rsid wsp:val=&quot;00E109B5&quot;/&gt;&lt;wsp:rsid wsp:val=&quot;00E10A4F&quot;/&gt;&lt;wsp:rsid wsp:val=&quot;00E125A4&quot;/&gt;&lt;wsp:rsid wsp:val=&quot;00E1268D&quot;/&gt;&lt;wsp:rsid wsp:val=&quot;00E13373&quot;/&gt;&lt;wsp:rsid wsp:val=&quot;00E1568D&quot;/&gt;&lt;wsp:rsid wsp:val=&quot;00E16D9F&quot;/&gt;&lt;wsp:rsid wsp:val=&quot;00E20B9F&quot;/&gt;&lt;wsp:rsid wsp:val=&quot;00E229DB&quot;/&gt;&lt;wsp:rsid wsp:val=&quot;00E27201&quot;/&gt;&lt;wsp:rsid wsp:val=&quot;00E30305&quot;/&gt;&lt;wsp:rsid wsp:val=&quot;00E31DAF&quot;/&gt;&lt;wsp:rsid wsp:val=&quot;00E3267A&quot;/&gt;&lt;wsp:rsid wsp:val=&quot;00E34209&quot;/&gt;&lt;wsp:rsid wsp:val=&quot;00E3678D&quot;/&gt;&lt;wsp:rsid wsp:val=&quot;00E36BBF&quot;/&gt;&lt;wsp:rsid wsp:val=&quot;00E37A9B&quot;/&gt;&lt;wsp:rsid wsp:val=&quot;00E37B94&quot;/&gt;&lt;wsp:rsid wsp:val=&quot;00E4074F&quot;/&gt;&lt;wsp:rsid wsp:val=&quot;00E40D73&quot;/&gt;&lt;wsp:rsid wsp:val=&quot;00E4192B&quot;/&gt;&lt;wsp:rsid wsp:val=&quot;00E4237A&quot;/&gt;&lt;wsp:rsid wsp:val=&quot;00E425AC&quot;/&gt;&lt;wsp:rsid wsp:val=&quot;00E449BD&quot;/&gt;&lt;wsp:rsid wsp:val=&quot;00E45401&quot;/&gt;&lt;wsp:rsid wsp:val=&quot;00E467F0&quot;/&gt;&lt;wsp:rsid wsp:val=&quot;00E4695F&quot;/&gt;&lt;wsp:rsid wsp:val=&quot;00E47D73&quot;/&gt;&lt;wsp:rsid wsp:val=&quot;00E52744&quot;/&gt;&lt;wsp:rsid wsp:val=&quot;00E52AF5&quot;/&gt;&lt;wsp:rsid wsp:val=&quot;00E52CF0&quot;/&gt;&lt;wsp:rsid wsp:val=&quot;00E53921&quot;/&gt;&lt;wsp:rsid wsp:val=&quot;00E543E7&quot;/&gt;&lt;wsp:rsid wsp:val=&quot;00E553B8&quot;/&gt;&lt;wsp:rsid wsp:val=&quot;00E55783&quot;/&gt;&lt;wsp:rsid wsp:val=&quot;00E60F1C&quot;/&gt;&lt;wsp:rsid wsp:val=&quot;00E6122E&quot;/&gt;&lt;wsp:rsid wsp:val=&quot;00E62BBD&quot;/&gt;&lt;wsp:rsid wsp:val=&quot;00E62CBE&quot;/&gt;&lt;wsp:rsid wsp:val=&quot;00E63B94&quot;/&gt;&lt;wsp:rsid wsp:val=&quot;00E64083&quot;/&gt;&lt;wsp:rsid wsp:val=&quot;00E64538&quot;/&gt;&lt;wsp:rsid wsp:val=&quot;00E65F2C&quot;/&gt;&lt;wsp:rsid wsp:val=&quot;00E67CF5&quot;/&gt;&lt;wsp:rsid wsp:val=&quot;00E70989&quot;/&gt;&lt;wsp:rsid wsp:val=&quot;00E72384&quot;/&gt;&lt;wsp:rsid wsp:val=&quot;00E73DD4&quot;/&gt;&lt;wsp:rsid wsp:val=&quot;00E76291&quot;/&gt;&lt;wsp:rsid wsp:val=&quot;00E76814&quot;/&gt;&lt;wsp:rsid wsp:val=&quot;00E76E70&quot;/&gt;&lt;wsp:rsid wsp:val=&quot;00E77057&quot;/&gt;&lt;wsp:rsid wsp:val=&quot;00E80224&quot;/&gt;&lt;wsp:rsid wsp:val=&quot;00E807DC&quot;/&gt;&lt;wsp:rsid wsp:val=&quot;00E83D52&quot;/&gt;&lt;wsp:rsid wsp:val=&quot;00E84CAB&quot;/&gt;&lt;wsp:rsid wsp:val=&quot;00E8629C&quot;/&gt;&lt;wsp:rsid wsp:val=&quot;00E904CD&quot;/&gt;&lt;wsp:rsid wsp:val=&quot;00E9254C&quot;/&gt;&lt;wsp:rsid wsp:val=&quot;00E92AEE&quot;/&gt;&lt;wsp:rsid wsp:val=&quot;00E97157&quot;/&gt;&lt;wsp:rsid wsp:val=&quot;00EA2BFA&quot;/&gt;&lt;wsp:rsid wsp:val=&quot;00EA55AF&quot;/&gt;&lt;wsp:rsid wsp:val=&quot;00EA56FB&quot;/&gt;&lt;wsp:rsid wsp:val=&quot;00EA5F26&quot;/&gt;&lt;wsp:rsid wsp:val=&quot;00EA67EC&quot;/&gt;&lt;wsp:rsid wsp:val=&quot;00EA739A&quot;/&gt;&lt;wsp:rsid wsp:val=&quot;00EB1D31&quot;/&gt;&lt;wsp:rsid wsp:val=&quot;00EB305E&quot;/&gt;&lt;wsp:rsid wsp:val=&quot;00EB4C99&quot;/&gt;&lt;wsp:rsid wsp:val=&quot;00EC210C&quot;/&gt;&lt;wsp:rsid wsp:val=&quot;00EC30B7&quot;/&gt;&lt;wsp:rsid wsp:val=&quot;00EC4BE5&quot;/&gt;&lt;wsp:rsid wsp:val=&quot;00EC58D9&quot;/&gt;&lt;wsp:rsid wsp:val=&quot;00EC5E4E&quot;/&gt;&lt;wsp:rsid wsp:val=&quot;00ED05AE&quot;/&gt;&lt;wsp:rsid wsp:val=&quot;00ED1084&quot;/&gt;&lt;wsp:rsid wsp:val=&quot;00ED144B&quot;/&gt;&lt;wsp:rsid wsp:val=&quot;00ED30B4&quot;/&gt;&lt;wsp:rsid wsp:val=&quot;00ED3812&quot;/&gt;&lt;wsp:rsid wsp:val=&quot;00ED3B6E&quot;/&gt;&lt;wsp:rsid wsp:val=&quot;00ED3D11&quot;/&gt;&lt;wsp:rsid wsp:val=&quot;00ED50C1&quot;/&gt;&lt;wsp:rsid wsp:val=&quot;00ED5BDC&quot;/&gt;&lt;wsp:rsid wsp:val=&quot;00ED6F8D&quot;/&gt;&lt;wsp:rsid wsp:val=&quot;00ED7620&quot;/&gt;&lt;wsp:rsid wsp:val=&quot;00EE2C03&quot;/&gt;&lt;wsp:rsid wsp:val=&quot;00EE3EE7&quot;/&gt;&lt;wsp:rsid wsp:val=&quot;00EE5457&quot;/&gt;&lt;wsp:rsid wsp:val=&quot;00EE5D3B&quot;/&gt;&lt;wsp:rsid wsp:val=&quot;00EE7414&quot;/&gt;&lt;wsp:rsid wsp:val=&quot;00EF00A0&quot;/&gt;&lt;wsp:rsid wsp:val=&quot;00EF2C9E&quot;/&gt;&lt;wsp:rsid wsp:val=&quot;00EF4931&quot;/&gt;&lt;wsp:rsid wsp:val=&quot;00EF52D0&quot;/&gt;&lt;wsp:rsid wsp:val=&quot;00EF7731&quot;/&gt;&lt;wsp:rsid wsp:val=&quot;00F00328&quot;/&gt;&lt;wsp:rsid wsp:val=&quot;00F009D5&quot;/&gt;&lt;wsp:rsid wsp:val=&quot;00F02F41&quot;/&gt;&lt;wsp:rsid wsp:val=&quot;00F03C66&quot;/&gt;&lt;wsp:rsid wsp:val=&quot;00F03CE8&quot;/&gt;&lt;wsp:rsid wsp:val=&quot;00F03F56&quot;/&gt;&lt;wsp:rsid wsp:val=&quot;00F05B38&quot;/&gt;&lt;wsp:rsid wsp:val=&quot;00F06842&quot;/&gt;&lt;wsp:rsid wsp:val=&quot;00F06F1F&quot;/&gt;&lt;wsp:rsid wsp:val=&quot;00F10442&quot;/&gt;&lt;wsp:rsid wsp:val=&quot;00F114E6&quot;/&gt;&lt;wsp:rsid wsp:val=&quot;00F167E7&quot;/&gt;&lt;wsp:rsid wsp:val=&quot;00F17974&quot;/&gt;&lt;wsp:rsid wsp:val=&quot;00F2159A&quot;/&gt;&lt;wsp:rsid wsp:val=&quot;00F21F8E&quot;/&gt;&lt;wsp:rsid wsp:val=&quot;00F247AD&quot;/&gt;&lt;wsp:rsid wsp:val=&quot;00F24BFB&quot;/&gt;&lt;wsp:rsid wsp:val=&quot;00F254D2&quot;/&gt;&lt;wsp:rsid wsp:val=&quot;00F2568C&quot;/&gt;&lt;wsp:rsid wsp:val=&quot;00F256A1&quot;/&gt;&lt;wsp:rsid wsp:val=&quot;00F25BC8&quot;/&gt;&lt;wsp:rsid wsp:val=&quot;00F25E83&quot;/&gt;&lt;wsp:rsid wsp:val=&quot;00F27EBC&quot;/&gt;&lt;wsp:rsid wsp:val=&quot;00F323B7&quot;/&gt;&lt;wsp:rsid wsp:val=&quot;00F34CBE&quot;/&gt;&lt;wsp:rsid wsp:val=&quot;00F366E6&quot;/&gt;&lt;wsp:rsid wsp:val=&quot;00F41DC5&quot;/&gt;&lt;wsp:rsid wsp:val=&quot;00F4325E&quot;/&gt;&lt;wsp:rsid wsp:val=&quot;00F4380D&quot;/&gt;&lt;wsp:rsid wsp:val=&quot;00F43D89&quot;/&gt;&lt;wsp:rsid wsp:val=&quot;00F51710&quot;/&gt;&lt;wsp:rsid wsp:val=&quot;00F52303&quot;/&gt;&lt;wsp:rsid wsp:val=&quot;00F536F2&quot;/&gt;&lt;wsp:rsid wsp:val=&quot;00F556F0&quot;/&gt;&lt;wsp:rsid wsp:val=&quot;00F57160&quot;/&gt;&lt;wsp:rsid wsp:val=&quot;00F6045A&quot;/&gt;&lt;wsp:rsid wsp:val=&quot;00F661DD&quot;/&gt;&lt;wsp:rsid wsp:val=&quot;00F66411&quot;/&gt;&lt;wsp:rsid wsp:val=&quot;00F66B0D&quot;/&gt;&lt;wsp:rsid wsp:val=&quot;00F71555&quot;/&gt;&lt;wsp:rsid wsp:val=&quot;00F72861&quot;/&gt;&lt;wsp:rsid wsp:val=&quot;00F735B5&quot;/&gt;&lt;wsp:rsid wsp:val=&quot;00F7369D&quot;/&gt;&lt;wsp:rsid wsp:val=&quot;00F73F25&quot;/&gt;&lt;wsp:rsid wsp:val=&quot;00F76757&quot;/&gt;&lt;wsp:rsid wsp:val=&quot;00F775B7&quot;/&gt;&lt;wsp:rsid wsp:val=&quot;00F80036&quot;/&gt;&lt;wsp:rsid wsp:val=&quot;00F80719&quot;/&gt;&lt;wsp:rsid wsp:val=&quot;00F8118C&quot;/&gt;&lt;wsp:rsid wsp:val=&quot;00F818D0&quot;/&gt;&lt;wsp:rsid wsp:val=&quot;00F82340&quot;/&gt;&lt;wsp:rsid wsp:val=&quot;00F825E1&quot;/&gt;&lt;wsp:rsid wsp:val=&quot;00F83740&quot;/&gt;&lt;wsp:rsid wsp:val=&quot;00F839B4&quot;/&gt;&lt;wsp:rsid wsp:val=&quot;00F83C2C&quot;/&gt;&lt;wsp:rsid wsp:val=&quot;00F83C71&quot;/&gt;&lt;wsp:rsid wsp:val=&quot;00F8461B&quot;/&gt;&lt;wsp:rsid wsp:val=&quot;00F867F0&quot;/&gt;&lt;wsp:rsid wsp:val=&quot;00F90570&quot;/&gt;&lt;wsp:rsid wsp:val=&quot;00F90E25&quot;/&gt;&lt;wsp:rsid wsp:val=&quot;00F90F12&quot;/&gt;&lt;wsp:rsid wsp:val=&quot;00F93C84&quot;/&gt;&lt;wsp:rsid wsp:val=&quot;00F97FC3&quot;/&gt;&lt;wsp:rsid wsp:val=&quot;00FA17E1&quot;/&gt;&lt;wsp:rsid wsp:val=&quot;00FA2149&quot;/&gt;&lt;wsp:rsid wsp:val=&quot;00FA3457&quot;/&gt;&lt;wsp:rsid wsp:val=&quot;00FA4D09&quot;/&gt;&lt;wsp:rsid wsp:val=&quot;00FA5073&quot;/&gt;&lt;wsp:rsid wsp:val=&quot;00FA549C&quot;/&gt;&lt;wsp:rsid wsp:val=&quot;00FA5DC4&quot;/&gt;&lt;wsp:rsid wsp:val=&quot;00FA6845&quot;/&gt;&lt;wsp:rsid wsp:val=&quot;00FA68B1&quot;/&gt;&lt;wsp:rsid wsp:val=&quot;00FB00EF&quot;/&gt;&lt;wsp:rsid wsp:val=&quot;00FB31E4&quot;/&gt;&lt;wsp:rsid wsp:val=&quot;00FB369A&quot;/&gt;&lt;wsp:rsid wsp:val=&quot;00FB41FA&quot;/&gt;&lt;wsp:rsid wsp:val=&quot;00FB4C83&quot;/&gt;&lt;wsp:rsid wsp:val=&quot;00FB6822&quot;/&gt;&lt;wsp:rsid wsp:val=&quot;00FC05A9&quot;/&gt;&lt;wsp:rsid wsp:val=&quot;00FC0DC9&quot;/&gt;&lt;wsp:rsid wsp:val=&quot;00FC3F4B&quot;/&gt;&lt;wsp:rsid wsp:val=&quot;00FC4162&quot;/&gt;&lt;wsp:rsid wsp:val=&quot;00FC4469&quot;/&gt;&lt;wsp:rsid wsp:val=&quot;00FC4D4B&quot;/&gt;&lt;wsp:rsid wsp:val=&quot;00FC6BB8&quot;/&gt;&lt;wsp:rsid wsp:val=&quot;00FC71C2&quot;/&gt;&lt;wsp:rsid wsp:val=&quot;00FC7B39&quot;/&gt;&lt;wsp:rsid wsp:val=&quot;00FC7CE4&quot;/&gt;&lt;wsp:rsid wsp:val=&quot;00FD0342&quot;/&gt;&lt;wsp:rsid wsp:val=&quot;00FD1B64&quot;/&gt;&lt;wsp:rsid wsp:val=&quot;00FD1F0C&quot;/&gt;&lt;wsp:rsid wsp:val=&quot;00FD43D3&quot;/&gt;&lt;wsp:rsid wsp:val=&quot;00FD485C&quot;/&gt;&lt;wsp:rsid wsp:val=&quot;00FD7696&quot;/&gt;&lt;wsp:rsid wsp:val=&quot;00FE07BC&quot;/&gt;&lt;wsp:rsid wsp:val=&quot;00FE10BF&quot;/&gt;&lt;wsp:rsid wsp:val=&quot;00FE2301&quot;/&gt;&lt;wsp:rsid wsp:val=&quot;00FE3ECA&quot;/&gt;&lt;wsp:rsid wsp:val=&quot;00FE5117&quot;/&gt;&lt;wsp:rsid wsp:val=&quot;00FE591C&quot;/&gt;&lt;wsp:rsid wsp:val=&quot;00FE66DF&quot;/&gt;&lt;wsp:rsid wsp:val=&quot;00FE788E&quot;/&gt;&lt;wsp:rsid wsp:val=&quot;00FF04F0&quot;/&gt;&lt;wsp:rsid wsp:val=&quot;00FF0A73&quot;/&gt;&lt;wsp:rsid wsp:val=&quot;00FF2D7F&quot;/&gt;&lt;wsp:rsid wsp:val=&quot;00FF3B26&quot;/&gt;&lt;wsp:rsid wsp:val=&quot;00FF3BBC&quot;/&gt;&lt;wsp:rsid wsp:val=&quot;00FF3DD8&quot;/&gt;&lt;wsp:rsid wsp:val=&quot;00FF46A7&quot;/&gt;&lt;wsp:rsid wsp:val=&quot;00FF46D5&quot;/&gt;&lt;wsp:rsid wsp:val=&quot;00FF4D0A&quot;/&gt;&lt;wsp:rsid wsp:val=&quot;00FF5DFC&quot;/&gt;&lt;wsp:rsid wsp:val=&quot;00FF662E&quot;/&gt;&lt;wsp:rsid wsp:val=&quot;00FF78CE&quot;/&gt;&lt;wsp:rsid wsp:val=&quot;010C2981&quot;/&gt;&lt;wsp:rsid wsp:val=&quot;023C527F&quot;/&gt;&lt;wsp:rsid wsp:val=&quot;02F3339A&quot;/&gt;&lt;wsp:rsid wsp:val=&quot;05D91CC6&quot;/&gt;&lt;wsp:rsid wsp:val=&quot;0CC87AC2&quot;/&gt;&lt;wsp:rsid wsp:val=&quot;1229517D&quot;/&gt;&lt;wsp:rsid wsp:val=&quot;14A41D5F&quot;/&gt;&lt;wsp:rsid wsp:val=&quot;164A0475&quot;/&gt;&lt;wsp:rsid wsp:val=&quot;186020A6&quot;/&gt;&lt;wsp:rsid wsp:val=&quot;19310A8B&quot;/&gt;&lt;wsp:rsid wsp:val=&quot;1AB573F0&quot;/&gt;&lt;wsp:rsid wsp:val=&quot;1CF92232&quot;/&gt;&lt;wsp:rsid wsp:val=&quot;1E397353&quot;/&gt;&lt;wsp:rsid wsp:val=&quot;23B542A1&quot;/&gt;&lt;wsp:rsid wsp:val=&quot;245C7BC4&quot;/&gt;&lt;wsp:rsid wsp:val=&quot;2A17557F&quot;/&gt;&lt;wsp:rsid wsp:val=&quot;2A492A9C&quot;/&gt;&lt;wsp:rsid wsp:val=&quot;2A8566A7&quot;/&gt;&lt;wsp:rsid wsp:val=&quot;30E57C41&quot;/&gt;&lt;wsp:rsid wsp:val=&quot;315B4962&quot;/&gt;&lt;wsp:rsid wsp:val=&quot;32791BC3&quot;/&gt;&lt;wsp:rsid wsp:val=&quot;33267902&quot;/&gt;&lt;wsp:rsid wsp:val=&quot;350A1F81&quot;/&gt;&lt;wsp:rsid wsp:val=&quot;359C4321&quot;/&gt;&lt;wsp:rsid wsp:val=&quot;41943A36&quot;/&gt;&lt;wsp:rsid wsp:val=&quot;51636229&quot;/&gt;&lt;wsp:rsid wsp:val=&quot;52031F12&quot;/&gt;&lt;wsp:rsid wsp:val=&quot;54555237&quot;/&gt;&lt;wsp:rsid wsp:val=&quot;548E7DC4&quot;/&gt;&lt;wsp:rsid wsp:val=&quot;5C041DB5&quot;/&gt;&lt;wsp:rsid wsp:val=&quot;5CC90A15&quot;/&gt;&lt;wsp:rsid wsp:val=&quot;5E913859&quot;/&gt;&lt;wsp:rsid wsp:val=&quot;61357D12&quot;/&gt;&lt;wsp:rsid wsp:val=&quot;624559BB&quot;/&gt;&lt;wsp:rsid wsp:val=&quot;67CD2F03&quot;/&gt;&lt;wsp:rsid wsp:val=&quot;6C9B5953&quot;/&gt;&lt;wsp:rsid wsp:val=&quot;6F501183&quot;/&gt;&lt;wsp:rsid wsp:val=&quot;6FB03D8C&quot;/&gt;&lt;wsp:rsid wsp:val=&quot;70070EFB&quot;/&gt;&lt;wsp:rsid wsp:val=&quot;70DE276D&quot;/&gt;&lt;wsp:rsid wsp:val=&quot;7347665F&quot;/&gt;&lt;wsp:rsid wsp:val=&quot;7C543980&quot;/&gt;&lt;/wsp:rsids&gt;&lt;/w:docPr&gt;&lt;w:body&gt;&lt;w:p wsp:rsidR=&quot;00000000&quot; wsp:rsidRDefault=&quot;00537292&quot;&gt;&lt;m:oMathPara&gt;&lt;m:oMath&gt;&lt;m:r&gt;&lt;m:rPr&gt;&lt;m:sty m:val=&quot;p&quot;/&gt;&lt;/m:rPr&gt;&lt;w:rPr&gt;&lt;w:rFonts w:ascii=&quot;Cambria Math&quot; w:h-ansi=&quot;Cambria Math&quot;/&gt;&lt;wx:font wx:val=&quot;Cambria Math&quot;/&gt;&lt;w:color w:val=&quot;FF0000&quot;/&gt;&lt;w:kern w:val=&quot;0&quot;/&gt;&lt;w:sz w:val=&quot;24&quot;/&gt;&lt;w:sz-cs w:val=&quot;20&quot;/&gt;&lt;/w:rPr&gt;&lt;m:t&gt;……&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body&gt;&lt;/w:wordDocument">
                  <v:path/>
                  <v:fill on="f" focussize="0,0"/>
                  <v:stroke on="f"/>
                  <v:imagedata r:id="rId13" chromakey="#FFFFFF" o:title=""/>
                  <o:lock v:ext="edit" aspectratio="t"/>
                  <w10:wrap type="none"/>
                  <w10:anchorlock/>
                </v:shape>
              </w:pict>
            </w:r>
            <w:r>
              <w:rPr>
                <w:rFonts w:hint="default" w:ascii="Times New Roman" w:hAnsi="Times New Roman" w:cs="Times New Roman"/>
                <w:color w:val="auto"/>
                <w:sz w:val="21"/>
                <w:szCs w:val="22"/>
                <w:highlight w:val="none"/>
              </w:rPr>
              <w:instrText xml:space="preserve"> </w:instrText>
            </w:r>
            <w:r>
              <w:rPr>
                <w:rFonts w:hint="default" w:ascii="Times New Roman" w:hAnsi="Times New Roman" w:cs="Times New Roman"/>
                <w:color w:val="auto"/>
                <w:sz w:val="21"/>
                <w:szCs w:val="22"/>
                <w:highlight w:val="none"/>
              </w:rPr>
              <w:fldChar w:fldCharType="separate"/>
            </w:r>
            <w:r>
              <w:rPr>
                <w:rFonts w:hint="default" w:ascii="Times New Roman" w:hAnsi="Times New Roman" w:cs="Times New Roman"/>
                <w:color w:val="auto"/>
                <w:sz w:val="21"/>
                <w:szCs w:val="22"/>
                <w:highlight w:val="none"/>
              </w:rPr>
              <w:pict>
                <v:shape id="_x0000_i1028" o:spt="75" type="#_x0000_t75" style="height:14.25pt;width:20.25pt;" filled="f" stroked="f" coordsize="21600,21600" equationxml="&lt;?xml version=&quot;1.0&quot; encoding=&quot;UTF-8&quot; standalone=&quot;yes&quot;?&gt;&#13;&#10;&lt;?mso-application progid=&quot;Word.Document&quot;?&gt;&#13;&#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stylePaneFormatFilter w:val=&quot;3F01&quot;/&gt;&lt;w:defaultTabStop w:val=&quot;420&quot;/&gt;&lt;w:drawingGridHorizontalSpacing w:val=&quot;105&quot;/&gt;&lt;w:drawingGridVerticalSpacing w:val=&quot;156&quot;/&gt;&lt;w:characterSpacingControl w:val=&quot;CompressPunctuation&quot;/&gt;&lt;w:webPageEncoding w:val=&quot;x-cp20936&quot;/&gt;&lt;w:optimizeForBrowser/&gt;&lt;w:validateAgainstSchema/&gt;&lt;w:saveInvalidXML w:val=&quot;off&quot;/&gt;&lt;w:ignoreMixedContent w:val=&quot;off&quot;/&gt;&lt;w:alwaysShowPlaceholderText w:val=&quot;off&quot;/&gt;&lt;w:compat&gt;&lt;w:spaceForUL/&gt;&lt;w:balanceSingleByteDoubleByteWidth/&gt;&lt;w:doNotLeaveBackslashAlone/&gt;&lt;w:doNotExpandShiftReturn/&gt;&lt;w:adjustLineHeightInTable/&gt;&lt;w:breakWrappedTables/&gt;&lt;w:snapToGridInCell/&gt;&lt;w:dontGrowAutofit/&gt;&lt;w:useFELayout/&gt;&lt;/w:compat&gt;&lt;wsp:rsids&gt;&lt;wsp:rsidRoot wsp:val=&quot;005D01AC&quot;/&gt;&lt;wsp:rsid wsp:val=&quot;000008C9&quot;/&gt;&lt;wsp:rsid wsp:val=&quot;00000A1F&quot;/&gt;&lt;wsp:rsid wsp:val=&quot;00000CB6&quot;/&gt;&lt;wsp:rsid wsp:val=&quot;000011FD&quot;/&gt;&lt;wsp:rsid wsp:val=&quot;0000207E&quot;/&gt;&lt;wsp:rsid wsp:val=&quot;000046B3&quot;/&gt;&lt;wsp:rsid wsp:val=&quot;000064F5&quot;/&gt;&lt;wsp:rsid wsp:val=&quot;0000797E&quot;/&gt;&lt;wsp:rsid wsp:val=&quot;0001047A&quot;/&gt;&lt;wsp:rsid wsp:val=&quot;00012460&quot;/&gt;&lt;wsp:rsid wsp:val=&quot;00016F18&quot;/&gt;&lt;wsp:rsid wsp:val=&quot;00017180&quot;/&gt;&lt;wsp:rsid wsp:val=&quot;0001755A&quot;/&gt;&lt;wsp:rsid wsp:val=&quot;0002110C&quot;/&gt;&lt;wsp:rsid wsp:val=&quot;00021817&quot;/&gt;&lt;wsp:rsid wsp:val=&quot;000244B2&quot;/&gt;&lt;wsp:rsid wsp:val=&quot;00024688&quot;/&gt;&lt;wsp:rsid wsp:val=&quot;00025BED&quot;/&gt;&lt;wsp:rsid wsp:val=&quot;00027486&quot;/&gt;&lt;wsp:rsid wsp:val=&quot;000305FC&quot;/&gt;&lt;wsp:rsid wsp:val=&quot;00031923&quot;/&gt;&lt;wsp:rsid wsp:val=&quot;0003290A&quot;/&gt;&lt;wsp:rsid wsp:val=&quot;000354E2&quot;/&gt;&lt;wsp:rsid wsp:val=&quot;000361E0&quot;/&gt;&lt;wsp:rsid wsp:val=&quot;000370BD&quot;/&gt;&lt;wsp:rsid wsp:val=&quot;00040DBE&quot;/&gt;&lt;wsp:rsid wsp:val=&quot;00041459&quot;/&gt;&lt;wsp:rsid wsp:val=&quot;00041E2C&quot;/&gt;&lt;wsp:rsid wsp:val=&quot;000440C4&quot;/&gt;&lt;wsp:rsid wsp:val=&quot;000440F6&quot;/&gt;&lt;wsp:rsid wsp:val=&quot;00044E78&quot;/&gt;&lt;wsp:rsid wsp:val=&quot;000452E5&quot;/&gt;&lt;wsp:rsid wsp:val=&quot;00046579&quot;/&gt;&lt;wsp:rsid wsp:val=&quot;000476A3&quot;/&gt;&lt;wsp:rsid wsp:val=&quot;00052456&quot;/&gt;&lt;wsp:rsid wsp:val=&quot;00055348&quot;/&gt;&lt;wsp:rsid wsp:val=&quot;00056753&quot;/&gt;&lt;wsp:rsid wsp:val=&quot;00056EE7&quot;/&gt;&lt;wsp:rsid wsp:val=&quot;00057AC7&quot;/&gt;&lt;wsp:rsid wsp:val=&quot;00061B93&quot;/&gt;&lt;wsp:rsid wsp:val=&quot;000624DB&quot;/&gt;&lt;wsp:rsid wsp:val=&quot;00063368&quot;/&gt;&lt;wsp:rsid wsp:val=&quot;000633A2&quot;/&gt;&lt;wsp:rsid wsp:val=&quot;00063BEF&quot;/&gt;&lt;wsp:rsid wsp:val=&quot;000654DA&quot;/&gt;&lt;wsp:rsid wsp:val=&quot;00065974&quot;/&gt;&lt;wsp:rsid wsp:val=&quot;000717E4&quot;/&gt;&lt;wsp:rsid wsp:val=&quot;000751CC&quot;/&gt;&lt;wsp:rsid wsp:val=&quot;000768D7&quot;/&gt;&lt;wsp:rsid wsp:val=&quot;00076AAC&quot;/&gt;&lt;wsp:rsid wsp:val=&quot;00080B00&quot;/&gt;&lt;wsp:rsid wsp:val=&quot;000846CA&quot;/&gt;&lt;wsp:rsid wsp:val=&quot;000856C9&quot;/&gt;&lt;wsp:rsid wsp:val=&quot;0008605D&quot;/&gt;&lt;wsp:rsid wsp:val=&quot;0008771C&quot;/&gt;&lt;wsp:rsid wsp:val=&quot;00090492&quot;/&gt;&lt;wsp:rsid wsp:val=&quot;000904C5&quot;/&gt;&lt;wsp:rsid wsp:val=&quot;00090D52&quot;/&gt;&lt;wsp:rsid wsp:val=&quot;00092A3D&quot;/&gt;&lt;wsp:rsid wsp:val=&quot;00093B18&quot;/&gt;&lt;wsp:rsid wsp:val=&quot;0009690B&quot;/&gt;&lt;wsp:rsid wsp:val=&quot;00097845&quot;/&gt;&lt;wsp:rsid wsp:val=&quot;000A0EBB&quot;/&gt;&lt;wsp:rsid wsp:val=&quot;000A1C2B&quot;/&gt;&lt;wsp:rsid wsp:val=&quot;000A457D&quot;/&gt;&lt;wsp:rsid wsp:val=&quot;000A4581&quot;/&gt;&lt;wsp:rsid wsp:val=&quot;000A5354&quot;/&gt;&lt;wsp:rsid wsp:val=&quot;000B02EA&quot;/&gt;&lt;wsp:rsid wsp:val=&quot;000B0E0C&quot;/&gt;&lt;wsp:rsid wsp:val=&quot;000B1F20&quot;/&gt;&lt;wsp:rsid wsp:val=&quot;000B3717&quot;/&gt;&lt;wsp:rsid wsp:val=&quot;000B3D22&quot;/&gt;&lt;wsp:rsid wsp:val=&quot;000B4788&quot;/&gt;&lt;wsp:rsid wsp:val=&quot;000B49B0&quot;/&gt;&lt;wsp:rsid wsp:val=&quot;000B59D4&quot;/&gt;&lt;wsp:rsid wsp:val=&quot;000B5C59&quot;/&gt;&lt;wsp:rsid wsp:val=&quot;000B606E&quot;/&gt;&lt;wsp:rsid wsp:val=&quot;000B6812&quot;/&gt;&lt;wsp:rsid wsp:val=&quot;000C0763&quot;/&gt;&lt;wsp:rsid wsp:val=&quot;000C1DF2&quot;/&gt;&lt;wsp:rsid wsp:val=&quot;000C43D2&quot;/&gt;&lt;wsp:rsid wsp:val=&quot;000C4CC7&quot;/&gt;&lt;wsp:rsid wsp:val=&quot;000C52F8&quot;/&gt;&lt;wsp:rsid wsp:val=&quot;000C6ECC&quot;/&gt;&lt;wsp:rsid wsp:val=&quot;000C780B&quot;/&gt;&lt;wsp:rsid wsp:val=&quot;000D04CD&quot;/&gt;&lt;wsp:rsid wsp:val=&quot;000D1301&quot;/&gt;&lt;wsp:rsid wsp:val=&quot;000D1619&quot;/&gt;&lt;wsp:rsid wsp:val=&quot;000D16DD&quot;/&gt;&lt;wsp:rsid wsp:val=&quot;000D1FE1&quot;/&gt;&lt;wsp:rsid wsp:val=&quot;000D26D0&quot;/&gt;&lt;wsp:rsid wsp:val=&quot;000D2FE4&quot;/&gt;&lt;wsp:rsid wsp:val=&quot;000D40AC&quot;/&gt;&lt;wsp:rsid wsp:val=&quot;000D4A6B&quot;/&gt;&lt;wsp:rsid wsp:val=&quot;000D5BD2&quot;/&gt;&lt;wsp:rsid wsp:val=&quot;000D79DF&quot;/&gt;&lt;wsp:rsid wsp:val=&quot;000E0B0C&quot;/&gt;&lt;wsp:rsid wsp:val=&quot;000E18DB&quot;/&gt;&lt;wsp:rsid wsp:val=&quot;000E1EA2&quot;/&gt;&lt;wsp:rsid wsp:val=&quot;000E3196&quot;/&gt;&lt;wsp:rsid wsp:val=&quot;000E42F2&quot;/&gt;&lt;wsp:rsid wsp:val=&quot;000E4373&quot;/&gt;&lt;wsp:rsid wsp:val=&quot;000E61FF&quot;/&gt;&lt;wsp:rsid wsp:val=&quot;000E639B&quot;/&gt;&lt;wsp:rsid wsp:val=&quot;000E6F62&quot;/&gt;&lt;wsp:rsid wsp:val=&quot;000F166E&quot;/&gt;&lt;wsp:rsid wsp:val=&quot;000F20E0&quot;/&gt;&lt;wsp:rsid wsp:val=&quot;000F34B1&quot;/&gt;&lt;wsp:rsid wsp:val=&quot;000F385E&quot;/&gt;&lt;wsp:rsid wsp:val=&quot;000F569E&quot;/&gt;&lt;wsp:rsid wsp:val=&quot;000F64EF&quot;/&gt;&lt;wsp:rsid wsp:val=&quot;000F69A2&quot;/&gt;&lt;wsp:rsid wsp:val=&quot;000F77AC&quot;/&gt;&lt;wsp:rsid wsp:val=&quot;000F7CCB&quot;/&gt;&lt;wsp:rsid wsp:val=&quot;001001CA&quot;/&gt;&lt;wsp:rsid wsp:val=&quot;00104348&quot;/&gt;&lt;wsp:rsid wsp:val=&quot;00105BAE&quot;/&gt;&lt;wsp:rsid wsp:val=&quot;00107690&quot;/&gt;&lt;wsp:rsid wsp:val=&quot;00107F09&quot;/&gt;&lt;wsp:rsid wsp:val=&quot;00111F82&quot;/&gt;&lt;wsp:rsid wsp:val=&quot;00112742&quot;/&gt;&lt;wsp:rsid wsp:val=&quot;00112D8D&quot;/&gt;&lt;wsp:rsid wsp:val=&quot;00112F8D&quot;/&gt;&lt;wsp:rsid wsp:val=&quot;00114A1C&quot;/&gt;&lt;wsp:rsid wsp:val=&quot;00115178&quot;/&gt;&lt;wsp:rsid wsp:val=&quot;00115B37&quot;/&gt;&lt;wsp:rsid wsp:val=&quot;001164A4&quot;/&gt;&lt;wsp:rsid wsp:val=&quot;00120CAA&quot;/&gt;&lt;wsp:rsid wsp:val=&quot;00121049&quot;/&gt;&lt;wsp:rsid wsp:val=&quot;00121C5D&quot;/&gt;&lt;wsp:rsid wsp:val=&quot;00122E83&quot;/&gt;&lt;wsp:rsid wsp:val=&quot;00123651&quot;/&gt;&lt;wsp:rsid wsp:val=&quot;001238D5&quot;/&gt;&lt;wsp:rsid wsp:val=&quot;00123C23&quot;/&gt;&lt;wsp:rsid wsp:val=&quot;001266E0&quot;/&gt;&lt;wsp:rsid wsp:val=&quot;0012703F&quot;/&gt;&lt;wsp:rsid wsp:val=&quot;001323FB&quot;/&gt;&lt;wsp:rsid wsp:val=&quot;00132A67&quot;/&gt;&lt;wsp:rsid wsp:val=&quot;00133A37&quot;/&gt;&lt;wsp:rsid wsp:val=&quot;00134F13&quot;/&gt;&lt;wsp:rsid wsp:val=&quot;00135721&quot;/&gt;&lt;wsp:rsid wsp:val=&quot;001368EB&quot;/&gt;&lt;wsp:rsid wsp:val=&quot;00137872&quot;/&gt;&lt;wsp:rsid wsp:val=&quot;00140042&quot;/&gt;&lt;wsp:rsid wsp:val=&quot;00144D60&quot;/&gt;&lt;wsp:rsid wsp:val=&quot;00146317&quot;/&gt;&lt;wsp:rsid wsp:val=&quot;00152E1A&quot;/&gt;&lt;wsp:rsid wsp:val=&quot;001547C7&quot;/&gt;&lt;wsp:rsid wsp:val=&quot;00154EEE&quot;/&gt;&lt;wsp:rsid wsp:val=&quot;00155998&quot;/&gt;&lt;wsp:rsid wsp:val=&quot;00155BAD&quot;/&gt;&lt;wsp:rsid wsp:val=&quot;001560C7&quot;/&gt;&lt;wsp:rsid wsp:val=&quot;00156DC2&quot;/&gt;&lt;wsp:rsid wsp:val=&quot;001619E4&quot;/&gt;&lt;wsp:rsid wsp:val=&quot;00162061&quot;/&gt;&lt;wsp:rsid wsp:val=&quot;00162F3C&quot;/&gt;&lt;wsp:rsid wsp:val=&quot;00163FB7&quot;/&gt;&lt;wsp:rsid wsp:val=&quot;001649C5&quot;/&gt;&lt;wsp:rsid wsp:val=&quot;00164F32&quot;/&gt;&lt;wsp:rsid wsp:val=&quot;00171E7D&quot;/&gt;&lt;wsp:rsid wsp:val=&quot;00172FFC&quot;/&gt;&lt;wsp:rsid wsp:val=&quot;00173706&quot;/&gt;&lt;wsp:rsid wsp:val=&quot;00173C37&quot;/&gt;&lt;wsp:rsid wsp:val=&quot;00174BAF&quot;/&gt;&lt;wsp:rsid wsp:val=&quot;00175068&quot;/&gt;&lt;wsp:rsid wsp:val=&quot;0017634D&quot;/&gt;&lt;wsp:rsid wsp:val=&quot;00177DEB&quot;/&gt;&lt;wsp:rsid wsp:val=&quot;0018078E&quot;/&gt;&lt;wsp:rsid wsp:val=&quot;00180AF8&quot;/&gt;&lt;wsp:rsid wsp:val=&quot;0018124D&quot;/&gt;&lt;wsp:rsid wsp:val=&quot;00183C98&quot;/&gt;&lt;wsp:rsid wsp:val=&quot;00184394&quot;/&gt;&lt;wsp:rsid wsp:val=&quot;00186BBD&quot;/&gt;&lt;wsp:rsid wsp:val=&quot;00187303&quot;/&gt;&lt;wsp:rsid wsp:val=&quot;0018753A&quot;/&gt;&lt;wsp:rsid wsp:val=&quot;00187A2C&quot;/&gt;&lt;wsp:rsid wsp:val=&quot;00187A3A&quot;/&gt;&lt;wsp:rsid wsp:val=&quot;00187C69&quot;/&gt;&lt;wsp:rsid wsp:val=&quot;00191262&quot;/&gt;&lt;wsp:rsid wsp:val=&quot;00192689&quot;/&gt;&lt;wsp:rsid wsp:val=&quot;0019344A&quot;/&gt;&lt;wsp:rsid wsp:val=&quot;00193683&quot;/&gt;&lt;wsp:rsid wsp:val=&quot;00194477&quot;/&gt;&lt;wsp:rsid wsp:val=&quot;00195923&quot;/&gt;&lt;wsp:rsid wsp:val=&quot;0019658C&quot;/&gt;&lt;wsp:rsid wsp:val=&quot;001A01E8&quot;/&gt;&lt;wsp:rsid wsp:val=&quot;001A3BED&quot;/&gt;&lt;wsp:rsid wsp:val=&quot;001A6B7D&quot;/&gt;&lt;wsp:rsid wsp:val=&quot;001B003A&quot;/&gt;&lt;wsp:rsid wsp:val=&quot;001B39CC&quot;/&gt;&lt;wsp:rsid wsp:val=&quot;001B60D6&quot;/&gt;&lt;wsp:rsid wsp:val=&quot;001B768B&quot;/&gt;&lt;wsp:rsid wsp:val=&quot;001C51AE&quot;/&gt;&lt;wsp:rsid wsp:val=&quot;001C73DC&quot;/&gt;&lt;wsp:rsid wsp:val=&quot;001C759A&quot;/&gt;&lt;wsp:rsid wsp:val=&quot;001D0721&quot;/&gt;&lt;wsp:rsid wsp:val=&quot;001D2694&quot;/&gt;&lt;wsp:rsid wsp:val=&quot;001D4A95&quot;/&gt;&lt;wsp:rsid wsp:val=&quot;001D5EFD&quot;/&gt;&lt;wsp:rsid wsp:val=&quot;001D6C4D&quot;/&gt;&lt;wsp:rsid wsp:val=&quot;001E4939&quot;/&gt;&lt;wsp:rsid wsp:val=&quot;001E66E3&quot;/&gt;&lt;wsp:rsid wsp:val=&quot;001F4081&quot;/&gt;&lt;wsp:rsid wsp:val=&quot;001F456C&quot;/&gt;&lt;wsp:rsid wsp:val=&quot;001F4A62&quot;/&gt;&lt;wsp:rsid wsp:val=&quot;001F7A9E&quot;/&gt;&lt;wsp:rsid wsp:val=&quot;00200D9A&quot;/&gt;&lt;wsp:rsid wsp:val=&quot;002011DF&quot;/&gt;&lt;wsp:rsid wsp:val=&quot;0020280A&quot;/&gt;&lt;wsp:rsid wsp:val=&quot;00203F83&quot;/&gt;&lt;wsp:rsid wsp:val=&quot;0020411B&quot;/&gt;&lt;wsp:rsid wsp:val=&quot;002069BF&quot;/&gt;&lt;wsp:rsid wsp:val=&quot;00207D06&quot;/&gt;&lt;wsp:rsid wsp:val=&quot;002125E6&quot;/&gt;&lt;wsp:rsid wsp:val=&quot;0021263F&quot;/&gt;&lt;wsp:rsid wsp:val=&quot;002133D7&quot;/&gt;&lt;wsp:rsid wsp:val=&quot;002159FD&quot;/&gt;&lt;wsp:rsid wsp:val=&quot;00216616&quot;/&gt;&lt;wsp:rsid wsp:val=&quot;0022038A&quot;/&gt;&lt;wsp:rsid wsp:val=&quot;00220BE9&quot;/&gt;&lt;wsp:rsid wsp:val=&quot;00220CD8&quot;/&gt;&lt;wsp:rsid wsp:val=&quot;00225CED&quot;/&gt;&lt;wsp:rsid wsp:val=&quot;00226D1D&quot;/&gt;&lt;wsp:rsid wsp:val=&quot;00227415&quot;/&gt;&lt;wsp:rsid wsp:val=&quot;002329B8&quot;/&gt;&lt;wsp:rsid wsp:val=&quot;00232FE8&quot;/&gt;&lt;wsp:rsid wsp:val=&quot;002337A2&quot;/&gt;&lt;wsp:rsid wsp:val=&quot;00235F59&quot;/&gt;&lt;wsp:rsid wsp:val=&quot;00237B00&quot;/&gt;&lt;wsp:rsid wsp:val=&quot;00240567&quot;/&gt;&lt;wsp:rsid wsp:val=&quot;00240889&quot;/&gt;&lt;wsp:rsid wsp:val=&quot;00240C23&quot;/&gt;&lt;wsp:rsid wsp:val=&quot;00241986&quot;/&gt;&lt;wsp:rsid wsp:val=&quot;00242EAD&quot;/&gt;&lt;wsp:rsid wsp:val=&quot;00245A30&quot;/&gt;&lt;wsp:rsid wsp:val=&quot;00245A74&quot;/&gt;&lt;wsp:rsid wsp:val=&quot;00245E84&quot;/&gt;&lt;wsp:rsid wsp:val=&quot;00252F7C&quot;/&gt;&lt;wsp:rsid wsp:val=&quot;00253DA9&quot;/&gt;&lt;wsp:rsid wsp:val=&quot;00256A63&quot;/&gt;&lt;wsp:rsid wsp:val=&quot;00260935&quot;/&gt;&lt;wsp:rsid wsp:val=&quot;00262C52&quot;/&gt;&lt;wsp:rsid wsp:val=&quot;00264782&quot;/&gt;&lt;wsp:rsid wsp:val=&quot;00264B01&quot;/&gt;&lt;wsp:rsid wsp:val=&quot;0026655B&quot;/&gt;&lt;wsp:rsid wsp:val=&quot;00267E74&quot;/&gt;&lt;wsp:rsid wsp:val=&quot;0027018A&quot;/&gt;&lt;wsp:rsid wsp:val=&quot;00276258&quot;/&gt;&lt;wsp:rsid wsp:val=&quot;00277CB1&quot;/&gt;&lt;wsp:rsid wsp:val=&quot;002803B4&quot;/&gt;&lt;wsp:rsid wsp:val=&quot;002809AF&quot;/&gt;&lt;wsp:rsid wsp:val=&quot;00282229&quot;/&gt;&lt;wsp:rsid wsp:val=&quot;00282F99&quot;/&gt;&lt;wsp:rsid wsp:val=&quot;00283824&quot;/&gt;&lt;wsp:rsid wsp:val=&quot;00285E76&quot;/&gt;&lt;wsp:rsid wsp:val=&quot;002871C2&quot;/&gt;&lt;wsp:rsid wsp:val=&quot;00290441&quot;/&gt;&lt;wsp:rsid wsp:val=&quot;00290DFC&quot;/&gt;&lt;wsp:rsid wsp:val=&quot;0029259A&quot;/&gt;&lt;wsp:rsid wsp:val=&quot;00293047&quot;/&gt;&lt;wsp:rsid wsp:val=&quot;00294052&quot;/&gt;&lt;wsp:rsid wsp:val=&quot;002941EB&quot;/&gt;&lt;wsp:rsid wsp:val=&quot;002951E0&quot;/&gt;&lt;wsp:rsid wsp:val=&quot;00296822&quot;/&gt;&lt;wsp:rsid wsp:val=&quot;002978F0&quot;/&gt;&lt;wsp:rsid wsp:val=&quot;00297BD1&quot;/&gt;&lt;wsp:rsid wsp:val=&quot;00297C52&quot;/&gt;&lt;wsp:rsid wsp:val=&quot;002A4958&quot;/&gt;&lt;wsp:rsid wsp:val=&quot;002A6289&quot;/&gt;&lt;wsp:rsid wsp:val=&quot;002B223E&quot;/&gt;&lt;wsp:rsid wsp:val=&quot;002B472D&quot;/&gt;&lt;wsp:rsid wsp:val=&quot;002B61EC&quot;/&gt;&lt;wsp:rsid wsp:val=&quot;002B679E&quot;/&gt;&lt;wsp:rsid wsp:val=&quot;002B7311&quot;/&gt;&lt;wsp:rsid wsp:val=&quot;002B78D1&quot;/&gt;&lt;wsp:rsid wsp:val=&quot;002C0E99&quot;/&gt;&lt;wsp:rsid wsp:val=&quot;002C1522&quot;/&gt;&lt;wsp:rsid wsp:val=&quot;002C1BA5&quot;/&gt;&lt;wsp:rsid wsp:val=&quot;002C1D9D&quot;/&gt;&lt;wsp:rsid wsp:val=&quot;002C24A2&quot;/&gt;&lt;wsp:rsid wsp:val=&quot;002C2D37&quot;/&gt;&lt;wsp:rsid wsp:val=&quot;002C7756&quot;/&gt;&lt;wsp:rsid wsp:val=&quot;002D06B6&quot;/&gt;&lt;wsp:rsid wsp:val=&quot;002D09B9&quot;/&gt;&lt;wsp:rsid wsp:val=&quot;002D0B44&quot;/&gt;&lt;wsp:rsid wsp:val=&quot;002D0C7E&quot;/&gt;&lt;wsp:rsid wsp:val=&quot;002D11A5&quot;/&gt;&lt;wsp:rsid wsp:val=&quot;002D1342&quot;/&gt;&lt;wsp:rsid wsp:val=&quot;002D141D&quot;/&gt;&lt;wsp:rsid wsp:val=&quot;002D2882&quot;/&gt;&lt;wsp:rsid wsp:val=&quot;002D536C&quot;/&gt;&lt;wsp:rsid wsp:val=&quot;002D55E7&quot;/&gt;&lt;wsp:rsid wsp:val=&quot;002D5602&quot;/&gt;&lt;wsp:rsid wsp:val=&quot;002D741A&quot;/&gt;&lt;wsp:rsid wsp:val=&quot;002E3D36&quot;/&gt;&lt;wsp:rsid wsp:val=&quot;002E4DB2&quot;/&gt;&lt;wsp:rsid wsp:val=&quot;002E4E61&quot;/&gt;&lt;wsp:rsid wsp:val=&quot;002E5F14&quot;/&gt;&lt;wsp:rsid wsp:val=&quot;002E6237&quot;/&gt;&lt;wsp:rsid wsp:val=&quot;002F03DF&quot;/&gt;&lt;wsp:rsid wsp:val=&quot;002F0B07&quot;/&gt;&lt;wsp:rsid wsp:val=&quot;002F1AB2&quot;/&gt;&lt;wsp:rsid wsp:val=&quot;002F28BA&quot;/&gt;&lt;wsp:rsid wsp:val=&quot;002F3694&quot;/&gt;&lt;wsp:rsid wsp:val=&quot;002F3D7E&quot;/&gt;&lt;wsp:rsid wsp:val=&quot;002F6239&quot;/&gt;&lt;wsp:rsid wsp:val=&quot;003001EB&quot;/&gt;&lt;wsp:rsid wsp:val=&quot;00301453&quot;/&gt;&lt;wsp:rsid wsp:val=&quot;00301A94&quot;/&gt;&lt;wsp:rsid wsp:val=&quot;0030223B&quot;/&gt;&lt;wsp:rsid wsp:val=&quot;00307F8E&quot;/&gt;&lt;wsp:rsid wsp:val=&quot;00310F85&quot;/&gt;&lt;wsp:rsid wsp:val=&quot;00311898&quot;/&gt;&lt;wsp:rsid wsp:val=&quot;00315626&quot;/&gt;&lt;wsp:rsid wsp:val=&quot;00315AC9&quot;/&gt;&lt;wsp:rsid wsp:val=&quot;00315D8B&quot;/&gt;&lt;wsp:rsid wsp:val=&quot;00316B28&quot;/&gt;&lt;wsp:rsid wsp:val=&quot;00320297&quot;/&gt;&lt;wsp:rsid wsp:val=&quot;00321A79&quot;/&gt;&lt;wsp:rsid wsp:val=&quot;00322693&quot;/&gt;&lt;wsp:rsid wsp:val=&quot;00322E88&quot;/&gt;&lt;wsp:rsid wsp:val=&quot;00323072&quot;/&gt;&lt;wsp:rsid wsp:val=&quot;00326E0D&quot;/&gt;&lt;wsp:rsid wsp:val=&quot;003306D9&quot;/&gt;&lt;wsp:rsid wsp:val=&quot;00330BF7&quot;/&gt;&lt;wsp:rsid wsp:val=&quot;00331AFD&quot;/&gt;&lt;wsp:rsid wsp:val=&quot;0033251C&quot;/&gt;&lt;wsp:rsid wsp:val=&quot;003325A2&quot;/&gt;&lt;wsp:rsid wsp:val=&quot;0033384E&quot;/&gt;&lt;wsp:rsid wsp:val=&quot;0033594E&quot;/&gt;&lt;wsp:rsid wsp:val=&quot;00336429&quot;/&gt;&lt;wsp:rsid wsp:val=&quot;00343066&quot;/&gt;&lt;wsp:rsid wsp:val=&quot;00343DE4&quot;/&gt;&lt;wsp:rsid wsp:val=&quot;00345033&quot;/&gt;&lt;wsp:rsid wsp:val=&quot;003450D2&quot;/&gt;&lt;wsp:rsid wsp:val=&quot;00345F3B&quot;/&gt;&lt;wsp:rsid wsp:val=&quot;00347F55&quot;/&gt;&lt;wsp:rsid wsp:val=&quot;00350363&quot;/&gt;&lt;wsp:rsid wsp:val=&quot;0035300A&quot;/&gt;&lt;wsp:rsid wsp:val=&quot;00353B12&quot;/&gt;&lt;wsp:rsid wsp:val=&quot;00353B58&quot;/&gt;&lt;wsp:rsid wsp:val=&quot;00353BC5&quot;/&gt;&lt;wsp:rsid wsp:val=&quot;00354806&quot;/&gt;&lt;wsp:rsid wsp:val=&quot;00356E0A&quot;/&gt;&lt;wsp:rsid wsp:val=&quot;00361BDC&quot;/&gt;&lt;wsp:rsid wsp:val=&quot;00361EF2&quot;/&gt;&lt;wsp:rsid wsp:val=&quot;00362551&quot;/&gt;&lt;wsp:rsid wsp:val=&quot;0036314D&quot;/&gt;&lt;wsp:rsid wsp:val=&quot;00364E39&quot;/&gt;&lt;wsp:rsid wsp:val=&quot;0036536E&quot;/&gt;&lt;wsp:rsid wsp:val=&quot;00370A26&quot;/&gt;&lt;wsp:rsid wsp:val=&quot;00370FB0&quot;/&gt;&lt;wsp:rsid wsp:val=&quot;003714F8&quot;/&gt;&lt;wsp:rsid wsp:val=&quot;003740B0&quot;/&gt;&lt;wsp:rsid wsp:val=&quot;0037442A&quot;/&gt;&lt;wsp:rsid wsp:val=&quot;0037480D&quot;/&gt;&lt;wsp:rsid wsp:val=&quot;003749A8&quot;/&gt;&lt;wsp:rsid wsp:val=&quot;00374EEC&quot;/&gt;&lt;wsp:rsid wsp:val=&quot;00375CBF&quot;/&gt;&lt;wsp:rsid wsp:val=&quot;00376851&quot;/&gt;&lt;wsp:rsid wsp:val=&quot;00376BA6&quot;/&gt;&lt;wsp:rsid wsp:val=&quot;00377DE0&quot;/&gt;&lt;wsp:rsid wsp:val=&quot;00380159&quot;/&gt;&lt;wsp:rsid wsp:val=&quot;003821AF&quot;/&gt;&lt;wsp:rsid wsp:val=&quot;0038220B&quot;/&gt;&lt;wsp:rsid wsp:val=&quot;00383602&quot;/&gt;&lt;wsp:rsid wsp:val=&quot;00384108&quot;/&gt;&lt;wsp:rsid wsp:val=&quot;0038509E&quot;/&gt;&lt;wsp:rsid wsp:val=&quot;0038546A&quot;/&gt;&lt;wsp:rsid wsp:val=&quot;003903B9&quot;/&gt;&lt;wsp:rsid wsp:val=&quot;00390982&quot;/&gt;&lt;wsp:rsid wsp:val=&quot;003918CE&quot;/&gt;&lt;wsp:rsid wsp:val=&quot;00391C2E&quot;/&gt;&lt;wsp:rsid wsp:val=&quot;00395EC6&quot;/&gt;&lt;wsp:rsid wsp:val=&quot;003A0BCB&quot;/&gt;&lt;wsp:rsid wsp:val=&quot;003A2347&quot;/&gt;&lt;wsp:rsid wsp:val=&quot;003A4BF1&quot;/&gt;&lt;wsp:rsid wsp:val=&quot;003A7D09&quot;/&gt;&lt;wsp:rsid wsp:val=&quot;003B2BBA&quot;/&gt;&lt;wsp:rsid wsp:val=&quot;003B2EC4&quot;/&gt;&lt;wsp:rsid wsp:val=&quot;003B2FE1&quot;/&gt;&lt;wsp:rsid wsp:val=&quot;003B468C&quot;/&gt;&lt;wsp:rsid wsp:val=&quot;003B6C9E&quot;/&gt;&lt;wsp:rsid wsp:val=&quot;003B7CAF&quot;/&gt;&lt;wsp:rsid wsp:val=&quot;003C013B&quot;/&gt;&lt;wsp:rsid wsp:val=&quot;003C061A&quot;/&gt;&lt;wsp:rsid wsp:val=&quot;003C1C69&quot;/&gt;&lt;wsp:rsid wsp:val=&quot;003C2720&quot;/&gt;&lt;wsp:rsid wsp:val=&quot;003C27F1&quot;/&gt;&lt;wsp:rsid wsp:val=&quot;003C3E95&quot;/&gt;&lt;wsp:rsid wsp:val=&quot;003C7581&quot;/&gt;&lt;wsp:rsid wsp:val=&quot;003C7DDE&quot;/&gt;&lt;wsp:rsid wsp:val=&quot;003D112B&quot;/&gt;&lt;wsp:rsid wsp:val=&quot;003D1BDE&quot;/&gt;&lt;wsp:rsid wsp:val=&quot;003D1C26&quot;/&gt;&lt;wsp:rsid wsp:val=&quot;003D20F0&quot;/&gt;&lt;wsp:rsid wsp:val=&quot;003D67F6&quot;/&gt;&lt;wsp:rsid wsp:val=&quot;003D7027&quot;/&gt;&lt;wsp:rsid wsp:val=&quot;003E0AD1&quot;/&gt;&lt;wsp:rsid wsp:val=&quot;003E15FB&quot;/&gt;&lt;wsp:rsid wsp:val=&quot;003E2A60&quot;/&gt;&lt;wsp:rsid wsp:val=&quot;003E3890&quot;/&gt;&lt;wsp:rsid wsp:val=&quot;003E40BA&quot;/&gt;&lt;wsp:rsid wsp:val=&quot;003E4222&quot;/&gt;&lt;wsp:rsid wsp:val=&quot;003F0D7C&quot;/&gt;&lt;wsp:rsid wsp:val=&quot;003F1747&quot;/&gt;&lt;wsp:rsid wsp:val=&quot;003F2975&quot;/&gt;&lt;wsp:rsid wsp:val=&quot;003F2DEE&quot;/&gt;&lt;wsp:rsid wsp:val=&quot;003F337C&quot;/&gt;&lt;wsp:rsid wsp:val=&quot;003F36F3&quot;/&gt;&lt;wsp:rsid wsp:val=&quot;003F5D5C&quot;/&gt;&lt;wsp:rsid wsp:val=&quot;003F60C7&quot;/&gt;&lt;wsp:rsid wsp:val=&quot;003F6986&quot;/&gt;&lt;wsp:rsid wsp:val=&quot;00400755&quot;/&gt;&lt;wsp:rsid wsp:val=&quot;00402AFE&quot;/&gt;&lt;wsp:rsid wsp:val=&quot;004038BC&quot;/&gt;&lt;wsp:rsid wsp:val=&quot;00404F59&quot;/&gt;&lt;wsp:rsid wsp:val=&quot;004059C1&quot;/&gt;&lt;wsp:rsid wsp:val=&quot;004061E2&quot;/&gt;&lt;wsp:rsid wsp:val=&quot;00406C49&quot;/&gt;&lt;wsp:rsid wsp:val=&quot;00410F30&quot;/&gt;&lt;wsp:rsid wsp:val=&quot;004113CF&quot;/&gt;&lt;wsp:rsid wsp:val=&quot;004125C8&quot;/&gt;&lt;wsp:rsid wsp:val=&quot;0041317F&quot;/&gt;&lt;wsp:rsid wsp:val=&quot;0041492F&quot;/&gt;&lt;wsp:rsid wsp:val=&quot;0041523D&quot;/&gt;&lt;wsp:rsid wsp:val=&quot;00416545&quot;/&gt;&lt;wsp:rsid wsp:val=&quot;0041654A&quot;/&gt;&lt;wsp:rsid wsp:val=&quot;00416795&quot;/&gt;&lt;wsp:rsid wsp:val=&quot;00417D1D&quot;/&gt;&lt;wsp:rsid wsp:val=&quot;00420B31&quot;/&gt;&lt;wsp:rsid wsp:val=&quot;004229B6&quot;/&gt;&lt;wsp:rsid wsp:val=&quot;00424CB4&quot;/&gt;&lt;wsp:rsid wsp:val=&quot;00425E0D&quot;/&gt;&lt;wsp:rsid wsp:val=&quot;004270C9&quot;/&gt;&lt;wsp:rsid wsp:val=&quot;00427B99&quot;/&gt;&lt;wsp:rsid wsp:val=&quot;00427DDA&quot;/&gt;&lt;wsp:rsid wsp:val=&quot;00432AC9&quot;/&gt;&lt;wsp:rsid wsp:val=&quot;00433118&quot;/&gt;&lt;wsp:rsid wsp:val=&quot;0043505A&quot;/&gt;&lt;wsp:rsid wsp:val=&quot;00436247&quot;/&gt;&lt;wsp:rsid wsp:val=&quot;00436DD4&quot;/&gt;&lt;wsp:rsid wsp:val=&quot;00437A35&quot;/&gt;&lt;wsp:rsid wsp:val=&quot;004403F7&quot;/&gt;&lt;wsp:rsid wsp:val=&quot;00441692&quot;/&gt;&lt;wsp:rsid wsp:val=&quot;00442544&quot;/&gt;&lt;wsp:rsid wsp:val=&quot;00443C8F&quot;/&gt;&lt;wsp:rsid wsp:val=&quot;004451CC&quot;/&gt;&lt;wsp:rsid wsp:val=&quot;00447194&quot;/&gt;&lt;wsp:rsid wsp:val=&quot;004479EA&quot;/&gt;&lt;wsp:rsid wsp:val=&quot;00452D49&quot;/&gt;&lt;wsp:rsid wsp:val=&quot;0045353B&quot;/&gt;&lt;wsp:rsid wsp:val=&quot;00453EC9&quot;/&gt;&lt;wsp:rsid wsp:val=&quot;004553FA&quot;/&gt;&lt;wsp:rsid wsp:val=&quot;004559EB&quot;/&gt;&lt;wsp:rsid wsp:val=&quot;00456AC4&quot;/&gt;&lt;wsp:rsid wsp:val=&quot;004570B7&quot;/&gt;&lt;wsp:rsid wsp:val=&quot;004575FC&quot;/&gt;&lt;wsp:rsid wsp:val=&quot;00462818&quot;/&gt;&lt;wsp:rsid wsp:val=&quot;004635A5&quot;/&gt;&lt;wsp:rsid wsp:val=&quot;004639EC&quot;/&gt;&lt;wsp:rsid wsp:val=&quot;00463ADF&quot;/&gt;&lt;wsp:rsid wsp:val=&quot;00470CE6&quot;/&gt;&lt;wsp:rsid wsp:val=&quot;00471049&quot;/&gt;&lt;wsp:rsid wsp:val=&quot;004730ED&quot;/&gt;&lt;wsp:rsid wsp:val=&quot;00473194&quot;/&gt;&lt;wsp:rsid wsp:val=&quot;0047668A&quot;/&gt;&lt;wsp:rsid wsp:val=&quot;00477693&quot;/&gt;&lt;wsp:rsid wsp:val=&quot;00477A41&quot;/&gt;&lt;wsp:rsid wsp:val=&quot;00481877&quot;/&gt;&lt;wsp:rsid wsp:val=&quot;00482620&quot;/&gt;&lt;wsp:rsid wsp:val=&quot;004903C5&quot;/&gt;&lt;wsp:rsid wsp:val=&quot;004911E0&quot;/&gt;&lt;wsp:rsid wsp:val=&quot;00492B52&quot;/&gt;&lt;wsp:rsid wsp:val=&quot;00493463&quot;/&gt;&lt;wsp:rsid wsp:val=&quot;00494E38&quot;/&gt;&lt;wsp:rsid wsp:val=&quot;00494F06&quot;/&gt;&lt;wsp:rsid wsp:val=&quot;004950D0&quot;/&gt;&lt;wsp:rsid wsp:val=&quot;00495570&quot;/&gt;&lt;wsp:rsid wsp:val=&quot;004959C9&quot;/&gt;&lt;wsp:rsid wsp:val=&quot;00495CDF&quot;/&gt;&lt;wsp:rsid wsp:val=&quot;00495F47&quot;/&gt;&lt;wsp:rsid wsp:val=&quot;004A1A36&quot;/&gt;&lt;wsp:rsid wsp:val=&quot;004A1E3B&quot;/&gt;&lt;wsp:rsid wsp:val=&quot;004A32E3&quot;/&gt;&lt;wsp:rsid wsp:val=&quot;004A40DC&quot;/&gt;&lt;wsp:rsid wsp:val=&quot;004A4226&quot;/&gt;&lt;wsp:rsid wsp:val=&quot;004A567F&quot;/&gt;&lt;wsp:rsid wsp:val=&quot;004A6F9E&quot;/&gt;&lt;wsp:rsid wsp:val=&quot;004A7D6A&quot;/&gt;&lt;wsp:rsid wsp:val=&quot;004B0704&quot;/&gt;&lt;wsp:rsid wsp:val=&quot;004B1334&quot;/&gt;&lt;wsp:rsid wsp:val=&quot;004B1F8E&quot;/&gt;&lt;wsp:rsid wsp:val=&quot;004B4009&quot;/&gt;&lt;wsp:rsid wsp:val=&quot;004B44C8&quot;/&gt;&lt;wsp:rsid wsp:val=&quot;004B5FA2&quot;/&gt;&lt;wsp:rsid wsp:val=&quot;004B6144&quot;/&gt;&lt;wsp:rsid wsp:val=&quot;004B7A44&quot;/&gt;&lt;wsp:rsid wsp:val=&quot;004B7EA8&quot;/&gt;&lt;wsp:rsid wsp:val=&quot;004C0459&quot;/&gt;&lt;wsp:rsid wsp:val=&quot;004C0C49&quot;/&gt;&lt;wsp:rsid wsp:val=&quot;004C1B41&quot;/&gt;&lt;wsp:rsid wsp:val=&quot;004C1EDA&quot;/&gt;&lt;wsp:rsid wsp:val=&quot;004C2F04&quot;/&gt;&lt;wsp:rsid wsp:val=&quot;004C2F0D&quot;/&gt;&lt;wsp:rsid wsp:val=&quot;004C55F5&quot;/&gt;&lt;wsp:rsid wsp:val=&quot;004C5FD9&quot;/&gt;&lt;wsp:rsid wsp:val=&quot;004C7945&quot;/&gt;&lt;wsp:rsid wsp:val=&quot;004D1872&quot;/&gt;&lt;wsp:rsid wsp:val=&quot;004D4062&quot;/&gt;&lt;wsp:rsid wsp:val=&quot;004D6BF3&quot;/&gt;&lt;wsp:rsid wsp:val=&quot;004E0280&quot;/&gt;&lt;wsp:rsid wsp:val=&quot;004E0587&quot;/&gt;&lt;wsp:rsid wsp:val=&quot;004E5A4C&quot;/&gt;&lt;wsp:rsid wsp:val=&quot;004E5BD4&quot;/&gt;&lt;wsp:rsid wsp:val=&quot;004E6267&quot;/&gt;&lt;wsp:rsid wsp:val=&quot;004E6B8A&quot;/&gt;&lt;wsp:rsid wsp:val=&quot;004E72E9&quot;/&gt;&lt;wsp:rsid wsp:val=&quot;004F14A8&quot;/&gt;&lt;wsp:rsid wsp:val=&quot;004F24E3&quot;/&gt;&lt;wsp:rsid wsp:val=&quot;004F25A4&quot;/&gt;&lt;wsp:rsid wsp:val=&quot;004F2BD5&quot;/&gt;&lt;wsp:rsid wsp:val=&quot;004F3546&quot;/&gt;&lt;wsp:rsid wsp:val=&quot;004F3CC6&quot;/&gt;&lt;wsp:rsid wsp:val=&quot;004F4F49&quot;/&gt;&lt;wsp:rsid wsp:val=&quot;004F76F4&quot;/&gt;&lt;wsp:rsid wsp:val=&quot;00500289&quot;/&gt;&lt;wsp:rsid wsp:val=&quot;0050087B&quot;/&gt;&lt;wsp:rsid wsp:val=&quot;00500EC4&quot;/&gt;&lt;wsp:rsid wsp:val=&quot;005014BC&quot;/&gt;&lt;wsp:rsid wsp:val=&quot;00501F3D&quot;/&gt;&lt;wsp:rsid wsp:val=&quot;00503B47&quot;/&gt;&lt;wsp:rsid wsp:val=&quot;005043F1&quot;/&gt;&lt;wsp:rsid wsp:val=&quot;0050513E&quot;/&gt;&lt;wsp:rsid wsp:val=&quot;00506C27&quot;/&gt;&lt;wsp:rsid wsp:val=&quot;0050739D&quot;/&gt;&lt;wsp:rsid wsp:val=&quot;005074C3&quot;/&gt;&lt;wsp:rsid wsp:val=&quot;00511FF4&quot;/&gt;&lt;wsp:rsid wsp:val=&quot;00513419&quot;/&gt;&lt;wsp:rsid wsp:val=&quot;0051404E&quot;/&gt;&lt;wsp:rsid wsp:val=&quot;005151A5&quot;/&gt;&lt;wsp:rsid wsp:val=&quot;005154E2&quot;/&gt;&lt;wsp:rsid wsp:val=&quot;00515842&quot;/&gt;&lt;wsp:rsid wsp:val=&quot;00521330&quot;/&gt;&lt;wsp:rsid wsp:val=&quot;00521818&quot;/&gt;&lt;wsp:rsid wsp:val=&quot;00522337&quot;/&gt;&lt;wsp:rsid wsp:val=&quot;00523279&quot;/&gt;&lt;wsp:rsid wsp:val=&quot;005236A5&quot;/&gt;&lt;wsp:rsid wsp:val=&quot;00523982&quot;/&gt;&lt;wsp:rsid wsp:val=&quot;0052454A&quot;/&gt;&lt;wsp:rsid wsp:val=&quot;0052614D&quot;/&gt;&lt;wsp:rsid wsp:val=&quot;005262B2&quot;/&gt;&lt;wsp:rsid wsp:val=&quot;00526F45&quot;/&gt;&lt;wsp:rsid wsp:val=&quot;00530646&quot;/&gt;&lt;wsp:rsid wsp:val=&quot;00531FDA&quot;/&gt;&lt;wsp:rsid wsp:val=&quot;00532D92&quot;/&gt;&lt;wsp:rsid wsp:val=&quot;005354AD&quot;/&gt;&lt;wsp:rsid wsp:val=&quot;00537292&quot;/&gt;&lt;wsp:rsid wsp:val=&quot;00537DC3&quot;/&gt;&lt;wsp:rsid wsp:val=&quot;005405C7&quot;/&gt;&lt;wsp:rsid wsp:val=&quot;00540F31&quot;/&gt;&lt;wsp:rsid wsp:val=&quot;005411F0&quot;/&gt;&lt;wsp:rsid wsp:val=&quot;00541793&quot;/&gt;&lt;wsp:rsid wsp:val=&quot;00542267&quot;/&gt;&lt;wsp:rsid wsp:val=&quot;0054471F&quot;/&gt;&lt;wsp:rsid wsp:val=&quot;00545B44&quot;/&gt;&lt;wsp:rsid wsp:val=&quot;00546FA1&quot;/&gt;&lt;wsp:rsid wsp:val=&quot;00550DDA&quot;/&gt;&lt;wsp:rsid wsp:val=&quot;00552F18&quot;/&gt;&lt;wsp:rsid wsp:val=&quot;0055424A&quot;/&gt;&lt;wsp:rsid wsp:val=&quot;0055438E&quot;/&gt;&lt;wsp:rsid wsp:val=&quot;0055689E&quot;/&gt;&lt;wsp:rsid wsp:val=&quot;0055789D&quot;/&gt;&lt;wsp:rsid wsp:val=&quot;00561462&quot;/&gt;&lt;wsp:rsid wsp:val=&quot;00562F5B&quot;/&gt;&lt;wsp:rsid wsp:val=&quot;00562FDD&quot;/&gt;&lt;wsp:rsid wsp:val=&quot;00566C62&quot;/&gt;&lt;wsp:rsid wsp:val=&quot;00566EA7&quot;/&gt;&lt;wsp:rsid wsp:val=&quot;005752B5&quot;/&gt;&lt;wsp:rsid wsp:val=&quot;00575533&quot;/&gt;&lt;wsp:rsid wsp:val=&quot;00575C24&quot;/&gt;&lt;wsp:rsid wsp:val=&quot;00576046&quot;/&gt;&lt;wsp:rsid wsp:val=&quot;00576FA2&quot;/&gt;&lt;wsp:rsid wsp:val=&quot;00582CF5&quot;/&gt;&lt;wsp:rsid wsp:val=&quot;0058342B&quot;/&gt;&lt;wsp:rsid wsp:val=&quot;005835BC&quot;/&gt;&lt;wsp:rsid wsp:val=&quot;00584863&quot;/&gt;&lt;wsp:rsid wsp:val=&quot;00584B0C&quot;/&gt;&lt;wsp:rsid wsp:val=&quot;0059557A&quot;/&gt;&lt;wsp:rsid wsp:val=&quot;005956C1&quot;/&gt;&lt;wsp:rsid wsp:val=&quot;00595A6D&quot;/&gt;&lt;wsp:rsid wsp:val=&quot;00596871&quot;/&gt;&lt;wsp:rsid wsp:val=&quot;005A0651&quot;/&gt;&lt;wsp:rsid wsp:val=&quot;005A0CB4&quot;/&gt;&lt;wsp:rsid wsp:val=&quot;005A31D7&quot;/&gt;&lt;wsp:rsid wsp:val=&quot;005A376E&quot;/&gt;&lt;wsp:rsid wsp:val=&quot;005A4ECE&quot;/&gt;&lt;wsp:rsid wsp:val=&quot;005A5BE0&quot;/&gt;&lt;wsp:rsid wsp:val=&quot;005A625C&quot;/&gt;&lt;wsp:rsid wsp:val=&quot;005B014D&quot;/&gt;&lt;wsp:rsid wsp:val=&quot;005B135D&quot;/&gt;&lt;wsp:rsid wsp:val=&quot;005B1C6B&quot;/&gt;&lt;wsp:rsid wsp:val=&quot;005B28A2&quot;/&gt;&lt;wsp:rsid wsp:val=&quot;005B3107&quot;/&gt;&lt;wsp:rsid wsp:val=&quot;005B49EA&quot;/&gt;&lt;wsp:rsid wsp:val=&quot;005B4D9A&quot;/&gt;&lt;wsp:rsid wsp:val=&quot;005B6FA6&quot;/&gt;&lt;wsp:rsid wsp:val=&quot;005B723F&quot;/&gt;&lt;wsp:rsid wsp:val=&quot;005B74D8&quot;/&gt;&lt;wsp:rsid wsp:val=&quot;005C1C54&quot;/&gt;&lt;wsp:rsid wsp:val=&quot;005C48C1&quot;/&gt;&lt;wsp:rsid wsp:val=&quot;005C509B&quot;/&gt;&lt;wsp:rsid wsp:val=&quot;005C6037&quot;/&gt;&lt;wsp:rsid wsp:val=&quot;005C6781&quot;/&gt;&lt;wsp:rsid wsp:val=&quot;005C704A&quot;/&gt;&lt;wsp:rsid wsp:val=&quot;005C73CD&quot;/&gt;&lt;wsp:rsid wsp:val=&quot;005D01AC&quot;/&gt;&lt;wsp:rsid wsp:val=&quot;005D0559&quot;/&gt;&lt;wsp:rsid wsp:val=&quot;005D0761&quot;/&gt;&lt;wsp:rsid wsp:val=&quot;005D2D4C&quot;/&gt;&lt;wsp:rsid wsp:val=&quot;005D3312&quot;/&gt;&lt;wsp:rsid wsp:val=&quot;005D5AE4&quot;/&gt;&lt;wsp:rsid wsp:val=&quot;005D69F2&quot;/&gt;&lt;wsp:rsid wsp:val=&quot;005D7561&quot;/&gt;&lt;wsp:rsid wsp:val=&quot;005E0540&quot;/&gt;&lt;wsp:rsid wsp:val=&quot;005E096C&quot;/&gt;&lt;wsp:rsid wsp:val=&quot;005E66EE&quot;/&gt;&lt;wsp:rsid wsp:val=&quot;005E6E68&quot;/&gt;&lt;wsp:rsid wsp:val=&quot;005E757C&quot;/&gt;&lt;wsp:rsid wsp:val=&quot;005F161D&quot;/&gt;&lt;wsp:rsid wsp:val=&quot;005F1B1B&quot;/&gt;&lt;wsp:rsid wsp:val=&quot;005F2BC5&quot;/&gt;&lt;wsp:rsid wsp:val=&quot;005F3C75&quot;/&gt;&lt;wsp:rsid wsp:val=&quot;005F4BB6&quot;/&gt;&lt;wsp:rsid wsp:val=&quot;005F717D&quot;/&gt;&lt;wsp:rsid wsp:val=&quot;00600E7F&quot;/&gt;&lt;wsp:rsid wsp:val=&quot;00601981&quot;/&gt;&lt;wsp:rsid wsp:val=&quot;00601BE7&quot;/&gt;&lt;wsp:rsid wsp:val=&quot;00602C40&quot;/&gt;&lt;wsp:rsid wsp:val=&quot;006035C1&quot;/&gt;&lt;wsp:rsid wsp:val=&quot;006036B2&quot;/&gt;&lt;wsp:rsid wsp:val=&quot;006055F2&quot;/&gt;&lt;wsp:rsid wsp:val=&quot;0060684C&quot;/&gt;&lt;wsp:rsid wsp:val=&quot;00610760&quot;/&gt;&lt;wsp:rsid wsp:val=&quot;00611512&quot;/&gt;&lt;wsp:rsid wsp:val=&quot;00611EF1&quot;/&gt;&lt;wsp:rsid wsp:val=&quot;00611F2B&quot;/&gt;&lt;wsp:rsid wsp:val=&quot;00612799&quot;/&gt;&lt;wsp:rsid wsp:val=&quot;00613065&quot;/&gt;&lt;wsp:rsid wsp:val=&quot;00613957&quot;/&gt;&lt;wsp:rsid wsp:val=&quot;0061796A&quot;/&gt;&lt;wsp:rsid wsp:val=&quot;00620438&quot;/&gt;&lt;wsp:rsid wsp:val=&quot;00621211&quot;/&gt;&lt;wsp:rsid wsp:val=&quot;006213E9&quot;/&gt;&lt;wsp:rsid wsp:val=&quot;0062169C&quot;/&gt;&lt;wsp:rsid wsp:val=&quot;00622073&quot;/&gt;&lt;wsp:rsid wsp:val=&quot;00622C14&quot;/&gt;&lt;wsp:rsid wsp:val=&quot;00623288&quot;/&gt;&lt;wsp:rsid wsp:val=&quot;006246FC&quot;/&gt;&lt;wsp:rsid wsp:val=&quot;00624EDC&quot;/&gt;&lt;wsp:rsid wsp:val=&quot;00625F51&quot;/&gt;&lt;wsp:rsid wsp:val=&quot;0062772F&quot;/&gt;&lt;wsp:rsid wsp:val=&quot;00630538&quot;/&gt;&lt;wsp:rsid wsp:val=&quot;00630B07&quot;/&gt;&lt;wsp:rsid wsp:val=&quot;00631938&quot;/&gt;&lt;wsp:rsid wsp:val=&quot;00632B3E&quot;/&gt;&lt;wsp:rsid wsp:val=&quot;00635A69&quot;/&gt;&lt;wsp:rsid wsp:val=&quot;00637028&quot;/&gt;&lt;wsp:rsid wsp:val=&quot;0063729C&quot;/&gt;&lt;wsp:rsid wsp:val=&quot;0064140A&quot;/&gt;&lt;wsp:rsid wsp:val=&quot;00641CD8&quot;/&gt;&lt;wsp:rsid wsp:val=&quot;00642761&quot;/&gt;&lt;wsp:rsid wsp:val=&quot;006441F1&quot;/&gt;&lt;wsp:rsid wsp:val=&quot;00644CE4&quot;/&gt;&lt;wsp:rsid wsp:val=&quot;00645CC3&quot;/&gt;&lt;wsp:rsid wsp:val=&quot;00645F6C&quot;/&gt;&lt;wsp:rsid wsp:val=&quot;00652B62&quot;/&gt;&lt;wsp:rsid wsp:val=&quot;00653CEE&quot;/&gt;&lt;wsp:rsid wsp:val=&quot;00653F32&quot;/&gt;&lt;wsp:rsid wsp:val=&quot;00654E4C&quot;/&gt;&lt;wsp:rsid wsp:val=&quot;0065552F&quot;/&gt;&lt;wsp:rsid wsp:val=&quot;00655F96&quot;/&gt;&lt;wsp:rsid wsp:val=&quot;00657DE8&quot;/&gt;&lt;wsp:rsid wsp:val=&quot;006605AF&quot;/&gt;&lt;wsp:rsid wsp:val=&quot;00661C9D&quot;/&gt;&lt;wsp:rsid wsp:val=&quot;00662FB2&quot;/&gt;&lt;wsp:rsid wsp:val=&quot;00662FFF&quot;/&gt;&lt;wsp:rsid wsp:val=&quot;006645AE&quot;/&gt;&lt;wsp:rsid wsp:val=&quot;0066582C&quot;/&gt;&lt;wsp:rsid wsp:val=&quot;00666A80&quot;/&gt;&lt;wsp:rsid wsp:val=&quot;006715ED&quot;/&gt;&lt;wsp:rsid wsp:val=&quot;00673195&quot;/&gt;&lt;wsp:rsid wsp:val=&quot;00673C90&quot;/&gt;&lt;wsp:rsid wsp:val=&quot;00674631&quot;/&gt;&lt;wsp:rsid wsp:val=&quot;00674F7E&quot;/&gt;&lt;wsp:rsid wsp:val=&quot;0067522E&quot;/&gt;&lt;wsp:rsid wsp:val=&quot;00675363&quot;/&gt;&lt;wsp:rsid wsp:val=&quot;006757EA&quot;/&gt;&lt;wsp:rsid wsp:val=&quot;006762B4&quot;/&gt;&lt;wsp:rsid wsp:val=&quot;006771ED&quot;/&gt;&lt;wsp:rsid wsp:val=&quot;00677F44&quot;/&gt;&lt;wsp:rsid wsp:val=&quot;006808BA&quot;/&gt;&lt;wsp:rsid wsp:val=&quot;00680AF8&quot;/&gt;&lt;wsp:rsid wsp:val=&quot;006812B3&quot;/&gt;&lt;wsp:rsid wsp:val=&quot;00681F28&quot;/&gt;&lt;wsp:rsid wsp:val=&quot;00682101&quot;/&gt;&lt;wsp:rsid wsp:val=&quot;006826A9&quot;/&gt;&lt;wsp:rsid wsp:val=&quot;00682941&quot;/&gt;&lt;wsp:rsid wsp:val=&quot;00682E05&quot;/&gt;&lt;wsp:rsid wsp:val=&quot;00683AB8&quot;/&gt;&lt;wsp:rsid wsp:val=&quot;00685F96&quot;/&gt;&lt;wsp:rsid wsp:val=&quot;006867E2&quot;/&gt;&lt;wsp:rsid wsp:val=&quot;00687308&quot;/&gt;&lt;wsp:rsid wsp:val=&quot;00690433&quot;/&gt;&lt;wsp:rsid wsp:val=&quot;006908ED&quot;/&gt;&lt;wsp:rsid wsp:val=&quot;00690D28&quot;/&gt;&lt;wsp:rsid wsp:val=&quot;00691505&quot;/&gt;&lt;wsp:rsid wsp:val=&quot;006932EB&quot;/&gt;&lt;wsp:rsid wsp:val=&quot;00693E01&quot;/&gt;&lt;wsp:rsid wsp:val=&quot;006956B7&quot;/&gt;&lt;wsp:rsid wsp:val=&quot;00696991&quot;/&gt;&lt;wsp:rsid wsp:val=&quot;006973E9&quot;/&gt;&lt;wsp:rsid wsp:val=&quot;006A0471&quot;/&gt;&lt;wsp:rsid wsp:val=&quot;006A1D97&quot;/&gt;&lt;wsp:rsid wsp:val=&quot;006A2566&quot;/&gt;&lt;wsp:rsid wsp:val=&quot;006A3487&quot;/&gt;&lt;wsp:rsid wsp:val=&quot;006A4307&quot;/&gt;&lt;wsp:rsid wsp:val=&quot;006A45C4&quot;/&gt;&lt;wsp:rsid wsp:val=&quot;006A5262&quot;/&gt;&lt;wsp:rsid wsp:val=&quot;006A5CA2&quot;/&gt;&lt;wsp:rsid wsp:val=&quot;006A67C4&quot;/&gt;&lt;wsp:rsid wsp:val=&quot;006A7876&quot;/&gt;&lt;wsp:rsid wsp:val=&quot;006A79F9&quot;/&gt;&lt;wsp:rsid wsp:val=&quot;006B15C0&quot;/&gt;&lt;wsp:rsid wsp:val=&quot;006B1B4C&quot;/&gt;&lt;wsp:rsid wsp:val=&quot;006B3B78&quot;/&gt;&lt;wsp:rsid wsp:val=&quot;006B3C11&quot;/&gt;&lt;wsp:rsid wsp:val=&quot;006B3F8D&quot;/&gt;&lt;wsp:rsid wsp:val=&quot;006B4425&quot;/&gt;&lt;wsp:rsid wsp:val=&quot;006C2671&quot;/&gt;&lt;wsp:rsid wsp:val=&quot;006C27BB&quot;/&gt;&lt;wsp:rsid wsp:val=&quot;006C55A6&quot;/&gt;&lt;wsp:rsid wsp:val=&quot;006C6680&quot;/&gt;&lt;wsp:rsid wsp:val=&quot;006D07A7&quot;/&gt;&lt;wsp:rsid wsp:val=&quot;006D4E40&quot;/&gt;&lt;wsp:rsid wsp:val=&quot;006D5D2B&quot;/&gt;&lt;wsp:rsid wsp:val=&quot;006D70A5&quot;/&gt;&lt;wsp:rsid wsp:val=&quot;006E2003&quot;/&gt;&lt;wsp:rsid wsp:val=&quot;006E2B4F&quot;/&gt;&lt;wsp:rsid wsp:val=&quot;006E373B&quot;/&gt;&lt;wsp:rsid wsp:val=&quot;006E5767&quot;/&gt;&lt;wsp:rsid wsp:val=&quot;006E6A45&quot;/&gt;&lt;wsp:rsid wsp:val=&quot;006F0E30&quot;/&gt;&lt;wsp:rsid wsp:val=&quot;006F13C0&quot;/&gt;&lt;wsp:rsid wsp:val=&quot;006F1DC4&quot;/&gt;&lt;wsp:rsid wsp:val=&quot;006F2071&quot;/&gt;&lt;wsp:rsid wsp:val=&quot;006F3260&quot;/&gt;&lt;wsp:rsid wsp:val=&quot;006F4E16&quot;/&gt;&lt;wsp:rsid wsp:val=&quot;006F5FC8&quot;/&gt;&lt;wsp:rsid wsp:val=&quot;006F6039&quot;/&gt;&lt;wsp:rsid wsp:val=&quot;00701621&quot;/&gt;&lt;wsp:rsid wsp:val=&quot;007032C6&quot;/&gt;&lt;wsp:rsid wsp:val=&quot;00703DB7&quot;/&gt;&lt;wsp:rsid wsp:val=&quot;0070622E&quot;/&gt;&lt;wsp:rsid wsp:val=&quot;00706A77&quot;/&gt;&lt;wsp:rsid wsp:val=&quot;00707894&quot;/&gt;&lt;wsp:rsid wsp:val=&quot;00711959&quot;/&gt;&lt;wsp:rsid wsp:val=&quot;00712694&quot;/&gt;&lt;wsp:rsid wsp:val=&quot;007138C4&quot;/&gt;&lt;wsp:rsid wsp:val=&quot;00716DA8&quot;/&gt;&lt;wsp:rsid wsp:val=&quot;00717D15&quot;/&gt;&lt;wsp:rsid wsp:val=&quot;0072291E&quot;/&gt;&lt;wsp:rsid wsp:val=&quot;00723B92&quot;/&gt;&lt;wsp:rsid wsp:val=&quot;00724398&quot;/&gt;&lt;wsp:rsid wsp:val=&quot;00726B84&quot;/&gt;&lt;wsp:rsid wsp:val=&quot;00730B8B&quot;/&gt;&lt;wsp:rsid wsp:val=&quot;00731C1D&quot;/&gt;&lt;wsp:rsid wsp:val=&quot;00733741&quot;/&gt;&lt;wsp:rsid wsp:val=&quot;007337F0&quot;/&gt;&lt;wsp:rsid wsp:val=&quot;0073409A&quot;/&gt;&lt;wsp:rsid wsp:val=&quot;007347C9&quot;/&gt;&lt;wsp:rsid wsp:val=&quot;00734841&quot;/&gt;&lt;wsp:rsid wsp:val=&quot;00735FE6&quot;/&gt;&lt;wsp:rsid wsp:val=&quot;00736C09&quot;/&gt;&lt;wsp:rsid wsp:val=&quot;00737B18&quot;/&gt;&lt;wsp:rsid wsp:val=&quot;00740561&quot;/&gt;&lt;wsp:rsid wsp:val=&quot;00740824&quot;/&gt;&lt;wsp:rsid wsp:val=&quot;00740D72&quot;/&gt;&lt;wsp:rsid wsp:val=&quot;00741215&quot;/&gt;&lt;wsp:rsid wsp:val=&quot;00741F91&quot;/&gt;&lt;wsp:rsid wsp:val=&quot;0074389F&quot;/&gt;&lt;wsp:rsid wsp:val=&quot;00745631&quot;/&gt;&lt;wsp:rsid wsp:val=&quot;00745903&quot;/&gt;&lt;wsp:rsid wsp:val=&quot;00745F44&quot;/&gt;&lt;wsp:rsid wsp:val=&quot;00747826&quot;/&gt;&lt;wsp:rsid wsp:val=&quot;00753C4B&quot;/&gt;&lt;wsp:rsid wsp:val=&quot;00753CF5&quot;/&gt;&lt;wsp:rsid wsp:val=&quot;00755AFF&quot;/&gt;&lt;wsp:rsid wsp:val=&quot;00755C75&quot;/&gt;&lt;wsp:rsid wsp:val=&quot;00757EA9&quot;/&gt;&lt;wsp:rsid wsp:val=&quot;00760E13&quot;/&gt;&lt;wsp:rsid wsp:val=&quot;007614BD&quot;/&gt;&lt;wsp:rsid wsp:val=&quot;0076401A&quot;/&gt;&lt;wsp:rsid wsp:val=&quot;007650F6&quot;/&gt;&lt;wsp:rsid wsp:val=&quot;007658D6&quot;/&gt;&lt;wsp:rsid wsp:val=&quot;00765A82&quot;/&gt;&lt;wsp:rsid wsp:val=&quot;00773044&quot;/&gt;&lt;wsp:rsid wsp:val=&quot;00775BDB&quot;/&gt;&lt;wsp:rsid wsp:val=&quot;0078071A&quot;/&gt;&lt;wsp:rsid wsp:val=&quot;00782119&quot;/&gt;&lt;wsp:rsid wsp:val=&quot;00782339&quot;/&gt;&lt;wsp:rsid wsp:val=&quot;00782EE1&quot;/&gt;&lt;wsp:rsid wsp:val=&quot;007831B5&quot;/&gt;&lt;wsp:rsid wsp:val=&quot;0078378B&quot;/&gt;&lt;wsp:rsid wsp:val=&quot;007847A2&quot;/&gt;&lt;wsp:rsid wsp:val=&quot;00785379&quot;/&gt;&lt;wsp:rsid wsp:val=&quot;007869D6&quot;/&gt;&lt;wsp:rsid wsp:val=&quot;00787DB4&quot;/&gt;&lt;wsp:rsid wsp:val=&quot;007901A7&quot;/&gt;&lt;wsp:rsid wsp:val=&quot;00791791&quot;/&gt;&lt;wsp:rsid wsp:val=&quot;00791869&quot;/&gt;&lt;wsp:rsid wsp:val=&quot;00791D76&quot;/&gt;&lt;wsp:rsid wsp:val=&quot;00793DEE&quot;/&gt;&lt;wsp:rsid wsp:val=&quot;00794268&quot;/&gt;&lt;wsp:rsid wsp:val=&quot;00795063&quot;/&gt;&lt;wsp:rsid wsp:val=&quot;007956BF&quot;/&gt;&lt;wsp:rsid wsp:val=&quot;00795BFF&quot;/&gt;&lt;wsp:rsid wsp:val=&quot;007969F7&quot;/&gt;&lt;wsp:rsid wsp:val=&quot;00796A9C&quot;/&gt;&lt;wsp:rsid wsp:val=&quot;00796E2F&quot;/&gt;&lt;wsp:rsid wsp:val=&quot;007979AB&quot;/&gt;&lt;wsp:rsid wsp:val=&quot;007A122B&quot;/&gt;&lt;wsp:rsid wsp:val=&quot;007A26AE&quot;/&gt;&lt;wsp:rsid wsp:val=&quot;007A3D42&quot;/&gt;&lt;wsp:rsid wsp:val=&quot;007A41E6&quot;/&gt;&lt;wsp:rsid wsp:val=&quot;007A6F5A&quot;/&gt;&lt;wsp:rsid wsp:val=&quot;007B0028&quot;/&gt;&lt;wsp:rsid wsp:val=&quot;007B02E2&quot;/&gt;&lt;wsp:rsid wsp:val=&quot;007B1449&quot;/&gt;&lt;wsp:rsid wsp:val=&quot;007B1D16&quot;/&gt;&lt;wsp:rsid wsp:val=&quot;007B3962&quot;/&gt;&lt;wsp:rsid wsp:val=&quot;007B41E9&quot;/&gt;&lt;wsp:rsid wsp:val=&quot;007B5C7E&quot;/&gt;&lt;wsp:rsid wsp:val=&quot;007B6528&quot;/&gt;&lt;wsp:rsid wsp:val=&quot;007B6623&quot;/&gt;&lt;wsp:rsid wsp:val=&quot;007C04FC&quot;/&gt;&lt;wsp:rsid wsp:val=&quot;007C07D8&quot;/&gt;&lt;wsp:rsid wsp:val=&quot;007C421C&quot;/&gt;&lt;wsp:rsid wsp:val=&quot;007C464D&quot;/&gt;&lt;wsp:rsid wsp:val=&quot;007C479E&quot;/&gt;&lt;wsp:rsid wsp:val=&quot;007C4952&quot;/&gt;&lt;wsp:rsid wsp:val=&quot;007C5E49&quot;/&gt;&lt;wsp:rsid wsp:val=&quot;007C7D0D&quot;/&gt;&lt;wsp:rsid wsp:val=&quot;007D143E&quot;/&gt;&lt;wsp:rsid wsp:val=&quot;007D1C36&quot;/&gt;&lt;wsp:rsid wsp:val=&quot;007D1F76&quot;/&gt;&lt;wsp:rsid wsp:val=&quot;007D216B&quot;/&gt;&lt;wsp:rsid wsp:val=&quot;007D4B03&quot;/&gt;&lt;wsp:rsid wsp:val=&quot;007D6439&quot;/&gt;&lt;wsp:rsid wsp:val=&quot;007D7C23&quot;/&gt;&lt;wsp:rsid wsp:val=&quot;007D7DEF&quot;/&gt;&lt;wsp:rsid wsp:val=&quot;007E0068&quot;/&gt;&lt;wsp:rsid wsp:val=&quot;007E0DE7&quot;/&gt;&lt;wsp:rsid wsp:val=&quot;007E3528&quot;/&gt;&lt;wsp:rsid wsp:val=&quot;007E3C19&quot;/&gt;&lt;wsp:rsid wsp:val=&quot;007E587F&quot;/&gt;&lt;wsp:rsid wsp:val=&quot;007E5999&quot;/&gt;&lt;wsp:rsid wsp:val=&quot;007E661A&quot;/&gt;&lt;wsp:rsid wsp:val=&quot;007E6D34&quot;/&gt;&lt;wsp:rsid wsp:val=&quot;007E76E1&quot;/&gt;&lt;wsp:rsid wsp:val=&quot;007F1E8E&quot;/&gt;&lt;wsp:rsid wsp:val=&quot;007F41B7&quot;/&gt;&lt;wsp:rsid wsp:val=&quot;007F529B&quot;/&gt;&lt;wsp:rsid wsp:val=&quot;007F5BA5&quot;/&gt;&lt;wsp:rsid wsp:val=&quot;007F6068&quot;/&gt;&lt;wsp:rsid wsp:val=&quot;007F6245&quot;/&gt;&lt;wsp:rsid wsp:val=&quot;007F6CBF&quot;/&gt;&lt;wsp:rsid wsp:val=&quot;008016A9&quot;/&gt;&lt;wsp:rsid wsp:val=&quot;00801A24&quot;/&gt;&lt;wsp:rsid wsp:val=&quot;0080215A&quot;/&gt;&lt;wsp:rsid wsp:val=&quot;0080317A&quot;/&gt;&lt;wsp:rsid wsp:val=&quot;00803290&quot;/&gt;&lt;wsp:rsid wsp:val=&quot;008061BF&quot;/&gt;&lt;wsp:rsid wsp:val=&quot;0080631D&quot;/&gt;&lt;wsp:rsid wsp:val=&quot;00806D9E&quot;/&gt;&lt;wsp:rsid wsp:val=&quot;00807FDC&quot;/&gt;&lt;wsp:rsid wsp:val=&quot;00810DB0&quot;/&gt;&lt;wsp:rsid wsp:val=&quot;00811C59&quot;/&gt;&lt;wsp:rsid wsp:val=&quot;00812053&quot;/&gt;&lt;wsp:rsid wsp:val=&quot;00814AA6&quot;/&gt;&lt;wsp:rsid wsp:val=&quot;00815CCD&quot;/&gt;&lt;wsp:rsid wsp:val=&quot;00816826&quot;/&gt;&lt;wsp:rsid wsp:val=&quot;00816BB0&quot;/&gt;&lt;wsp:rsid wsp:val=&quot;008171C6&quot;/&gt;&lt;wsp:rsid wsp:val=&quot;00817D0A&quot;/&gt;&lt;wsp:rsid wsp:val=&quot;00821C8A&quot;/&gt;&lt;wsp:rsid wsp:val=&quot;00823615&quot;/&gt;&lt;wsp:rsid wsp:val=&quot;00823B28&quot;/&gt;&lt;wsp:rsid wsp:val=&quot;008246F0&quot;/&gt;&lt;wsp:rsid wsp:val=&quot;0082654A&quot;/&gt;&lt;wsp:rsid wsp:val=&quot;00826878&quot;/&gt;&lt;wsp:rsid wsp:val=&quot;008274B5&quot;/&gt;&lt;wsp:rsid wsp:val=&quot;008274C1&quot;/&gt;&lt;wsp:rsid wsp:val=&quot;008328CB&quot;/&gt;&lt;wsp:rsid wsp:val=&quot;0083299B&quot;/&gt;&lt;wsp:rsid wsp:val=&quot;0083419B&quot;/&gt;&lt;wsp:rsid wsp:val=&quot;00835965&quot;/&gt;&lt;wsp:rsid wsp:val=&quot;008363D1&quot;/&gt;&lt;wsp:rsid wsp:val=&quot;00836FFA&quot;/&gt;&lt;wsp:rsid wsp:val=&quot;0084204D&quot;/&gt;&lt;wsp:rsid wsp:val=&quot;00846F56&quot;/&gt;&lt;wsp:rsid wsp:val=&quot;008478AD&quot;/&gt;&lt;wsp:rsid wsp:val=&quot;00850D9C&quot;/&gt;&lt;wsp:rsid wsp:val=&quot;00851ADA&quot;/&gt;&lt;wsp:rsid wsp:val=&quot;00854E95&quot;/&gt;&lt;wsp:rsid wsp:val=&quot;00854ED8&quot;/&gt;&lt;wsp:rsid wsp:val=&quot;008553EC&quot;/&gt;&lt;wsp:rsid wsp:val=&quot;0085736C&quot;/&gt;&lt;wsp:rsid wsp:val=&quot;008578FF&quot;/&gt;&lt;wsp:rsid wsp:val=&quot;00860094&quot;/&gt;&lt;wsp:rsid wsp:val=&quot;00864C02&quot;/&gt;&lt;wsp:rsid wsp:val=&quot;008660B4&quot;/&gt;&lt;wsp:rsid wsp:val=&quot;00872201&quot;/&gt;&lt;wsp:rsid wsp:val=&quot;00872350&quot;/&gt;&lt;wsp:rsid wsp:val=&quot;008725D4&quot;/&gt;&lt;wsp:rsid wsp:val=&quot;00872F50&quot;/&gt;&lt;wsp:rsid wsp:val=&quot;00873656&quot;/&gt;&lt;wsp:rsid wsp:val=&quot;00874E16&quot;/&gt;&lt;wsp:rsid wsp:val=&quot;00875F0F&quot;/&gt;&lt;wsp:rsid wsp:val=&quot;00876061&quot;/&gt;&lt;wsp:rsid wsp:val=&quot;00876797&quot;/&gt;&lt;wsp:rsid wsp:val=&quot;00876DE4&quot;/&gt;&lt;wsp:rsid wsp:val=&quot;008806AE&quot;/&gt;&lt;wsp:rsid wsp:val=&quot;0088560B&quot;/&gt;&lt;wsp:rsid wsp:val=&quot;0088606D&quot;/&gt;&lt;wsp:rsid wsp:val=&quot;00886325&quot;/&gt;&lt;wsp:rsid wsp:val=&quot;00887284&quot;/&gt;&lt;wsp:rsid wsp:val=&quot;00890008&quot;/&gt;&lt;wsp:rsid wsp:val=&quot;00890CAB&quot;/&gt;&lt;wsp:rsid wsp:val=&quot;008A06AD&quot;/&gt;&lt;wsp:rsid wsp:val=&quot;008A0E9C&quot;/&gt;&lt;wsp:rsid wsp:val=&quot;008A3D3D&quot;/&gt;&lt;wsp:rsid wsp:val=&quot;008A47D8&quot;/&gt;&lt;wsp:rsid wsp:val=&quot;008A4818&quot;/&gt;&lt;wsp:rsid wsp:val=&quot;008A49D6&quot;/&gt;&lt;wsp:rsid wsp:val=&quot;008A5BD2&quot;/&gt;&lt;wsp:rsid wsp:val=&quot;008A74A1&quot;/&gt;&lt;wsp:rsid wsp:val=&quot;008B1431&quot;/&gt;&lt;wsp:rsid wsp:val=&quot;008B1BCC&quot;/&gt;&lt;wsp:rsid wsp:val=&quot;008B290F&quot;/&gt;&lt;wsp:rsid wsp:val=&quot;008B389F&quot;/&gt;&lt;wsp:rsid wsp:val=&quot;008B41B1&quot;/&gt;&lt;wsp:rsid wsp:val=&quot;008B4D51&quot;/&gt;&lt;wsp:rsid wsp:val=&quot;008B5C44&quot;/&gt;&lt;wsp:rsid wsp:val=&quot;008C00D6&quot;/&gt;&lt;wsp:rsid wsp:val=&quot;008C2489&quot;/&gt;&lt;wsp:rsid wsp:val=&quot;008C38D7&quot;/&gt;&lt;wsp:rsid wsp:val=&quot;008C3A15&quot;/&gt;&lt;wsp:rsid wsp:val=&quot;008C5256&quot;/&gt;&lt;wsp:rsid wsp:val=&quot;008C6367&quot;/&gt;&lt;wsp:rsid wsp:val=&quot;008C7E2D&quot;/&gt;&lt;wsp:rsid wsp:val=&quot;008D11DD&quot;/&gt;&lt;wsp:rsid wsp:val=&quot;008D13BF&quot;/&gt;&lt;wsp:rsid wsp:val=&quot;008D1E7E&quot;/&gt;&lt;wsp:rsid wsp:val=&quot;008D2448&quot;/&gt;&lt;wsp:rsid wsp:val=&quot;008D2608&quot;/&gt;&lt;wsp:rsid wsp:val=&quot;008D3FE1&quot;/&gt;&lt;wsp:rsid wsp:val=&quot;008D4C11&quot;/&gt;&lt;wsp:rsid wsp:val=&quot;008D520F&quot;/&gt;&lt;wsp:rsid wsp:val=&quot;008D7BC9&quot;/&gt;&lt;wsp:rsid wsp:val=&quot;008E4117&quot;/&gt;&lt;wsp:rsid wsp:val=&quot;008E5AE0&quot;/&gt;&lt;wsp:rsid wsp:val=&quot;008E5EE9&quot;/&gt;&lt;wsp:rsid wsp:val=&quot;008E62B2&quot;/&gt;&lt;wsp:rsid wsp:val=&quot;008E7253&quot;/&gt;&lt;wsp:rsid wsp:val=&quot;008F004C&quot;/&gt;&lt;wsp:rsid wsp:val=&quot;008F3D9D&quot;/&gt;&lt;wsp:rsid wsp:val=&quot;008F4124&quot;/&gt;&lt;wsp:rsid wsp:val=&quot;008F7E18&quot;/&gt;&lt;wsp:rsid wsp:val=&quot;00900052&quot;/&gt;&lt;wsp:rsid wsp:val=&quot;0090147F&quot;/&gt;&lt;wsp:rsid wsp:val=&quot;009021EF&quot;/&gt;&lt;wsp:rsid wsp:val=&quot;00902C13&quot;/&gt;&lt;wsp:rsid wsp:val=&quot;00902CCC&quot;/&gt;&lt;wsp:rsid wsp:val=&quot;00902DC1&quot;/&gt;&lt;wsp:rsid wsp:val=&quot;009033C4&quot;/&gt;&lt;wsp:rsid wsp:val=&quot;009062EF&quot;/&gt;&lt;wsp:rsid wsp:val=&quot;00911398&quot;/&gt;&lt;wsp:rsid wsp:val=&quot;00912E09&quot;/&gt;&lt;wsp:rsid wsp:val=&quot;00913E11&quot;/&gt;&lt;wsp:rsid wsp:val=&quot;009157C4&quot;/&gt;&lt;wsp:rsid wsp:val=&quot;00916D3C&quot;/&gt;&lt;wsp:rsid wsp:val=&quot;009176B5&quot;/&gt;&lt;wsp:rsid wsp:val=&quot;009177A0&quot;/&gt;&lt;wsp:rsid wsp:val=&quot;009200DC&quot;/&gt;&lt;wsp:rsid wsp:val=&quot;00920545&quot;/&gt;&lt;wsp:rsid wsp:val=&quot;0092160D&quot;/&gt;&lt;wsp:rsid wsp:val=&quot;009225EF&quot;/&gt;&lt;wsp:rsid wsp:val=&quot;009226BB&quot;/&gt;&lt;wsp:rsid wsp:val=&quot;00924C93&quot;/&gt;&lt;wsp:rsid wsp:val=&quot;00925A3B&quot;/&gt;&lt;wsp:rsid wsp:val=&quot;009268A6&quot;/&gt;&lt;wsp:rsid wsp:val=&quot;00927C2C&quot;/&gt;&lt;wsp:rsid wsp:val=&quot;00930419&quot;/&gt;&lt;wsp:rsid wsp:val=&quot;009330CC&quot;/&gt;&lt;wsp:rsid wsp:val=&quot;009339AB&quot;/&gt;&lt;wsp:rsid wsp:val=&quot;0093784F&quot;/&gt;&lt;wsp:rsid wsp:val=&quot;00937E90&quot;/&gt;&lt;wsp:rsid wsp:val=&quot;0094034B&quot;/&gt;&lt;wsp:rsid wsp:val=&quot;00940B06&quot;/&gt;&lt;wsp:rsid wsp:val=&quot;009433D5&quot;/&gt;&lt;wsp:rsid wsp:val=&quot;009437B6&quot;/&gt;&lt;wsp:rsid wsp:val=&quot;00943813&quot;/&gt;&lt;wsp:rsid wsp:val=&quot;0094730B&quot;/&gt;&lt;wsp:rsid wsp:val=&quot;00950ACC&quot;/&gt;&lt;wsp:rsid wsp:val=&quot;00951506&quot;/&gt;&lt;wsp:rsid wsp:val=&quot;00954B11&quot;/&gt;&lt;wsp:rsid wsp:val=&quot;00954E6C&quot;/&gt;&lt;wsp:rsid wsp:val=&quot;00954F4C&quot;/&gt;&lt;wsp:rsid wsp:val=&quot;00955A14&quot;/&gt;&lt;wsp:rsid wsp:val=&quot;00955CBA&quot;/&gt;&lt;wsp:rsid wsp:val=&quot;00956D2E&quot;/&gt;&lt;wsp:rsid wsp:val=&quot;0095761B&quot;/&gt;&lt;wsp:rsid wsp:val=&quot;0096252E&quot;/&gt;&lt;wsp:rsid wsp:val=&quot;00964282&quot;/&gt;&lt;wsp:rsid wsp:val=&quot;00966722&quot;/&gt;&lt;wsp:rsid wsp:val=&quot;0097077C&quot;/&gt;&lt;wsp:rsid wsp:val=&quot;0097293B&quot;/&gt;&lt;wsp:rsid wsp:val=&quot;0097299B&quot;/&gt;&lt;wsp:rsid wsp:val=&quot;009740A2&quot;/&gt;&lt;wsp:rsid wsp:val=&quot;00974D8A&quot;/&gt;&lt;wsp:rsid wsp:val=&quot;00975EA7&quot;/&gt;&lt;wsp:rsid wsp:val=&quot;00976F33&quot;/&gt;&lt;wsp:rsid wsp:val=&quot;009776FA&quot;/&gt;&lt;wsp:rsid wsp:val=&quot;00977881&quot;/&gt;&lt;wsp:rsid wsp:val=&quot;009779D6&quot;/&gt;&lt;wsp:rsid wsp:val=&quot;0098387A&quot;/&gt;&lt;wsp:rsid wsp:val=&quot;009839E8&quot;/&gt;&lt;wsp:rsid wsp:val=&quot;00983E22&quot;/&gt;&lt;wsp:rsid wsp:val=&quot;0098459A&quot;/&gt;&lt;wsp:rsid wsp:val=&quot;00984955&quot;/&gt;&lt;wsp:rsid wsp:val=&quot;00984FB2&quot;/&gt;&lt;wsp:rsid wsp:val=&quot;00985A54&quot;/&gt;&lt;wsp:rsid wsp:val=&quot;00986EAF&quot;/&gt;&lt;wsp:rsid wsp:val=&quot;0098713F&quot;/&gt;&lt;wsp:rsid wsp:val=&quot;00987C0F&quot;/&gt;&lt;wsp:rsid wsp:val=&quot;00990135&quot;/&gt;&lt;wsp:rsid wsp:val=&quot;00990C21&quot;/&gt;&lt;wsp:rsid wsp:val=&quot;00991990&quot;/&gt;&lt;wsp:rsid wsp:val=&quot;00994702&quot;/&gt;&lt;wsp:rsid wsp:val=&quot;009A00D6&quot;/&gt;&lt;wsp:rsid wsp:val=&quot;009A0BED&quot;/&gt;&lt;wsp:rsid wsp:val=&quot;009A32B7&quot;/&gt;&lt;wsp:rsid wsp:val=&quot;009A42DE&quot;/&gt;&lt;wsp:rsid wsp:val=&quot;009A4601&quot;/&gt;&lt;wsp:rsid wsp:val=&quot;009A4CFE&quot;/&gt;&lt;wsp:rsid wsp:val=&quot;009A50A5&quot;/&gt;&lt;wsp:rsid wsp:val=&quot;009A62E7&quot;/&gt;&lt;wsp:rsid wsp:val=&quot;009A66C6&quot;/&gt;&lt;wsp:rsid wsp:val=&quot;009A6E52&quot;/&gt;&lt;wsp:rsid wsp:val=&quot;009B0219&quot;/&gt;&lt;wsp:rsid wsp:val=&quot;009B1044&quot;/&gt;&lt;wsp:rsid wsp:val=&quot;009B19C7&quot;/&gt;&lt;wsp:rsid wsp:val=&quot;009B2E65&quot;/&gt;&lt;wsp:rsid wsp:val=&quot;009B2EDB&quot;/&gt;&lt;wsp:rsid wsp:val=&quot;009B330B&quot;/&gt;&lt;wsp:rsid wsp:val=&quot;009B62D3&quot;/&gt;&lt;wsp:rsid wsp:val=&quot;009B6B4E&quot;/&gt;&lt;wsp:rsid wsp:val=&quot;009B7C8B&quot;/&gt;&lt;wsp:rsid wsp:val=&quot;009B7E75&quot;/&gt;&lt;wsp:rsid wsp:val=&quot;009C197F&quot;/&gt;&lt;wsp:rsid wsp:val=&quot;009C2C58&quot;/&gt;&lt;wsp:rsid wsp:val=&quot;009C49EB&quot;/&gt;&lt;wsp:rsid wsp:val=&quot;009C6227&quot;/&gt;&lt;wsp:rsid wsp:val=&quot;009C67DE&quot;/&gt;&lt;wsp:rsid wsp:val=&quot;009D1685&quot;/&gt;&lt;wsp:rsid wsp:val=&quot;009D3117&quot;/&gt;&lt;wsp:rsid wsp:val=&quot;009D4D08&quot;/&gt;&lt;wsp:rsid wsp:val=&quot;009D7423&quot;/&gt;&lt;wsp:rsid wsp:val=&quot;009E0057&quot;/&gt;&lt;wsp:rsid wsp:val=&quot;009E3376&quot;/&gt;&lt;wsp:rsid wsp:val=&quot;009E3A65&quot;/&gt;&lt;wsp:rsid wsp:val=&quot;009E6037&quot;/&gt;&lt;wsp:rsid wsp:val=&quot;009E6041&quot;/&gt;&lt;wsp:rsid wsp:val=&quot;009E688B&quot;/&gt;&lt;wsp:rsid wsp:val=&quot;009F0CB6&quot;/&gt;&lt;wsp:rsid wsp:val=&quot;009F189C&quot;/&gt;&lt;wsp:rsid wsp:val=&quot;009F1EB1&quot;/&gt;&lt;wsp:rsid wsp:val=&quot;009F26C9&quot;/&gt;&lt;wsp:rsid wsp:val=&quot;009F279E&quot;/&gt;&lt;wsp:rsid wsp:val=&quot;009F2ED4&quot;/&gt;&lt;wsp:rsid wsp:val=&quot;009F5D4D&quot;/&gt;&lt;wsp:rsid wsp:val=&quot;009F6DD5&quot;/&gt;&lt;wsp:rsid wsp:val=&quot;009F79DE&quot;/&gt;&lt;wsp:rsid wsp:val=&quot;00A005F6&quot;/&gt;&lt;wsp:rsid wsp:val=&quot;00A04E37&quot;/&gt;&lt;wsp:rsid wsp:val=&quot;00A04FD5&quot;/&gt;&lt;wsp:rsid wsp:val=&quot;00A05273&quot;/&gt;&lt;wsp:rsid wsp:val=&quot;00A06F91&quot;/&gt;&lt;wsp:rsid wsp:val=&quot;00A0765A&quot;/&gt;&lt;wsp:rsid wsp:val=&quot;00A11437&quot;/&gt;&lt;wsp:rsid wsp:val=&quot;00A11936&quot;/&gt;&lt;wsp:rsid wsp:val=&quot;00A11BFC&quot;/&gt;&lt;wsp:rsid wsp:val=&quot;00A1221A&quot;/&gt;&lt;wsp:rsid wsp:val=&quot;00A131D4&quot;/&gt;&lt;wsp:rsid wsp:val=&quot;00A16666&quot;/&gt;&lt;wsp:rsid wsp:val=&quot;00A21638&quot;/&gt;&lt;wsp:rsid wsp:val=&quot;00A2252D&quot;/&gt;&lt;wsp:rsid wsp:val=&quot;00A237C2&quot;/&gt;&lt;wsp:rsid wsp:val=&quot;00A25759&quot;/&gt;&lt;wsp:rsid wsp:val=&quot;00A27197&quot;/&gt;&lt;wsp:rsid wsp:val=&quot;00A2764D&quot;/&gt;&lt;wsp:rsid wsp:val=&quot;00A306EA&quot;/&gt;&lt;wsp:rsid wsp:val=&quot;00A32021&quot;/&gt;&lt;wsp:rsid wsp:val=&quot;00A339E2&quot;/&gt;&lt;wsp:rsid wsp:val=&quot;00A36F9F&quot;/&gt;&lt;wsp:rsid wsp:val=&quot;00A3790E&quot;/&gt;&lt;wsp:rsid wsp:val=&quot;00A37D5A&quot;/&gt;&lt;wsp:rsid wsp:val=&quot;00A4017E&quot;/&gt;&lt;wsp:rsid wsp:val=&quot;00A40EEB&quot;/&gt;&lt;wsp:rsid wsp:val=&quot;00A41B96&quot;/&gt;&lt;wsp:rsid wsp:val=&quot;00A42407&quot;/&gt;&lt;wsp:rsid wsp:val=&quot;00A433BF&quot;/&gt;&lt;wsp:rsid wsp:val=&quot;00A4375D&quot;/&gt;&lt;wsp:rsid wsp:val=&quot;00A44D32&quot;/&gt;&lt;wsp:rsid wsp:val=&quot;00A45AED&quot;/&gt;&lt;wsp:rsid wsp:val=&quot;00A471A2&quot;/&gt;&lt;wsp:rsid wsp:val=&quot;00A47EDE&quot;/&gt;&lt;wsp:rsid wsp:val=&quot;00A513CE&quot;/&gt;&lt;wsp:rsid wsp:val=&quot;00A52303&quot;/&gt;&lt;wsp:rsid wsp:val=&quot;00A5310F&quot;/&gt;&lt;wsp:rsid wsp:val=&quot;00A55822&quot;/&gt;&lt;wsp:rsid wsp:val=&quot;00A558CC&quot;/&gt;&lt;wsp:rsid wsp:val=&quot;00A6027F&quot;/&gt;&lt;wsp:rsid wsp:val=&quot;00A60F0D&quot;/&gt;&lt;wsp:rsid wsp:val=&quot;00A614B1&quot;/&gt;&lt;wsp:rsid wsp:val=&quot;00A61FB8&quot;/&gt;&lt;wsp:rsid wsp:val=&quot;00A62391&quot;/&gt;&lt;wsp:rsid wsp:val=&quot;00A63EC1&quot;/&gt;&lt;wsp:rsid wsp:val=&quot;00A64CE7&quot;/&gt;&lt;wsp:rsid wsp:val=&quot;00A66954&quot;/&gt;&lt;wsp:rsid wsp:val=&quot;00A671FD&quot;/&gt;&lt;wsp:rsid wsp:val=&quot;00A715A1&quot;/&gt;&lt;wsp:rsid wsp:val=&quot;00A72686&quot;/&gt;&lt;wsp:rsid wsp:val=&quot;00A72DB3&quot;/&gt;&lt;wsp:rsid wsp:val=&quot;00A72FFB&quot;/&gt;&lt;wsp:rsid wsp:val=&quot;00A74AF1&quot;/&gt;&lt;wsp:rsid wsp:val=&quot;00A75422&quot;/&gt;&lt;wsp:rsid wsp:val=&quot;00A75C29&quot;/&gt;&lt;wsp:rsid wsp:val=&quot;00A76107&quot;/&gt;&lt;wsp:rsid wsp:val=&quot;00A7671C&quot;/&gt;&lt;wsp:rsid wsp:val=&quot;00A77F07&quot;/&gt;&lt;wsp:rsid wsp:val=&quot;00A77FFE&quot;/&gt;&lt;wsp:rsid wsp:val=&quot;00A82B3A&quot;/&gt;&lt;wsp:rsid wsp:val=&quot;00A84008&quot;/&gt;&lt;wsp:rsid wsp:val=&quot;00A86C09&quot;/&gt;&lt;wsp:rsid wsp:val=&quot;00A90534&quot;/&gt;&lt;wsp:rsid wsp:val=&quot;00A94771&quot;/&gt;&lt;wsp:rsid wsp:val=&quot;00AA51F9&quot;/&gt;&lt;wsp:rsid wsp:val=&quot;00AA5226&quot;/&gt;&lt;wsp:rsid wsp:val=&quot;00AA72FB&quot;/&gt;&lt;wsp:rsid wsp:val=&quot;00AA7A38&quot;/&gt;&lt;wsp:rsid wsp:val=&quot;00AA7D39&quot;/&gt;&lt;wsp:rsid wsp:val=&quot;00AB100D&quot;/&gt;&lt;wsp:rsid wsp:val=&quot;00AB6371&quot;/&gt;&lt;wsp:rsid wsp:val=&quot;00AB65FC&quot;/&gt;&lt;wsp:rsid wsp:val=&quot;00AB7095&quot;/&gt;&lt;wsp:rsid wsp:val=&quot;00AB7FE3&quot;/&gt;&lt;wsp:rsid wsp:val=&quot;00AC21FC&quot;/&gt;&lt;wsp:rsid wsp:val=&quot;00AC236F&quot;/&gt;&lt;wsp:rsid wsp:val=&quot;00AC405F&quot;/&gt;&lt;wsp:rsid wsp:val=&quot;00AC60B0&quot;/&gt;&lt;wsp:rsid wsp:val=&quot;00AD00E0&quot;/&gt;&lt;wsp:rsid wsp:val=&quot;00AD271A&quot;/&gt;&lt;wsp:rsid wsp:val=&quot;00AD2EA0&quot;/&gt;&lt;wsp:rsid wsp:val=&quot;00AD4EF1&quot;/&gt;&lt;wsp:rsid wsp:val=&quot;00AD695C&quot;/&gt;&lt;wsp:rsid wsp:val=&quot;00AD715A&quot;/&gt;&lt;wsp:rsid wsp:val=&quot;00AD7BD1&quot;/&gt;&lt;wsp:rsid wsp:val=&quot;00AE0A34&quot;/&gt;&lt;wsp:rsid wsp:val=&quot;00AE2D1B&quot;/&gt;&lt;wsp:rsid wsp:val=&quot;00AE457E&quot;/&gt;&lt;wsp:rsid wsp:val=&quot;00AE47EC&quot;/&gt;&lt;wsp:rsid wsp:val=&quot;00AE498D&quot;/&gt;&lt;wsp:rsid wsp:val=&quot;00AE623C&quot;/&gt;&lt;wsp:rsid wsp:val=&quot;00AE6660&quot;/&gt;&lt;wsp:rsid wsp:val=&quot;00AE7BC6&quot;/&gt;&lt;wsp:rsid wsp:val=&quot;00AF18BF&quot;/&gt;&lt;wsp:rsid wsp:val=&quot;00AF1C3D&quot;/&gt;&lt;wsp:rsid wsp:val=&quot;00AF23FC&quot;/&gt;&lt;wsp:rsid wsp:val=&quot;00AF2C75&quot;/&gt;&lt;wsp:rsid wsp:val=&quot;00AF3B01&quot;/&gt;&lt;wsp:rsid wsp:val=&quot;00AF4A08&quot;/&gt;&lt;wsp:rsid wsp:val=&quot;00AF5164&quot;/&gt;&lt;wsp:rsid wsp:val=&quot;00AF78F8&quot;/&gt;&lt;wsp:rsid wsp:val=&quot;00AF7DE6&quot;/&gt;&lt;wsp:rsid wsp:val=&quot;00B00C61&quot;/&gt;&lt;wsp:rsid wsp:val=&quot;00B015BE&quot;/&gt;&lt;wsp:rsid wsp:val=&quot;00B0406A&quot;/&gt;&lt;wsp:rsid wsp:val=&quot;00B04D6C&quot;/&gt;&lt;wsp:rsid wsp:val=&quot;00B04E83&quot;/&gt;&lt;wsp:rsid wsp:val=&quot;00B063CE&quot;/&gt;&lt;wsp:rsid wsp:val=&quot;00B107BC&quot;/&gt;&lt;wsp:rsid wsp:val=&quot;00B107D0&quot;/&gt;&lt;wsp:rsid wsp:val=&quot;00B11004&quot;/&gt;&lt;wsp:rsid wsp:val=&quot;00B11775&quot;/&gt;&lt;wsp:rsid wsp:val=&quot;00B1450D&quot;/&gt;&lt;wsp:rsid wsp:val=&quot;00B147BF&quot;/&gt;&lt;wsp:rsid wsp:val=&quot;00B1493F&quot;/&gt;&lt;wsp:rsid wsp:val=&quot;00B14C74&quot;/&gt;&lt;wsp:rsid wsp:val=&quot;00B159DF&quot;/&gt;&lt;wsp:rsid wsp:val=&quot;00B15A93&quot;/&gt;&lt;wsp:rsid wsp:val=&quot;00B1660B&quot;/&gt;&lt;wsp:rsid wsp:val=&quot;00B20FE0&quot;/&gt;&lt;wsp:rsid wsp:val=&quot;00B2404C&quot;/&gt;&lt;wsp:rsid wsp:val=&quot;00B2605E&quot;/&gt;&lt;wsp:rsid wsp:val=&quot;00B26148&quot;/&gt;&lt;wsp:rsid wsp:val=&quot;00B26C98&quot;/&gt;&lt;wsp:rsid wsp:val=&quot;00B27E12&quot;/&gt;&lt;wsp:rsid wsp:val=&quot;00B30B27&quot;/&gt;&lt;wsp:rsid wsp:val=&quot;00B33D3F&quot;/&gt;&lt;wsp:rsid wsp:val=&quot;00B35A13&quot;/&gt;&lt;wsp:rsid wsp:val=&quot;00B405B0&quot;/&gt;&lt;wsp:rsid wsp:val=&quot;00B411DE&quot;/&gt;&lt;wsp:rsid wsp:val=&quot;00B41EDC&quot;/&gt;&lt;wsp:rsid wsp:val=&quot;00B422F3&quot;/&gt;&lt;wsp:rsid wsp:val=&quot;00B42909&quot;/&gt;&lt;wsp:rsid wsp:val=&quot;00B45FA0&quot;/&gt;&lt;wsp:rsid wsp:val=&quot;00B47403&quot;/&gt;&lt;wsp:rsid wsp:val=&quot;00B47F08&quot;/&gt;&lt;wsp:rsid wsp:val=&quot;00B503B7&quot;/&gt;&lt;wsp:rsid wsp:val=&quot;00B52640&quot;/&gt;&lt;wsp:rsid wsp:val=&quot;00B53F32&quot;/&gt;&lt;wsp:rsid wsp:val=&quot;00B54817&quot;/&gt;&lt;wsp:rsid wsp:val=&quot;00B64340&quot;/&gt;&lt;wsp:rsid wsp:val=&quot;00B65A24&quot;/&gt;&lt;wsp:rsid wsp:val=&quot;00B66E6F&quot;/&gt;&lt;wsp:rsid wsp:val=&quot;00B7033C&quot;/&gt;&lt;wsp:rsid wsp:val=&quot;00B709FF&quot;/&gt;&lt;wsp:rsid wsp:val=&quot;00B72A35&quot;/&gt;&lt;wsp:rsid wsp:val=&quot;00B7412A&quot;/&gt;&lt;wsp:rsid wsp:val=&quot;00B770D4&quot;/&gt;&lt;wsp:rsid wsp:val=&quot;00B826BA&quot;/&gt;&lt;wsp:rsid wsp:val=&quot;00B82750&quot;/&gt;&lt;wsp:rsid wsp:val=&quot;00B84475&quot;/&gt;&lt;wsp:rsid wsp:val=&quot;00B85792&quot;/&gt;&lt;wsp:rsid wsp:val=&quot;00B86311&quot;/&gt;&lt;wsp:rsid wsp:val=&quot;00B87E46&quot;/&gt;&lt;wsp:rsid wsp:val=&quot;00B915C1&quot;/&gt;&lt;wsp:rsid wsp:val=&quot;00B9274C&quot;/&gt;&lt;wsp:rsid wsp:val=&quot;00B927BE&quot;/&gt;&lt;wsp:rsid wsp:val=&quot;00B94DDB&quot;/&gt;&lt;wsp:rsid wsp:val=&quot;00B95AF7&quot;/&gt;&lt;wsp:rsid wsp:val=&quot;00BA0A03&quot;/&gt;&lt;wsp:rsid wsp:val=&quot;00BA134E&quot;/&gt;&lt;wsp:rsid wsp:val=&quot;00BA2104&quot;/&gt;&lt;wsp:rsid wsp:val=&quot;00BA5DA5&quot;/&gt;&lt;wsp:rsid wsp:val=&quot;00BA5FAF&quot;/&gt;&lt;wsp:rsid wsp:val=&quot;00BA6287&quot;/&gt;&lt;wsp:rsid wsp:val=&quot;00BA73B2&quot;/&gt;&lt;wsp:rsid wsp:val=&quot;00BA73CC&quot;/&gt;&lt;wsp:rsid wsp:val=&quot;00BA75D2&quot;/&gt;&lt;wsp:rsid wsp:val=&quot;00BB088E&quot;/&gt;&lt;wsp:rsid wsp:val=&quot;00BB0C41&quot;/&gt;&lt;wsp:rsid wsp:val=&quot;00BB0E1B&quot;/&gt;&lt;wsp:rsid wsp:val=&quot;00BB1076&quot;/&gt;&lt;wsp:rsid wsp:val=&quot;00BB2B86&quot;/&gt;&lt;wsp:rsid wsp:val=&quot;00BB2C80&quot;/&gt;&lt;wsp:rsid wsp:val=&quot;00BB349C&quot;/&gt;&lt;wsp:rsid wsp:val=&quot;00BB3F11&quot;/&gt;&lt;wsp:rsid wsp:val=&quot;00BB452E&quot;/&gt;&lt;wsp:rsid wsp:val=&quot;00BB7663&quot;/&gt;&lt;wsp:rsid wsp:val=&quot;00BB7C06&quot;/&gt;&lt;wsp:rsid wsp:val=&quot;00BC1232&quot;/&gt;&lt;wsp:rsid wsp:val=&quot;00BC1A9E&quot;/&gt;&lt;wsp:rsid wsp:val=&quot;00BC2364&quot;/&gt;&lt;wsp:rsid wsp:val=&quot;00BC4C9E&quot;/&gt;&lt;wsp:rsid wsp:val=&quot;00BC5070&quot;/&gt;&lt;wsp:rsid wsp:val=&quot;00BC66AF&quot;/&gt;&lt;wsp:rsid wsp:val=&quot;00BC67FB&quot;/&gt;&lt;wsp:rsid wsp:val=&quot;00BD0DD5&quot;/&gt;&lt;wsp:rsid wsp:val=&quot;00BD1028&quot;/&gt;&lt;wsp:rsid wsp:val=&quot;00BD251D&quot;/&gt;&lt;wsp:rsid wsp:val=&quot;00BD2F22&quot;/&gt;&lt;wsp:rsid wsp:val=&quot;00BD5128&quot;/&gt;&lt;wsp:rsid wsp:val=&quot;00BD55EF&quot;/&gt;&lt;wsp:rsid wsp:val=&quot;00BD6599&quot;/&gt;&lt;wsp:rsid wsp:val=&quot;00BD714F&quot;/&gt;&lt;wsp:rsid wsp:val=&quot;00BD773C&quot;/&gt;&lt;wsp:rsid wsp:val=&quot;00BE0415&quot;/&gt;&lt;wsp:rsid wsp:val=&quot;00BE0BAB&quot;/&gt;&lt;wsp:rsid wsp:val=&quot;00BE1582&quot;/&gt;&lt;wsp:rsid wsp:val=&quot;00BE1D67&quot;/&gt;&lt;wsp:rsid wsp:val=&quot;00BE532D&quot;/&gt;&lt;wsp:rsid wsp:val=&quot;00BE7A07&quot;/&gt;&lt;wsp:rsid wsp:val=&quot;00BE7C72&quot;/&gt;&lt;wsp:rsid wsp:val=&quot;00BE7FE4&quot;/&gt;&lt;wsp:rsid wsp:val=&quot;00BF1B05&quot;/&gt;&lt;wsp:rsid wsp:val=&quot;00BF30BF&quot;/&gt;&lt;wsp:rsid wsp:val=&quot;00BF327F&quot;/&gt;&lt;wsp:rsid wsp:val=&quot;00BF3812&quot;/&gt;&lt;wsp:rsid wsp:val=&quot;00BF44DD&quot;/&gt;&lt;wsp:rsid wsp:val=&quot;00BF4860&quot;/&gt;&lt;wsp:rsid wsp:val=&quot;00BF5390&quot;/&gt;&lt;wsp:rsid wsp:val=&quot;00BF7A1E&quot;/&gt;&lt;wsp:rsid wsp:val=&quot;00C00BB6&quot;/&gt;&lt;wsp:rsid wsp:val=&quot;00C00D2B&quot;/&gt;&lt;wsp:rsid wsp:val=&quot;00C016D7&quot;/&gt;&lt;wsp:rsid wsp:val=&quot;00C02157&quot;/&gt;&lt;wsp:rsid wsp:val=&quot;00C0256F&quot;/&gt;&lt;wsp:rsid wsp:val=&quot;00C03CF2&quot;/&gt;&lt;wsp:rsid wsp:val=&quot;00C079C9&quot;/&gt;&lt;wsp:rsid wsp:val=&quot;00C07D16&quot;/&gt;&lt;wsp:rsid wsp:val=&quot;00C11B97&quot;/&gt;&lt;wsp:rsid wsp:val=&quot;00C122D4&quot;/&gt;&lt;wsp:rsid wsp:val=&quot;00C13245&quot;/&gt;&lt;wsp:rsid wsp:val=&quot;00C133C3&quot;/&gt;&lt;wsp:rsid wsp:val=&quot;00C13823&quot;/&gt;&lt;wsp:rsid wsp:val=&quot;00C13838&quot;/&gt;&lt;wsp:rsid wsp:val=&quot;00C14B23&quot;/&gt;&lt;wsp:rsid wsp:val=&quot;00C15BAD&quot;/&gt;&lt;wsp:rsid wsp:val=&quot;00C21E8F&quot;/&gt;&lt;wsp:rsid wsp:val=&quot;00C22192&quot;/&gt;&lt;wsp:rsid wsp:val=&quot;00C24618&quot;/&gt;&lt;wsp:rsid wsp:val=&quot;00C27708&quot;/&gt;&lt;wsp:rsid wsp:val=&quot;00C27F9F&quot;/&gt;&lt;wsp:rsid wsp:val=&quot;00C305BF&quot;/&gt;&lt;wsp:rsid wsp:val=&quot;00C3347F&quot;/&gt;&lt;wsp:rsid wsp:val=&quot;00C33792&quot;/&gt;&lt;wsp:rsid wsp:val=&quot;00C33A6A&quot;/&gt;&lt;wsp:rsid wsp:val=&quot;00C3549E&quot;/&gt;&lt;wsp:rsid wsp:val=&quot;00C36CA9&quot;/&gt;&lt;wsp:rsid wsp:val=&quot;00C456A4&quot;/&gt;&lt;wsp:rsid wsp:val=&quot;00C458B2&quot;/&gt;&lt;wsp:rsid wsp:val=&quot;00C46075&quot;/&gt;&lt;wsp:rsid wsp:val=&quot;00C46544&quot;/&gt;&lt;wsp:rsid wsp:val=&quot;00C47D48&quot;/&gt;&lt;wsp:rsid wsp:val=&quot;00C5004F&quot;/&gt;&lt;wsp:rsid wsp:val=&quot;00C5012B&quot;/&gt;&lt;wsp:rsid wsp:val=&quot;00C509BD&quot;/&gt;&lt;wsp:rsid wsp:val=&quot;00C52993&quot;/&gt;&lt;wsp:rsid wsp:val=&quot;00C52CF4&quot;/&gt;&lt;wsp:rsid wsp:val=&quot;00C52D39&quot;/&gt;&lt;wsp:rsid wsp:val=&quot;00C5575E&quot;/&gt;&lt;wsp:rsid wsp:val=&quot;00C60696&quot;/&gt;&lt;wsp:rsid wsp:val=&quot;00C64829&quot;/&gt;&lt;wsp:rsid wsp:val=&quot;00C6608D&quot;/&gt;&lt;wsp:rsid wsp:val=&quot;00C70DF1&quot;/&gt;&lt;wsp:rsid wsp:val=&quot;00C723A2&quot;/&gt;&lt;wsp:rsid wsp:val=&quot;00C7416C&quot;/&gt;&lt;wsp:rsid wsp:val=&quot;00C80785&quot;/&gt;&lt;wsp:rsid wsp:val=&quot;00C822E4&quot;/&gt;&lt;wsp:rsid wsp:val=&quot;00C86394&quot;/&gt;&lt;wsp:rsid wsp:val=&quot;00C8752E&quot;/&gt;&lt;wsp:rsid wsp:val=&quot;00C87DF4&quot;/&gt;&lt;wsp:rsid wsp:val=&quot;00C9060C&quot;/&gt;&lt;wsp:rsid wsp:val=&quot;00C92EFD&quot;/&gt;&lt;wsp:rsid wsp:val=&quot;00C93D68&quot;/&gt;&lt;wsp:rsid wsp:val=&quot;00C94A38&quot;/&gt;&lt;wsp:rsid wsp:val=&quot;00C95117&quot;/&gt;&lt;wsp:rsid wsp:val=&quot;00C953A1&quot;/&gt;&lt;wsp:rsid wsp:val=&quot;00C9725E&quot;/&gt;&lt;wsp:rsid wsp:val=&quot;00C97E3E&quot;/&gt;&lt;wsp:rsid wsp:val=&quot;00CA1744&quot;/&gt;&lt;wsp:rsid wsp:val=&quot;00CA195D&quot;/&gt;&lt;wsp:rsid wsp:val=&quot;00CA1B4C&quot;/&gt;&lt;wsp:rsid wsp:val=&quot;00CA1FA1&quot;/&gt;&lt;wsp:rsid wsp:val=&quot;00CA2B73&quot;/&gt;&lt;wsp:rsid wsp:val=&quot;00CA2E43&quot;/&gt;&lt;wsp:rsid wsp:val=&quot;00CA3393&quot;/&gt;&lt;wsp:rsid wsp:val=&quot;00CA4051&quot;/&gt;&lt;wsp:rsid wsp:val=&quot;00CA5B2A&quot;/&gt;&lt;wsp:rsid wsp:val=&quot;00CA7068&quot;/&gt;&lt;wsp:rsid wsp:val=&quot;00CA72F4&quot;/&gt;&lt;wsp:rsid wsp:val=&quot;00CA784C&quot;/&gt;&lt;wsp:rsid wsp:val=&quot;00CB01E2&quot;/&gt;&lt;wsp:rsid wsp:val=&quot;00CB3386&quot;/&gt;&lt;wsp:rsid wsp:val=&quot;00CB6D25&quot;/&gt;&lt;wsp:rsid wsp:val=&quot;00CB73D2&quot;/&gt;&lt;wsp:rsid wsp:val=&quot;00CC1256&quot;/&gt;&lt;wsp:rsid wsp:val=&quot;00CC3A32&quot;/&gt;&lt;wsp:rsid wsp:val=&quot;00CC3DE7&quot;/&gt;&lt;wsp:rsid wsp:val=&quot;00CC507E&quot;/&gt;&lt;wsp:rsid wsp:val=&quot;00CC5CBC&quot;/&gt;&lt;wsp:rsid wsp:val=&quot;00CC5FD5&quot;/&gt;&lt;wsp:rsid wsp:val=&quot;00CC65F4&quot;/&gt;&lt;wsp:rsid wsp:val=&quot;00CC75F8&quot;/&gt;&lt;wsp:rsid wsp:val=&quot;00CD0523&quot;/&gt;&lt;wsp:rsid wsp:val=&quot;00CD097A&quot;/&gt;&lt;wsp:rsid wsp:val=&quot;00CD1211&quot;/&gt;&lt;wsp:rsid wsp:val=&quot;00CD1AB1&quot;/&gt;&lt;wsp:rsid wsp:val=&quot;00CD20D0&quot;/&gt;&lt;wsp:rsid wsp:val=&quot;00CD20F2&quot;/&gt;&lt;wsp:rsid wsp:val=&quot;00CD2EDB&quot;/&gt;&lt;wsp:rsid wsp:val=&quot;00CD3B5B&quot;/&gt;&lt;wsp:rsid wsp:val=&quot;00CD644C&quot;/&gt;&lt;wsp:rsid wsp:val=&quot;00CD6738&quot;/&gt;&lt;wsp:rsid wsp:val=&quot;00CD73B1&quot;/&gt;&lt;wsp:rsid wsp:val=&quot;00CE0D5D&quot;/&gt;&lt;wsp:rsid wsp:val=&quot;00CE21B8&quot;/&gt;&lt;wsp:rsid wsp:val=&quot;00CE238D&quot;/&gt;&lt;wsp:rsid wsp:val=&quot;00CE28AC&quot;/&gt;&lt;wsp:rsid wsp:val=&quot;00CE3344&quot;/&gt;&lt;wsp:rsid wsp:val=&quot;00CE495B&quot;/&gt;&lt;wsp:rsid wsp:val=&quot;00CE6431&quot;/&gt;&lt;wsp:rsid wsp:val=&quot;00CE6A76&quot;/&gt;&lt;wsp:rsid wsp:val=&quot;00CE7B09&quot;/&gt;&lt;wsp:rsid wsp:val=&quot;00CE7F82&quot;/&gt;&lt;wsp:rsid wsp:val=&quot;00CF0235&quot;/&gt;&lt;wsp:rsid wsp:val=&quot;00CF1EB7&quot;/&gt;&lt;wsp:rsid wsp:val=&quot;00CF2C8C&quot;/&gt;&lt;wsp:rsid wsp:val=&quot;00CF521F&quot;/&gt;&lt;wsp:rsid wsp:val=&quot;00CF6300&quot;/&gt;&lt;wsp:rsid wsp:val=&quot;00CF6775&quot;/&gt;&lt;wsp:rsid wsp:val=&quot;00CF6930&quot;/&gt;&lt;wsp:rsid wsp:val=&quot;00CF7134&quot;/&gt;&lt;wsp:rsid wsp:val=&quot;00D00A33&quot;/&gt;&lt;wsp:rsid wsp:val=&quot;00D01039&quot;/&gt;&lt;wsp:rsid wsp:val=&quot;00D05CA8&quot;/&gt;&lt;wsp:rsid wsp:val=&quot;00D076CE&quot;/&gt;&lt;wsp:rsid wsp:val=&quot;00D07B55&quot;/&gt;&lt;wsp:rsid wsp:val=&quot;00D1050C&quot;/&gt;&lt;wsp:rsid wsp:val=&quot;00D11722&quot;/&gt;&lt;wsp:rsid wsp:val=&quot;00D11946&quot;/&gt;&lt;wsp:rsid wsp:val=&quot;00D127D3&quot;/&gt;&lt;wsp:rsid wsp:val=&quot;00D136C6&quot;/&gt;&lt;wsp:rsid wsp:val=&quot;00D14189&quot;/&gt;&lt;wsp:rsid wsp:val=&quot;00D14BCC&quot;/&gt;&lt;wsp:rsid wsp:val=&quot;00D14F25&quot;/&gt;&lt;wsp:rsid wsp:val=&quot;00D157FD&quot;/&gt;&lt;wsp:rsid wsp:val=&quot;00D16C85&quot;/&gt;&lt;wsp:rsid wsp:val=&quot;00D16DEE&quot;/&gt;&lt;wsp:rsid wsp:val=&quot;00D16F64&quot;/&gt;&lt;wsp:rsid wsp:val=&quot;00D17F6C&quot;/&gt;&lt;wsp:rsid wsp:val=&quot;00D21E45&quot;/&gt;&lt;wsp:rsid wsp:val=&quot;00D22B59&quot;/&gt;&lt;wsp:rsid wsp:val=&quot;00D25582&quot;/&gt;&lt;wsp:rsid wsp:val=&quot;00D25AD6&quot;/&gt;&lt;wsp:rsid wsp:val=&quot;00D25EF9&quot;/&gt;&lt;wsp:rsid wsp:val=&quot;00D27845&quot;/&gt;&lt;wsp:rsid wsp:val=&quot;00D317E6&quot;/&gt;&lt;wsp:rsid wsp:val=&quot;00D31D85&quot;/&gt;&lt;wsp:rsid wsp:val=&quot;00D31F67&quot;/&gt;&lt;wsp:rsid wsp:val=&quot;00D324AD&quot;/&gt;&lt;wsp:rsid wsp:val=&quot;00D326E5&quot;/&gt;&lt;wsp:rsid wsp:val=&quot;00D3357E&quot;/&gt;&lt;wsp:rsid wsp:val=&quot;00D33A59&quot;/&gt;&lt;wsp:rsid wsp:val=&quot;00D35902&quot;/&gt;&lt;wsp:rsid wsp:val=&quot;00D35A93&quot;/&gt;&lt;wsp:rsid wsp:val=&quot;00D40E87&quot;/&gt;&lt;wsp:rsid wsp:val=&quot;00D445BF&quot;/&gt;&lt;wsp:rsid wsp:val=&quot;00D44A41&quot;/&gt;&lt;wsp:rsid wsp:val=&quot;00D44D7D&quot;/&gt;&lt;wsp:rsid wsp:val=&quot;00D4523B&quot;/&gt;&lt;wsp:rsid wsp:val=&quot;00D46EBB&quot;/&gt;&lt;wsp:rsid wsp:val=&quot;00D47030&quot;/&gt;&lt;wsp:rsid wsp:val=&quot;00D47144&quot;/&gt;&lt;wsp:rsid wsp:val=&quot;00D472A5&quot;/&gt;&lt;wsp:rsid wsp:val=&quot;00D51205&quot;/&gt;&lt;wsp:rsid wsp:val=&quot;00D51672&quot;/&gt;&lt;wsp:rsid wsp:val=&quot;00D53299&quot;/&gt;&lt;wsp:rsid wsp:val=&quot;00D54DB1&quot;/&gt;&lt;wsp:rsid wsp:val=&quot;00D54DB8&quot;/&gt;&lt;wsp:rsid wsp:val=&quot;00D57AC1&quot;/&gt;&lt;wsp:rsid wsp:val=&quot;00D57CCE&quot;/&gt;&lt;wsp:rsid wsp:val=&quot;00D63E86&quot;/&gt;&lt;wsp:rsid wsp:val=&quot;00D702DF&quot;/&gt;&lt;wsp:rsid wsp:val=&quot;00D71D09&quot;/&gt;&lt;wsp:rsid wsp:val=&quot;00D71E70&quot;/&gt;&lt;wsp:rsid wsp:val=&quot;00D72386&quot;/&gt;&lt;wsp:rsid wsp:val=&quot;00D72CB2&quot;/&gt;&lt;wsp:rsid wsp:val=&quot;00D7332E&quot;/&gt;&lt;wsp:rsid wsp:val=&quot;00D747B4&quot;/&gt;&lt;wsp:rsid wsp:val=&quot;00D74FCF&quot;/&gt;&lt;wsp:rsid wsp:val=&quot;00D75C86&quot;/&gt;&lt;wsp:rsid wsp:val=&quot;00D817FB&quot;/&gt;&lt;wsp:rsid wsp:val=&quot;00D83140&quot;/&gt;&lt;wsp:rsid wsp:val=&quot;00D837B6&quot;/&gt;&lt;wsp:rsid wsp:val=&quot;00D83A41&quot;/&gt;&lt;wsp:rsid wsp:val=&quot;00D84B09&quot;/&gt;&lt;wsp:rsid wsp:val=&quot;00D85545&quot;/&gt;&lt;wsp:rsid wsp:val=&quot;00D85BBE&quot;/&gt;&lt;wsp:rsid wsp:val=&quot;00D91936&quot;/&gt;&lt;wsp:rsid wsp:val=&quot;00D92361&quot;/&gt;&lt;wsp:rsid wsp:val=&quot;00D930DC&quot;/&gt;&lt;wsp:rsid wsp:val=&quot;00D94C59&quot;/&gt;&lt;wsp:rsid wsp:val=&quot;00D95EB8&quot;/&gt;&lt;wsp:rsid wsp:val=&quot;00D96A18&quot;/&gt;&lt;wsp:rsid wsp:val=&quot;00D97116&quot;/&gt;&lt;wsp:rsid wsp:val=&quot;00D97151&quot;/&gt;&lt;wsp:rsid wsp:val=&quot;00D9783E&quot;/&gt;&lt;wsp:rsid wsp:val=&quot;00D97960&quot;/&gt;&lt;wsp:rsid wsp:val=&quot;00D97CC5&quot;/&gt;&lt;wsp:rsid wsp:val=&quot;00D97E84&quot;/&gt;&lt;wsp:rsid wsp:val=&quot;00DA0AA7&quot;/&gt;&lt;wsp:rsid wsp:val=&quot;00DA15E9&quot;/&gt;&lt;wsp:rsid wsp:val=&quot;00DA6AF0&quot;/&gt;&lt;wsp:rsid wsp:val=&quot;00DB0871&quot;/&gt;&lt;wsp:rsid wsp:val=&quot;00DB0D8D&quot;/&gt;&lt;wsp:rsid wsp:val=&quot;00DB4C22&quot;/&gt;&lt;wsp:rsid wsp:val=&quot;00DB4D50&quot;/&gt;&lt;wsp:rsid wsp:val=&quot;00DB5FEB&quot;/&gt;&lt;wsp:rsid wsp:val=&quot;00DC074B&quot;/&gt;&lt;wsp:rsid wsp:val=&quot;00DC0772&quot;/&gt;&lt;wsp:rsid wsp:val=&quot;00DC2D31&quot;/&gt;&lt;wsp:rsid wsp:val=&quot;00DC2D84&quot;/&gt;&lt;wsp:rsid wsp:val=&quot;00DC4468&quot;/&gt;&lt;wsp:rsid wsp:val=&quot;00DC61BF&quot;/&gt;&lt;wsp:rsid wsp:val=&quot;00DC7141&quot;/&gt;&lt;wsp:rsid wsp:val=&quot;00DC7D14&quot;/&gt;&lt;wsp:rsid wsp:val=&quot;00DC7FD4&quot;/&gt;&lt;wsp:rsid wsp:val=&quot;00DD0066&quot;/&gt;&lt;wsp:rsid wsp:val=&quot;00DD1886&quot;/&gt;&lt;wsp:rsid wsp:val=&quot;00DD19A0&quot;/&gt;&lt;wsp:rsid wsp:val=&quot;00DD53B6&quot;/&gt;&lt;wsp:rsid wsp:val=&quot;00DD74EA&quot;/&gt;&lt;wsp:rsid wsp:val=&quot;00DD7BB0&quot;/&gt;&lt;wsp:rsid wsp:val=&quot;00DE07B1&quot;/&gt;&lt;wsp:rsid wsp:val=&quot;00DE10DC&quot;/&gt;&lt;wsp:rsid wsp:val=&quot;00DE267E&quot;/&gt;&lt;wsp:rsid wsp:val=&quot;00DE3AA6&quot;/&gt;&lt;wsp:rsid wsp:val=&quot;00DE3FB7&quot;/&gt;&lt;wsp:rsid wsp:val=&quot;00DE526C&quot;/&gt;&lt;wsp:rsid wsp:val=&quot;00DE53FC&quot;/&gt;&lt;wsp:rsid wsp:val=&quot;00DE659C&quot;/&gt;&lt;wsp:rsid wsp:val=&quot;00DF1701&quot;/&gt;&lt;wsp:rsid wsp:val=&quot;00DF3379&quot;/&gt;&lt;wsp:rsid wsp:val=&quot;00DF4221&quot;/&gt;&lt;wsp:rsid wsp:val=&quot;00DF4C81&quot;/&gt;&lt;wsp:rsid wsp:val=&quot;00DF76A6&quot;/&gt;&lt;wsp:rsid wsp:val=&quot;00DF7A04&quot;/&gt;&lt;wsp:rsid wsp:val=&quot;00E021CE&quot;/&gt;&lt;wsp:rsid wsp:val=&quot;00E03A6E&quot;/&gt;&lt;wsp:rsid wsp:val=&quot;00E04146&quot;/&gt;&lt;wsp:rsid wsp:val=&quot;00E07888&quot;/&gt;&lt;wsp:rsid wsp:val=&quot;00E07ED1&quot;/&gt;&lt;wsp:rsid wsp:val=&quot;00E109B5&quot;/&gt;&lt;wsp:rsid wsp:val=&quot;00E10A4F&quot;/&gt;&lt;wsp:rsid wsp:val=&quot;00E125A4&quot;/&gt;&lt;wsp:rsid wsp:val=&quot;00E1268D&quot;/&gt;&lt;wsp:rsid wsp:val=&quot;00E13373&quot;/&gt;&lt;wsp:rsid wsp:val=&quot;00E1568D&quot;/&gt;&lt;wsp:rsid wsp:val=&quot;00E16D9F&quot;/&gt;&lt;wsp:rsid wsp:val=&quot;00E20B9F&quot;/&gt;&lt;wsp:rsid wsp:val=&quot;00E229DB&quot;/&gt;&lt;wsp:rsid wsp:val=&quot;00E27201&quot;/&gt;&lt;wsp:rsid wsp:val=&quot;00E30305&quot;/&gt;&lt;wsp:rsid wsp:val=&quot;00E31DAF&quot;/&gt;&lt;wsp:rsid wsp:val=&quot;00E3267A&quot;/&gt;&lt;wsp:rsid wsp:val=&quot;00E34209&quot;/&gt;&lt;wsp:rsid wsp:val=&quot;00E3678D&quot;/&gt;&lt;wsp:rsid wsp:val=&quot;00E36BBF&quot;/&gt;&lt;wsp:rsid wsp:val=&quot;00E37A9B&quot;/&gt;&lt;wsp:rsid wsp:val=&quot;00E37B94&quot;/&gt;&lt;wsp:rsid wsp:val=&quot;00E4074F&quot;/&gt;&lt;wsp:rsid wsp:val=&quot;00E40D73&quot;/&gt;&lt;wsp:rsid wsp:val=&quot;00E4192B&quot;/&gt;&lt;wsp:rsid wsp:val=&quot;00E4237A&quot;/&gt;&lt;wsp:rsid wsp:val=&quot;00E425AC&quot;/&gt;&lt;wsp:rsid wsp:val=&quot;00E449BD&quot;/&gt;&lt;wsp:rsid wsp:val=&quot;00E45401&quot;/&gt;&lt;wsp:rsid wsp:val=&quot;00E467F0&quot;/&gt;&lt;wsp:rsid wsp:val=&quot;00E4695F&quot;/&gt;&lt;wsp:rsid wsp:val=&quot;00E47D73&quot;/&gt;&lt;wsp:rsid wsp:val=&quot;00E52744&quot;/&gt;&lt;wsp:rsid wsp:val=&quot;00E52AF5&quot;/&gt;&lt;wsp:rsid wsp:val=&quot;00E52CF0&quot;/&gt;&lt;wsp:rsid wsp:val=&quot;00E53921&quot;/&gt;&lt;wsp:rsid wsp:val=&quot;00E543E7&quot;/&gt;&lt;wsp:rsid wsp:val=&quot;00E553B8&quot;/&gt;&lt;wsp:rsid wsp:val=&quot;00E55783&quot;/&gt;&lt;wsp:rsid wsp:val=&quot;00E60F1C&quot;/&gt;&lt;wsp:rsid wsp:val=&quot;00E6122E&quot;/&gt;&lt;wsp:rsid wsp:val=&quot;00E62BBD&quot;/&gt;&lt;wsp:rsid wsp:val=&quot;00E62CBE&quot;/&gt;&lt;wsp:rsid wsp:val=&quot;00E63B94&quot;/&gt;&lt;wsp:rsid wsp:val=&quot;00E64083&quot;/&gt;&lt;wsp:rsid wsp:val=&quot;00E64538&quot;/&gt;&lt;wsp:rsid wsp:val=&quot;00E65F2C&quot;/&gt;&lt;wsp:rsid wsp:val=&quot;00E67CF5&quot;/&gt;&lt;wsp:rsid wsp:val=&quot;00E70989&quot;/&gt;&lt;wsp:rsid wsp:val=&quot;00E72384&quot;/&gt;&lt;wsp:rsid wsp:val=&quot;00E73DD4&quot;/&gt;&lt;wsp:rsid wsp:val=&quot;00E76291&quot;/&gt;&lt;wsp:rsid wsp:val=&quot;00E76814&quot;/&gt;&lt;wsp:rsid wsp:val=&quot;00E76E70&quot;/&gt;&lt;wsp:rsid wsp:val=&quot;00E77057&quot;/&gt;&lt;wsp:rsid wsp:val=&quot;00E80224&quot;/&gt;&lt;wsp:rsid wsp:val=&quot;00E807DC&quot;/&gt;&lt;wsp:rsid wsp:val=&quot;00E83D52&quot;/&gt;&lt;wsp:rsid wsp:val=&quot;00E84CAB&quot;/&gt;&lt;wsp:rsid wsp:val=&quot;00E8629C&quot;/&gt;&lt;wsp:rsid wsp:val=&quot;00E904CD&quot;/&gt;&lt;wsp:rsid wsp:val=&quot;00E9254C&quot;/&gt;&lt;wsp:rsid wsp:val=&quot;00E92AEE&quot;/&gt;&lt;wsp:rsid wsp:val=&quot;00E97157&quot;/&gt;&lt;wsp:rsid wsp:val=&quot;00EA2BFA&quot;/&gt;&lt;wsp:rsid wsp:val=&quot;00EA55AF&quot;/&gt;&lt;wsp:rsid wsp:val=&quot;00EA56FB&quot;/&gt;&lt;wsp:rsid wsp:val=&quot;00EA5F26&quot;/&gt;&lt;wsp:rsid wsp:val=&quot;00EA67EC&quot;/&gt;&lt;wsp:rsid wsp:val=&quot;00EA739A&quot;/&gt;&lt;wsp:rsid wsp:val=&quot;00EB1D31&quot;/&gt;&lt;wsp:rsid wsp:val=&quot;00EB305E&quot;/&gt;&lt;wsp:rsid wsp:val=&quot;00EB4C99&quot;/&gt;&lt;wsp:rsid wsp:val=&quot;00EC210C&quot;/&gt;&lt;wsp:rsid wsp:val=&quot;00EC30B7&quot;/&gt;&lt;wsp:rsid wsp:val=&quot;00EC4BE5&quot;/&gt;&lt;wsp:rsid wsp:val=&quot;00EC58D9&quot;/&gt;&lt;wsp:rsid wsp:val=&quot;00EC5E4E&quot;/&gt;&lt;wsp:rsid wsp:val=&quot;00ED05AE&quot;/&gt;&lt;wsp:rsid wsp:val=&quot;00ED1084&quot;/&gt;&lt;wsp:rsid wsp:val=&quot;00ED144B&quot;/&gt;&lt;wsp:rsid wsp:val=&quot;00ED30B4&quot;/&gt;&lt;wsp:rsid wsp:val=&quot;00ED3812&quot;/&gt;&lt;wsp:rsid wsp:val=&quot;00ED3B6E&quot;/&gt;&lt;wsp:rsid wsp:val=&quot;00ED3D11&quot;/&gt;&lt;wsp:rsid wsp:val=&quot;00ED50C1&quot;/&gt;&lt;wsp:rsid wsp:val=&quot;00ED5BDC&quot;/&gt;&lt;wsp:rsid wsp:val=&quot;00ED6F8D&quot;/&gt;&lt;wsp:rsid wsp:val=&quot;00ED7620&quot;/&gt;&lt;wsp:rsid wsp:val=&quot;00EE2C03&quot;/&gt;&lt;wsp:rsid wsp:val=&quot;00EE3EE7&quot;/&gt;&lt;wsp:rsid wsp:val=&quot;00EE5457&quot;/&gt;&lt;wsp:rsid wsp:val=&quot;00EE5D3B&quot;/&gt;&lt;wsp:rsid wsp:val=&quot;00EE7414&quot;/&gt;&lt;wsp:rsid wsp:val=&quot;00EF00A0&quot;/&gt;&lt;wsp:rsid wsp:val=&quot;00EF2C9E&quot;/&gt;&lt;wsp:rsid wsp:val=&quot;00EF4931&quot;/&gt;&lt;wsp:rsid wsp:val=&quot;00EF52D0&quot;/&gt;&lt;wsp:rsid wsp:val=&quot;00EF7731&quot;/&gt;&lt;wsp:rsid wsp:val=&quot;00F00328&quot;/&gt;&lt;wsp:rsid wsp:val=&quot;00F009D5&quot;/&gt;&lt;wsp:rsid wsp:val=&quot;00F02F41&quot;/&gt;&lt;wsp:rsid wsp:val=&quot;00F03C66&quot;/&gt;&lt;wsp:rsid wsp:val=&quot;00F03CE8&quot;/&gt;&lt;wsp:rsid wsp:val=&quot;00F03F56&quot;/&gt;&lt;wsp:rsid wsp:val=&quot;00F05B38&quot;/&gt;&lt;wsp:rsid wsp:val=&quot;00F06842&quot;/&gt;&lt;wsp:rsid wsp:val=&quot;00F06F1F&quot;/&gt;&lt;wsp:rsid wsp:val=&quot;00F10442&quot;/&gt;&lt;wsp:rsid wsp:val=&quot;00F114E6&quot;/&gt;&lt;wsp:rsid wsp:val=&quot;00F167E7&quot;/&gt;&lt;wsp:rsid wsp:val=&quot;00F17974&quot;/&gt;&lt;wsp:rsid wsp:val=&quot;00F2159A&quot;/&gt;&lt;wsp:rsid wsp:val=&quot;00F21F8E&quot;/&gt;&lt;wsp:rsid wsp:val=&quot;00F247AD&quot;/&gt;&lt;wsp:rsid wsp:val=&quot;00F24BFB&quot;/&gt;&lt;wsp:rsid wsp:val=&quot;00F254D2&quot;/&gt;&lt;wsp:rsid wsp:val=&quot;00F2568C&quot;/&gt;&lt;wsp:rsid wsp:val=&quot;00F256A1&quot;/&gt;&lt;wsp:rsid wsp:val=&quot;00F25BC8&quot;/&gt;&lt;wsp:rsid wsp:val=&quot;00F25E83&quot;/&gt;&lt;wsp:rsid wsp:val=&quot;00F27EBC&quot;/&gt;&lt;wsp:rsid wsp:val=&quot;00F323B7&quot;/&gt;&lt;wsp:rsid wsp:val=&quot;00F34CBE&quot;/&gt;&lt;wsp:rsid wsp:val=&quot;00F366E6&quot;/&gt;&lt;wsp:rsid wsp:val=&quot;00F41DC5&quot;/&gt;&lt;wsp:rsid wsp:val=&quot;00F4325E&quot;/&gt;&lt;wsp:rsid wsp:val=&quot;00F4380D&quot;/&gt;&lt;wsp:rsid wsp:val=&quot;00F43D89&quot;/&gt;&lt;wsp:rsid wsp:val=&quot;00F51710&quot;/&gt;&lt;wsp:rsid wsp:val=&quot;00F52303&quot;/&gt;&lt;wsp:rsid wsp:val=&quot;00F536F2&quot;/&gt;&lt;wsp:rsid wsp:val=&quot;00F556F0&quot;/&gt;&lt;wsp:rsid wsp:val=&quot;00F57160&quot;/&gt;&lt;wsp:rsid wsp:val=&quot;00F6045A&quot;/&gt;&lt;wsp:rsid wsp:val=&quot;00F661DD&quot;/&gt;&lt;wsp:rsid wsp:val=&quot;00F66411&quot;/&gt;&lt;wsp:rsid wsp:val=&quot;00F66B0D&quot;/&gt;&lt;wsp:rsid wsp:val=&quot;00F71555&quot;/&gt;&lt;wsp:rsid wsp:val=&quot;00F72861&quot;/&gt;&lt;wsp:rsid wsp:val=&quot;00F735B5&quot;/&gt;&lt;wsp:rsid wsp:val=&quot;00F7369D&quot;/&gt;&lt;wsp:rsid wsp:val=&quot;00F73F25&quot;/&gt;&lt;wsp:rsid wsp:val=&quot;00F76757&quot;/&gt;&lt;wsp:rsid wsp:val=&quot;00F775B7&quot;/&gt;&lt;wsp:rsid wsp:val=&quot;00F80036&quot;/&gt;&lt;wsp:rsid wsp:val=&quot;00F80719&quot;/&gt;&lt;wsp:rsid wsp:val=&quot;00F8118C&quot;/&gt;&lt;wsp:rsid wsp:val=&quot;00F818D0&quot;/&gt;&lt;wsp:rsid wsp:val=&quot;00F82340&quot;/&gt;&lt;wsp:rsid wsp:val=&quot;00F825E1&quot;/&gt;&lt;wsp:rsid wsp:val=&quot;00F83740&quot;/&gt;&lt;wsp:rsid wsp:val=&quot;00F839B4&quot;/&gt;&lt;wsp:rsid wsp:val=&quot;00F83C2C&quot;/&gt;&lt;wsp:rsid wsp:val=&quot;00F83C71&quot;/&gt;&lt;wsp:rsid wsp:val=&quot;00F8461B&quot;/&gt;&lt;wsp:rsid wsp:val=&quot;00F867F0&quot;/&gt;&lt;wsp:rsid wsp:val=&quot;00F90570&quot;/&gt;&lt;wsp:rsid wsp:val=&quot;00F90E25&quot;/&gt;&lt;wsp:rsid wsp:val=&quot;00F90F12&quot;/&gt;&lt;wsp:rsid wsp:val=&quot;00F93C84&quot;/&gt;&lt;wsp:rsid wsp:val=&quot;00F97FC3&quot;/&gt;&lt;wsp:rsid wsp:val=&quot;00FA17E1&quot;/&gt;&lt;wsp:rsid wsp:val=&quot;00FA2149&quot;/&gt;&lt;wsp:rsid wsp:val=&quot;00FA3457&quot;/&gt;&lt;wsp:rsid wsp:val=&quot;00FA4D09&quot;/&gt;&lt;wsp:rsid wsp:val=&quot;00FA5073&quot;/&gt;&lt;wsp:rsid wsp:val=&quot;00FA549C&quot;/&gt;&lt;wsp:rsid wsp:val=&quot;00FA5DC4&quot;/&gt;&lt;wsp:rsid wsp:val=&quot;00FA6845&quot;/&gt;&lt;wsp:rsid wsp:val=&quot;00FA68B1&quot;/&gt;&lt;wsp:rsid wsp:val=&quot;00FB00EF&quot;/&gt;&lt;wsp:rsid wsp:val=&quot;00FB31E4&quot;/&gt;&lt;wsp:rsid wsp:val=&quot;00FB369A&quot;/&gt;&lt;wsp:rsid wsp:val=&quot;00FB41FA&quot;/&gt;&lt;wsp:rsid wsp:val=&quot;00FB4C83&quot;/&gt;&lt;wsp:rsid wsp:val=&quot;00FB6822&quot;/&gt;&lt;wsp:rsid wsp:val=&quot;00FC05A9&quot;/&gt;&lt;wsp:rsid wsp:val=&quot;00FC0DC9&quot;/&gt;&lt;wsp:rsid wsp:val=&quot;00FC3F4B&quot;/&gt;&lt;wsp:rsid wsp:val=&quot;00FC4162&quot;/&gt;&lt;wsp:rsid wsp:val=&quot;00FC4469&quot;/&gt;&lt;wsp:rsid wsp:val=&quot;00FC4D4B&quot;/&gt;&lt;wsp:rsid wsp:val=&quot;00FC6BB8&quot;/&gt;&lt;wsp:rsid wsp:val=&quot;00FC71C2&quot;/&gt;&lt;wsp:rsid wsp:val=&quot;00FC7B39&quot;/&gt;&lt;wsp:rsid wsp:val=&quot;00FC7CE4&quot;/&gt;&lt;wsp:rsid wsp:val=&quot;00FD0342&quot;/&gt;&lt;wsp:rsid wsp:val=&quot;00FD1B64&quot;/&gt;&lt;wsp:rsid wsp:val=&quot;00FD1F0C&quot;/&gt;&lt;wsp:rsid wsp:val=&quot;00FD43D3&quot;/&gt;&lt;wsp:rsid wsp:val=&quot;00FD485C&quot;/&gt;&lt;wsp:rsid wsp:val=&quot;00FD7696&quot;/&gt;&lt;wsp:rsid wsp:val=&quot;00FE07BC&quot;/&gt;&lt;wsp:rsid wsp:val=&quot;00FE10BF&quot;/&gt;&lt;wsp:rsid wsp:val=&quot;00FE2301&quot;/&gt;&lt;wsp:rsid wsp:val=&quot;00FE3ECA&quot;/&gt;&lt;wsp:rsid wsp:val=&quot;00FE5117&quot;/&gt;&lt;wsp:rsid wsp:val=&quot;00FE591C&quot;/&gt;&lt;wsp:rsid wsp:val=&quot;00FE66DF&quot;/&gt;&lt;wsp:rsid wsp:val=&quot;00FE788E&quot;/&gt;&lt;wsp:rsid wsp:val=&quot;00FF04F0&quot;/&gt;&lt;wsp:rsid wsp:val=&quot;00FF0A73&quot;/&gt;&lt;wsp:rsid wsp:val=&quot;00FF2D7F&quot;/&gt;&lt;wsp:rsid wsp:val=&quot;00FF3B26&quot;/&gt;&lt;wsp:rsid wsp:val=&quot;00FF3BBC&quot;/&gt;&lt;wsp:rsid wsp:val=&quot;00FF3DD8&quot;/&gt;&lt;wsp:rsid wsp:val=&quot;00FF46A7&quot;/&gt;&lt;wsp:rsid wsp:val=&quot;00FF46D5&quot;/&gt;&lt;wsp:rsid wsp:val=&quot;00FF4D0A&quot;/&gt;&lt;wsp:rsid wsp:val=&quot;00FF5DFC&quot;/&gt;&lt;wsp:rsid wsp:val=&quot;00FF662E&quot;/&gt;&lt;wsp:rsid wsp:val=&quot;00FF78CE&quot;/&gt;&lt;wsp:rsid wsp:val=&quot;010C2981&quot;/&gt;&lt;wsp:rsid wsp:val=&quot;023C527F&quot;/&gt;&lt;wsp:rsid wsp:val=&quot;02F3339A&quot;/&gt;&lt;wsp:rsid wsp:val=&quot;05D91CC6&quot;/&gt;&lt;wsp:rsid wsp:val=&quot;0CC87AC2&quot;/&gt;&lt;wsp:rsid wsp:val=&quot;1229517D&quot;/&gt;&lt;wsp:rsid wsp:val=&quot;14A41D5F&quot;/&gt;&lt;wsp:rsid wsp:val=&quot;164A0475&quot;/&gt;&lt;wsp:rsid wsp:val=&quot;186020A6&quot;/&gt;&lt;wsp:rsid wsp:val=&quot;19310A8B&quot;/&gt;&lt;wsp:rsid wsp:val=&quot;1AB573F0&quot;/&gt;&lt;wsp:rsid wsp:val=&quot;1CF92232&quot;/&gt;&lt;wsp:rsid wsp:val=&quot;1E397353&quot;/&gt;&lt;wsp:rsid wsp:val=&quot;23B542A1&quot;/&gt;&lt;wsp:rsid wsp:val=&quot;245C7BC4&quot;/&gt;&lt;wsp:rsid wsp:val=&quot;2A17557F&quot;/&gt;&lt;wsp:rsid wsp:val=&quot;2A492A9C&quot;/&gt;&lt;wsp:rsid wsp:val=&quot;2A8566A7&quot;/&gt;&lt;wsp:rsid wsp:val=&quot;30E57C41&quot;/&gt;&lt;wsp:rsid wsp:val=&quot;315B4962&quot;/&gt;&lt;wsp:rsid wsp:val=&quot;32791BC3&quot;/&gt;&lt;wsp:rsid wsp:val=&quot;33267902&quot;/&gt;&lt;wsp:rsid wsp:val=&quot;350A1F81&quot;/&gt;&lt;wsp:rsid wsp:val=&quot;359C4321&quot;/&gt;&lt;wsp:rsid wsp:val=&quot;41943A36&quot;/&gt;&lt;wsp:rsid wsp:val=&quot;51636229&quot;/&gt;&lt;wsp:rsid wsp:val=&quot;52031F12&quot;/&gt;&lt;wsp:rsid wsp:val=&quot;54555237&quot;/&gt;&lt;wsp:rsid wsp:val=&quot;548E7DC4&quot;/&gt;&lt;wsp:rsid wsp:val=&quot;5C041DB5&quot;/&gt;&lt;wsp:rsid wsp:val=&quot;5CC90A15&quot;/&gt;&lt;wsp:rsid wsp:val=&quot;5E913859&quot;/&gt;&lt;wsp:rsid wsp:val=&quot;61357D12&quot;/&gt;&lt;wsp:rsid wsp:val=&quot;624559BB&quot;/&gt;&lt;wsp:rsid wsp:val=&quot;67CD2F03&quot;/&gt;&lt;wsp:rsid wsp:val=&quot;6C9B5953&quot;/&gt;&lt;wsp:rsid wsp:val=&quot;6F501183&quot;/&gt;&lt;wsp:rsid wsp:val=&quot;6FB03D8C&quot;/&gt;&lt;wsp:rsid wsp:val=&quot;70070EFB&quot;/&gt;&lt;wsp:rsid wsp:val=&quot;70DE276D&quot;/&gt;&lt;wsp:rsid wsp:val=&quot;7347665F&quot;/&gt;&lt;wsp:rsid wsp:val=&quot;7C543980&quot;/&gt;&lt;/wsp:rsids&gt;&lt;/w:docPr&gt;&lt;w:body&gt;&lt;w:p wsp:rsidR=&quot;00000000&quot; wsp:rsidRDefault=&quot;00537292&quot;&gt;&lt;m:oMathPara&gt;&lt;m:oMath&gt;&lt;m:r&gt;&lt;m:rPr&gt;&lt;m:sty m:val=&quot;p&quot;/&gt;&lt;/m:rPr&gt;&lt;w:rPr&gt;&lt;w:rFonts w:ascii=&quot;Cambria Math&quot; w:h-ansi=&quot;Cambria Math&quot;/&gt;&lt;wx:font wx:val=&quot;Cambria Math&quot;/&gt;&lt;w:color w:val=&quot;FF0000&quot;/&gt;&lt;w:kern w:val=&quot;0&quot;/&gt;&lt;w:sz w:val=&quot;24&quot;/&gt;&lt;w:sz-cs w:val=&quot;20&quot;/&gt;&lt;/w:rPr&gt;&lt;m:t&gt;……&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body&gt;&lt;/w:wordDocument">
                  <v:path/>
                  <v:fill on="f" focussize="0,0"/>
                  <v:stroke on="f"/>
                  <v:imagedata r:id="rId13" chromakey="#FFFFFF" o:title=""/>
                  <o:lock v:ext="edit" aspectratio="t"/>
                  <w10:wrap type="none"/>
                  <w10:anchorlock/>
                </v:shape>
              </w:pict>
            </w:r>
            <w:r>
              <w:rPr>
                <w:rFonts w:hint="default" w:ascii="Times New Roman" w:hAnsi="Times New Roman" w:cs="Times New Roman"/>
                <w:color w:val="auto"/>
                <w:sz w:val="21"/>
                <w:szCs w:val="22"/>
                <w:highlight w:val="none"/>
              </w:rPr>
              <w:fldChar w:fldCharType="end"/>
            </w:r>
            <w:r>
              <w:rPr>
                <w:rFonts w:hint="default" w:ascii="Times New Roman" w:hAnsi="Times New Roman" w:cs="Times New Roman"/>
                <w:color w:val="auto"/>
                <w:sz w:val="21"/>
                <w:szCs w:val="22"/>
                <w:highlight w:val="none"/>
              </w:rPr>
              <w:t>Qn</w:t>
            </w:r>
            <w:r>
              <w:rPr>
                <w:rFonts w:hint="eastAsia" w:ascii="Times New Roman" w:hAnsi="Times New Roman" w:cs="Times New Roman"/>
                <w:color w:val="auto"/>
                <w:sz w:val="21"/>
                <w:szCs w:val="22"/>
                <w:highlight w:val="none"/>
                <w:lang w:eastAsia="zh-CN"/>
              </w:rPr>
              <w:t>-</w:t>
            </w:r>
            <w:r>
              <w:rPr>
                <w:rFonts w:hint="default" w:ascii="Times New Roman" w:hAnsi="Times New Roman" w:cs="Times New Roman"/>
                <w:color w:val="auto"/>
                <w:sz w:val="21"/>
                <w:szCs w:val="22"/>
                <w:highlight w:val="none"/>
              </w:rPr>
              <w:t>每种危险物质的临界量，t。</w:t>
            </w:r>
          </w:p>
          <w:p w14:paraId="5F902503">
            <w:pPr>
              <w:keepNext w:val="0"/>
              <w:keepLines w:val="0"/>
              <w:suppressLineNumbers w:val="0"/>
              <w:adjustRightInd w:val="0"/>
              <w:snapToGrid w:val="0"/>
              <w:spacing w:before="0" w:beforeAutospacing="0" w:after="0" w:afterAutospacing="0" w:line="360" w:lineRule="auto"/>
              <w:ind w:left="0" w:right="0" w:firstLine="420" w:firstLineChars="200"/>
              <w:rPr>
                <w:rFonts w:hint="default" w:ascii="Times New Roman" w:hAnsi="Times New Roman" w:cs="Times New Roman"/>
                <w:color w:val="auto"/>
                <w:sz w:val="21"/>
                <w:szCs w:val="22"/>
                <w:highlight w:val="none"/>
              </w:rPr>
            </w:pPr>
            <w:r>
              <w:rPr>
                <w:rFonts w:hint="default" w:ascii="Times New Roman" w:hAnsi="Times New Roman" w:cs="Times New Roman"/>
                <w:color w:val="auto"/>
                <w:sz w:val="21"/>
                <w:szCs w:val="22"/>
                <w:highlight w:val="none"/>
              </w:rPr>
              <w:t>当 Q＜1 时，该项目环境风险潜势为Ⅰ。</w:t>
            </w:r>
          </w:p>
          <w:p w14:paraId="09E3FFB7">
            <w:pPr>
              <w:keepNext w:val="0"/>
              <w:keepLines w:val="0"/>
              <w:suppressLineNumbers w:val="0"/>
              <w:adjustRightInd w:val="0"/>
              <w:snapToGrid w:val="0"/>
              <w:spacing w:before="0" w:beforeAutospacing="0" w:after="0" w:afterAutospacing="0" w:line="360" w:lineRule="auto"/>
              <w:ind w:left="0" w:right="0" w:firstLine="420" w:firstLineChars="200"/>
              <w:rPr>
                <w:rFonts w:hint="default" w:ascii="Times New Roman" w:hAnsi="Times New Roman" w:cs="Times New Roman"/>
                <w:color w:val="auto"/>
                <w:sz w:val="21"/>
                <w:szCs w:val="22"/>
                <w:highlight w:val="none"/>
              </w:rPr>
            </w:pPr>
            <w:r>
              <w:rPr>
                <w:rFonts w:hint="default" w:ascii="Times New Roman" w:hAnsi="Times New Roman" w:cs="Times New Roman"/>
                <w:color w:val="auto"/>
                <w:sz w:val="21"/>
                <w:szCs w:val="22"/>
                <w:highlight w:val="none"/>
              </w:rPr>
              <w:t>当 Q≥1 时，将 Q 值划分为：（1）1≤Q＜10；（2）10≤Q＜100；（3）Q≥100。</w:t>
            </w:r>
          </w:p>
          <w:p w14:paraId="1559DD87">
            <w:pPr>
              <w:keepNext/>
              <w:keepLines/>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7"/>
              <w:rPr>
                <w:rFonts w:hint="default" w:ascii="Times New Roman" w:hAnsi="Times New Roman" w:eastAsia="宋体" w:cs="Times New Roman"/>
                <w:b/>
                <w:color w:val="auto"/>
                <w:kern w:val="2"/>
                <w:sz w:val="21"/>
                <w:szCs w:val="24"/>
                <w:lang w:val="zh-CN" w:eastAsia="zh-CN" w:bidi="ar-SA"/>
              </w:rPr>
            </w:pPr>
            <w:r>
              <w:rPr>
                <w:rFonts w:hint="default" w:ascii="Times New Roman" w:hAnsi="Times New Roman" w:eastAsia="宋体" w:cs="Times New Roman"/>
                <w:b/>
                <w:color w:val="auto"/>
                <w:kern w:val="2"/>
                <w:sz w:val="21"/>
                <w:szCs w:val="24"/>
                <w:lang w:val="zh-CN" w:eastAsia="zh-CN" w:bidi="ar-SA"/>
              </w:rPr>
              <w:t>环境风险物质数量与临界量比值“Q”核算表</w:t>
            </w:r>
          </w:p>
          <w:tbl>
            <w:tblPr>
              <w:tblStyle w:val="49"/>
              <w:tblW w:w="99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9"/>
              <w:gridCol w:w="1771"/>
              <w:gridCol w:w="1135"/>
              <w:gridCol w:w="994"/>
              <w:gridCol w:w="1096"/>
              <w:gridCol w:w="4361"/>
            </w:tblGrid>
            <w:tr w14:paraId="4B33F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9" w:type="dxa"/>
                  <w:vAlign w:val="center"/>
                </w:tcPr>
                <w:p w14:paraId="6BCCAC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kern w:val="2"/>
                      <w:sz w:val="21"/>
                      <w:szCs w:val="24"/>
                      <w:vertAlign w:val="baseline"/>
                      <w:lang w:val="zh-CN" w:eastAsia="zh-CN" w:bidi="ar-SA"/>
                    </w:rPr>
                  </w:pPr>
                  <w:r>
                    <w:rPr>
                      <w:rFonts w:hint="default" w:ascii="Times New Roman" w:hAnsi="Times New Roman" w:eastAsia="宋体" w:cs="var(--dsw-font-markdown-base)"/>
                      <w:i w:val="0"/>
                      <w:iCs w:val="0"/>
                      <w:caps w:val="0"/>
                      <w:color w:val="auto"/>
                      <w:spacing w:val="0"/>
                      <w:kern w:val="0"/>
                      <w:sz w:val="21"/>
                      <w:szCs w:val="21"/>
                      <w:lang w:val="en-US" w:eastAsia="zh-CN" w:bidi="ar-SA"/>
                    </w:rPr>
                    <w:t>序号</w:t>
                  </w:r>
                </w:p>
              </w:tc>
              <w:tc>
                <w:tcPr>
                  <w:tcW w:w="1771" w:type="dxa"/>
                  <w:vAlign w:val="center"/>
                </w:tcPr>
                <w:p w14:paraId="14E884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kern w:val="2"/>
                      <w:sz w:val="21"/>
                      <w:szCs w:val="24"/>
                      <w:vertAlign w:val="baseline"/>
                      <w:lang w:val="zh-CN" w:eastAsia="zh-CN" w:bidi="ar-SA"/>
                    </w:rPr>
                  </w:pPr>
                  <w:r>
                    <w:rPr>
                      <w:rFonts w:hint="default" w:ascii="Times New Roman" w:hAnsi="Times New Roman" w:eastAsia="宋体" w:cs="var(--dsw-font-markdown-base)"/>
                      <w:i w:val="0"/>
                      <w:iCs w:val="0"/>
                      <w:caps w:val="0"/>
                      <w:color w:val="auto"/>
                      <w:spacing w:val="0"/>
                      <w:kern w:val="0"/>
                      <w:sz w:val="21"/>
                      <w:szCs w:val="21"/>
                      <w:lang w:val="en-US" w:eastAsia="zh-CN" w:bidi="ar-SA"/>
                    </w:rPr>
                    <w:t>物质名称</w:t>
                  </w:r>
                </w:p>
              </w:tc>
              <w:tc>
                <w:tcPr>
                  <w:tcW w:w="1135" w:type="dxa"/>
                  <w:vAlign w:val="center"/>
                </w:tcPr>
                <w:p w14:paraId="66FA12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kern w:val="2"/>
                      <w:sz w:val="21"/>
                      <w:szCs w:val="24"/>
                      <w:vertAlign w:val="baseline"/>
                      <w:lang w:val="zh-CN" w:eastAsia="zh-CN" w:bidi="ar-SA"/>
                    </w:rPr>
                  </w:pPr>
                  <w:r>
                    <w:rPr>
                      <w:rFonts w:hint="default" w:ascii="Times New Roman" w:hAnsi="Times New Roman" w:eastAsia="宋体" w:cs="var(--dsw-font-markdown-base)"/>
                      <w:i w:val="0"/>
                      <w:iCs w:val="0"/>
                      <w:caps w:val="0"/>
                      <w:color w:val="auto"/>
                      <w:spacing w:val="0"/>
                      <w:kern w:val="0"/>
                      <w:sz w:val="21"/>
                      <w:szCs w:val="21"/>
                      <w:lang w:val="en-US" w:eastAsia="zh-CN" w:bidi="ar-SA"/>
                    </w:rPr>
                    <w:t>最大储存量（t）</w:t>
                  </w:r>
                </w:p>
              </w:tc>
              <w:tc>
                <w:tcPr>
                  <w:tcW w:w="994" w:type="dxa"/>
                  <w:vAlign w:val="center"/>
                </w:tcPr>
                <w:p w14:paraId="22B309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kern w:val="2"/>
                      <w:sz w:val="21"/>
                      <w:szCs w:val="24"/>
                      <w:vertAlign w:val="baseline"/>
                      <w:lang w:val="zh-CN" w:eastAsia="zh-CN" w:bidi="ar-SA"/>
                    </w:rPr>
                  </w:pPr>
                  <w:r>
                    <w:rPr>
                      <w:rFonts w:hint="default" w:ascii="Times New Roman" w:hAnsi="Times New Roman" w:eastAsia="宋体" w:cs="var(--dsw-font-markdown-base)"/>
                      <w:i w:val="0"/>
                      <w:iCs w:val="0"/>
                      <w:caps w:val="0"/>
                      <w:color w:val="auto"/>
                      <w:spacing w:val="0"/>
                      <w:kern w:val="0"/>
                      <w:sz w:val="21"/>
                      <w:szCs w:val="21"/>
                      <w:lang w:val="en-US" w:eastAsia="zh-CN" w:bidi="ar-SA"/>
                    </w:rPr>
                    <w:t>临界量（t）</w:t>
                  </w:r>
                </w:p>
              </w:tc>
              <w:tc>
                <w:tcPr>
                  <w:tcW w:w="1096" w:type="dxa"/>
                  <w:vAlign w:val="center"/>
                </w:tcPr>
                <w:p w14:paraId="27CE71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kern w:val="2"/>
                      <w:sz w:val="21"/>
                      <w:szCs w:val="24"/>
                      <w:vertAlign w:val="baseline"/>
                      <w:lang w:val="zh-CN" w:eastAsia="zh-CN" w:bidi="ar-SA"/>
                    </w:rPr>
                  </w:pPr>
                  <w:r>
                    <w:rPr>
                      <w:rFonts w:hint="default" w:ascii="Times New Roman" w:hAnsi="Times New Roman" w:eastAsia="宋体" w:cs="var(--dsw-font-markdown-base)"/>
                      <w:i w:val="0"/>
                      <w:iCs w:val="0"/>
                      <w:caps w:val="0"/>
                      <w:color w:val="auto"/>
                      <w:spacing w:val="0"/>
                      <w:kern w:val="0"/>
                      <w:sz w:val="21"/>
                      <w:szCs w:val="21"/>
                      <w:lang w:val="en-US" w:eastAsia="zh-CN" w:bidi="ar-SA"/>
                    </w:rPr>
                    <w:t>q/Q</w:t>
                  </w:r>
                </w:p>
              </w:tc>
              <w:tc>
                <w:tcPr>
                  <w:tcW w:w="4361" w:type="dxa"/>
                  <w:vAlign w:val="center"/>
                </w:tcPr>
                <w:p w14:paraId="1746DE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kern w:val="2"/>
                      <w:sz w:val="21"/>
                      <w:szCs w:val="24"/>
                      <w:vertAlign w:val="baseline"/>
                      <w:lang w:val="zh-CN" w:eastAsia="zh-CN" w:bidi="ar-SA"/>
                    </w:rPr>
                  </w:pPr>
                  <w:r>
                    <w:rPr>
                      <w:rFonts w:hint="default" w:ascii="Times New Roman" w:hAnsi="Times New Roman" w:eastAsia="宋体" w:cs="var(--dsw-font-markdown-base)"/>
                      <w:i w:val="0"/>
                      <w:iCs w:val="0"/>
                      <w:caps w:val="0"/>
                      <w:color w:val="auto"/>
                      <w:spacing w:val="0"/>
                      <w:kern w:val="0"/>
                      <w:sz w:val="21"/>
                      <w:szCs w:val="21"/>
                      <w:lang w:val="en-US" w:eastAsia="zh-CN" w:bidi="ar-SA"/>
                    </w:rPr>
                    <w:t>判定依据</w:t>
                  </w:r>
                </w:p>
              </w:tc>
            </w:tr>
            <w:tr w14:paraId="74B4A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 w:type="dxa"/>
                  <w:vAlign w:val="center"/>
                </w:tcPr>
                <w:p w14:paraId="48822B70">
                  <w:pPr>
                    <w:keepNext w:val="0"/>
                    <w:keepLines w:val="0"/>
                    <w:pageBreakBefore w:val="0"/>
                    <w:widowControl/>
                    <w:numPr>
                      <w:ilvl w:val="0"/>
                      <w:numId w:val="33"/>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color w:val="auto"/>
                      <w:kern w:val="2"/>
                      <w:sz w:val="21"/>
                      <w:szCs w:val="24"/>
                      <w:vertAlign w:val="baseline"/>
                      <w:lang w:val="zh-CN" w:eastAsia="zh-CN" w:bidi="ar-SA"/>
                    </w:rPr>
                  </w:pPr>
                </w:p>
              </w:tc>
              <w:tc>
                <w:tcPr>
                  <w:tcW w:w="1771" w:type="dxa"/>
                  <w:vAlign w:val="center"/>
                </w:tcPr>
                <w:p w14:paraId="618801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kern w:val="2"/>
                      <w:sz w:val="21"/>
                      <w:szCs w:val="24"/>
                      <w:vertAlign w:val="baseline"/>
                      <w:lang w:val="zh-CN" w:eastAsia="zh-CN" w:bidi="ar-SA"/>
                    </w:rPr>
                  </w:pPr>
                  <w:r>
                    <w:rPr>
                      <w:rFonts w:hint="default" w:ascii="Times New Roman" w:hAnsi="Times New Roman" w:eastAsia="宋体" w:cs="var(--dsw-font-markdown-table)"/>
                      <w:color w:val="auto"/>
                      <w:kern w:val="0"/>
                      <w:sz w:val="21"/>
                      <w:szCs w:val="24"/>
                      <w:lang w:val="en-US" w:eastAsia="zh-CN" w:bidi="ar"/>
                    </w:rPr>
                    <w:t>机油</w:t>
                  </w:r>
                </w:p>
              </w:tc>
              <w:tc>
                <w:tcPr>
                  <w:tcW w:w="1135" w:type="dxa"/>
                  <w:vAlign w:val="center"/>
                </w:tcPr>
                <w:p w14:paraId="538E8F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kern w:val="2"/>
                      <w:sz w:val="21"/>
                      <w:szCs w:val="24"/>
                      <w:vertAlign w:val="baseline"/>
                      <w:lang w:val="zh-CN" w:eastAsia="zh-CN" w:bidi="ar-SA"/>
                    </w:rPr>
                  </w:pPr>
                  <w:r>
                    <w:rPr>
                      <w:rFonts w:hint="default" w:ascii="Times New Roman" w:hAnsi="Times New Roman" w:eastAsia="宋体" w:cs="var(--dsw-font-markdown-table)"/>
                      <w:color w:val="auto"/>
                      <w:kern w:val="0"/>
                      <w:sz w:val="21"/>
                      <w:szCs w:val="24"/>
                      <w:lang w:val="en-US" w:eastAsia="zh-CN" w:bidi="ar"/>
                    </w:rPr>
                    <w:t>0.</w:t>
                  </w:r>
                  <w:r>
                    <w:rPr>
                      <w:rFonts w:hint="eastAsia" w:cs="var(--dsw-font-markdown-table)"/>
                      <w:color w:val="auto"/>
                      <w:kern w:val="0"/>
                      <w:sz w:val="21"/>
                      <w:szCs w:val="24"/>
                      <w:lang w:val="en-US" w:eastAsia="zh-CN" w:bidi="ar"/>
                    </w:rPr>
                    <w:t>1</w:t>
                  </w:r>
                </w:p>
              </w:tc>
              <w:tc>
                <w:tcPr>
                  <w:tcW w:w="994" w:type="dxa"/>
                  <w:vAlign w:val="center"/>
                </w:tcPr>
                <w:p w14:paraId="5F9075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kern w:val="2"/>
                      <w:sz w:val="21"/>
                      <w:szCs w:val="24"/>
                      <w:vertAlign w:val="baseline"/>
                      <w:lang w:val="zh-CN" w:eastAsia="zh-CN" w:bidi="ar-SA"/>
                    </w:rPr>
                  </w:pPr>
                  <w:r>
                    <w:rPr>
                      <w:rFonts w:hint="default" w:ascii="Times New Roman" w:hAnsi="Times New Roman" w:eastAsia="宋体" w:cs="var(--dsw-font-markdown-table)"/>
                      <w:color w:val="auto"/>
                      <w:kern w:val="0"/>
                      <w:sz w:val="21"/>
                      <w:szCs w:val="24"/>
                      <w:lang w:val="en-US" w:eastAsia="zh-CN" w:bidi="ar"/>
                    </w:rPr>
                    <w:t>2500</w:t>
                  </w:r>
                </w:p>
              </w:tc>
              <w:tc>
                <w:tcPr>
                  <w:tcW w:w="1096" w:type="dxa"/>
                  <w:vAlign w:val="center"/>
                </w:tcPr>
                <w:p w14:paraId="6E6B44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color w:val="auto"/>
                      <w:kern w:val="2"/>
                      <w:sz w:val="21"/>
                      <w:szCs w:val="24"/>
                      <w:vertAlign w:val="baseline"/>
                      <w:lang w:val="zh-CN" w:eastAsia="zh-CN" w:bidi="ar-SA"/>
                    </w:rPr>
                  </w:pPr>
                  <w:r>
                    <w:rPr>
                      <w:rFonts w:hint="default" w:ascii="Times New Roman" w:hAnsi="Times New Roman" w:eastAsia="宋体" w:cs="Times New Roman"/>
                      <w:i w:val="0"/>
                      <w:iCs w:val="0"/>
                      <w:color w:val="auto"/>
                      <w:kern w:val="0"/>
                      <w:sz w:val="21"/>
                      <w:szCs w:val="21"/>
                      <w:u w:val="none"/>
                      <w:lang w:val="en-US" w:eastAsia="zh-CN" w:bidi="ar"/>
                    </w:rPr>
                    <w:t>0.00004</w:t>
                  </w:r>
                </w:p>
              </w:tc>
              <w:tc>
                <w:tcPr>
                  <w:tcW w:w="4361" w:type="dxa"/>
                  <w:vAlign w:val="center"/>
                </w:tcPr>
                <w:p w14:paraId="2615CF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kern w:val="2"/>
                      <w:sz w:val="21"/>
                      <w:szCs w:val="24"/>
                      <w:vertAlign w:val="baseline"/>
                      <w:lang w:val="zh-CN" w:eastAsia="zh-CN" w:bidi="ar-SA"/>
                    </w:rPr>
                  </w:pPr>
                  <w:r>
                    <w:rPr>
                      <w:rFonts w:hint="eastAsia" w:cs="var(--dsw-font-markdown-table)"/>
                      <w:color w:val="auto"/>
                      <w:kern w:val="0"/>
                      <w:sz w:val="21"/>
                      <w:szCs w:val="24"/>
                      <w:lang w:val="en-US" w:eastAsia="zh-CN" w:bidi="ar"/>
                    </w:rPr>
                    <w:t>HJ169-2018</w:t>
                  </w:r>
                  <w:r>
                    <w:rPr>
                      <w:rFonts w:hint="default" w:ascii="Times New Roman" w:hAnsi="Times New Roman" w:eastAsia="宋体" w:cs="var(--dsw-font-markdown-table)"/>
                      <w:color w:val="auto"/>
                      <w:kern w:val="0"/>
                      <w:sz w:val="21"/>
                      <w:szCs w:val="24"/>
                      <w:lang w:val="en-US" w:eastAsia="zh-CN" w:bidi="ar"/>
                    </w:rPr>
                    <w:t>表B.1油类物质（矿物油类）</w:t>
                  </w:r>
                </w:p>
              </w:tc>
            </w:tr>
            <w:tr w14:paraId="62C43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 w:type="dxa"/>
                  <w:vAlign w:val="center"/>
                </w:tcPr>
                <w:p w14:paraId="63458551">
                  <w:pPr>
                    <w:keepNext w:val="0"/>
                    <w:keepLines w:val="0"/>
                    <w:pageBreakBefore w:val="0"/>
                    <w:widowControl/>
                    <w:numPr>
                      <w:ilvl w:val="0"/>
                      <w:numId w:val="33"/>
                    </w:numPr>
                    <w:suppressLineNumbers w:val="0"/>
                    <w:kinsoku/>
                    <w:wordWrap/>
                    <w:overflowPunct/>
                    <w:topLinePunct w:val="0"/>
                    <w:autoSpaceDE/>
                    <w:autoSpaceDN/>
                    <w:bidi w:val="0"/>
                    <w:adjustRightInd/>
                    <w:snapToGrid/>
                    <w:spacing w:before="0" w:beforeAutospacing="0" w:after="0" w:afterAutospacing="0" w:line="240" w:lineRule="auto"/>
                    <w:ind w:left="425" w:leftChars="0" w:right="0" w:rightChars="0" w:hanging="425" w:firstLineChars="0"/>
                    <w:jc w:val="center"/>
                    <w:textAlignment w:val="auto"/>
                    <w:rPr>
                      <w:rFonts w:hint="default" w:ascii="Times New Roman" w:hAnsi="Times New Roman" w:eastAsia="宋体" w:cs="Times New Roman"/>
                      <w:b w:val="0"/>
                      <w:bCs/>
                      <w:color w:val="auto"/>
                      <w:kern w:val="2"/>
                      <w:sz w:val="21"/>
                      <w:szCs w:val="24"/>
                      <w:vertAlign w:val="baseline"/>
                      <w:lang w:val="zh-CN" w:eastAsia="zh-CN" w:bidi="ar-SA"/>
                    </w:rPr>
                  </w:pPr>
                </w:p>
              </w:tc>
              <w:tc>
                <w:tcPr>
                  <w:tcW w:w="1771" w:type="dxa"/>
                  <w:vAlign w:val="center"/>
                </w:tcPr>
                <w:p w14:paraId="3BE358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kern w:val="2"/>
                      <w:sz w:val="21"/>
                      <w:szCs w:val="24"/>
                      <w:vertAlign w:val="baseline"/>
                      <w:lang w:val="zh-CN" w:eastAsia="zh-CN" w:bidi="ar-SA"/>
                    </w:rPr>
                  </w:pPr>
                  <w:r>
                    <w:rPr>
                      <w:rFonts w:hint="default" w:ascii="Times New Roman" w:hAnsi="Times New Roman" w:eastAsia="宋体" w:cs="var(--dsw-font-markdown-table)"/>
                      <w:color w:val="auto"/>
                      <w:kern w:val="0"/>
                      <w:sz w:val="21"/>
                      <w:szCs w:val="24"/>
                      <w:lang w:val="en-US" w:eastAsia="zh-CN" w:bidi="ar"/>
                    </w:rPr>
                    <w:t>废机油</w:t>
                  </w:r>
                </w:p>
              </w:tc>
              <w:tc>
                <w:tcPr>
                  <w:tcW w:w="1135" w:type="dxa"/>
                  <w:vAlign w:val="center"/>
                </w:tcPr>
                <w:p w14:paraId="25E01F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kern w:val="2"/>
                      <w:sz w:val="21"/>
                      <w:szCs w:val="24"/>
                      <w:vertAlign w:val="baseline"/>
                      <w:lang w:val="en-US" w:eastAsia="zh-CN" w:bidi="ar-SA"/>
                    </w:rPr>
                  </w:pPr>
                  <w:r>
                    <w:rPr>
                      <w:rFonts w:hint="default" w:ascii="Times New Roman" w:hAnsi="Times New Roman" w:eastAsia="宋体" w:cs="var(--dsw-font-markdown-table)"/>
                      <w:color w:val="auto"/>
                      <w:kern w:val="0"/>
                      <w:sz w:val="21"/>
                      <w:szCs w:val="24"/>
                      <w:lang w:val="en-US" w:eastAsia="zh-CN" w:bidi="ar"/>
                    </w:rPr>
                    <w:t>0.0</w:t>
                  </w:r>
                  <w:r>
                    <w:rPr>
                      <w:rFonts w:hint="eastAsia" w:cs="var(--dsw-font-markdown-table)"/>
                      <w:color w:val="auto"/>
                      <w:kern w:val="0"/>
                      <w:sz w:val="21"/>
                      <w:szCs w:val="24"/>
                      <w:lang w:val="en-US" w:eastAsia="zh-CN" w:bidi="ar"/>
                    </w:rPr>
                    <w:t>125</w:t>
                  </w:r>
                </w:p>
              </w:tc>
              <w:tc>
                <w:tcPr>
                  <w:tcW w:w="994" w:type="dxa"/>
                  <w:vAlign w:val="center"/>
                </w:tcPr>
                <w:p w14:paraId="7CC87B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kern w:val="2"/>
                      <w:sz w:val="21"/>
                      <w:szCs w:val="24"/>
                      <w:vertAlign w:val="baseline"/>
                      <w:lang w:val="zh-CN" w:eastAsia="zh-CN" w:bidi="ar-SA"/>
                    </w:rPr>
                  </w:pPr>
                  <w:r>
                    <w:rPr>
                      <w:rFonts w:hint="default" w:ascii="Times New Roman" w:hAnsi="Times New Roman" w:eastAsia="宋体" w:cs="var(--dsw-font-markdown-table)"/>
                      <w:color w:val="auto"/>
                      <w:kern w:val="0"/>
                      <w:sz w:val="21"/>
                      <w:szCs w:val="24"/>
                      <w:lang w:val="en-US" w:eastAsia="zh-CN" w:bidi="ar"/>
                    </w:rPr>
                    <w:t>2500</w:t>
                  </w:r>
                </w:p>
              </w:tc>
              <w:tc>
                <w:tcPr>
                  <w:tcW w:w="1096" w:type="dxa"/>
                  <w:vAlign w:val="center"/>
                </w:tcPr>
                <w:p w14:paraId="25EC64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color w:val="auto"/>
                      <w:kern w:val="2"/>
                      <w:sz w:val="21"/>
                      <w:szCs w:val="24"/>
                      <w:vertAlign w:val="baseline"/>
                      <w:lang w:val="zh-CN" w:eastAsia="zh-CN" w:bidi="ar-SA"/>
                    </w:rPr>
                  </w:pPr>
                  <w:r>
                    <w:rPr>
                      <w:rFonts w:hint="default" w:ascii="Times New Roman" w:hAnsi="Times New Roman" w:eastAsia="宋体" w:cs="Times New Roman"/>
                      <w:i w:val="0"/>
                      <w:iCs w:val="0"/>
                      <w:color w:val="auto"/>
                      <w:kern w:val="0"/>
                      <w:sz w:val="21"/>
                      <w:szCs w:val="21"/>
                      <w:u w:val="none"/>
                      <w:lang w:val="en-US" w:eastAsia="zh-CN" w:bidi="ar"/>
                    </w:rPr>
                    <w:t>0.000005</w:t>
                  </w:r>
                </w:p>
              </w:tc>
              <w:tc>
                <w:tcPr>
                  <w:tcW w:w="4361" w:type="dxa"/>
                  <w:vAlign w:val="center"/>
                </w:tcPr>
                <w:p w14:paraId="212F24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kern w:val="2"/>
                      <w:sz w:val="21"/>
                      <w:szCs w:val="24"/>
                      <w:vertAlign w:val="baseline"/>
                      <w:lang w:val="zh-CN" w:eastAsia="zh-CN" w:bidi="ar-SA"/>
                    </w:rPr>
                  </w:pPr>
                  <w:r>
                    <w:rPr>
                      <w:rFonts w:hint="eastAsia" w:cs="var(--dsw-font-markdown-table)"/>
                      <w:color w:val="auto"/>
                      <w:kern w:val="0"/>
                      <w:sz w:val="21"/>
                      <w:szCs w:val="24"/>
                      <w:lang w:val="en-US" w:eastAsia="zh-CN" w:bidi="ar"/>
                    </w:rPr>
                    <w:t>HJ169-2018</w:t>
                  </w:r>
                  <w:r>
                    <w:rPr>
                      <w:rFonts w:hint="default" w:ascii="Times New Roman" w:hAnsi="Times New Roman" w:eastAsia="宋体" w:cs="var(--dsw-font-markdown-table)"/>
                      <w:color w:val="auto"/>
                      <w:kern w:val="0"/>
                      <w:sz w:val="21"/>
                      <w:szCs w:val="24"/>
                      <w:lang w:val="en-US" w:eastAsia="zh-CN" w:bidi="ar"/>
                    </w:rPr>
                    <w:t>表B.1油类物质（矿物油类）</w:t>
                  </w:r>
                </w:p>
              </w:tc>
            </w:tr>
            <w:tr w14:paraId="3EFDB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9" w:type="dxa"/>
                  <w:vAlign w:val="center"/>
                </w:tcPr>
                <w:p w14:paraId="4049FD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kern w:val="2"/>
                      <w:sz w:val="21"/>
                      <w:szCs w:val="24"/>
                      <w:vertAlign w:val="baseline"/>
                      <w:lang w:val="zh-CN" w:eastAsia="zh-CN" w:bidi="ar-SA"/>
                    </w:rPr>
                  </w:pPr>
                  <w:r>
                    <w:rPr>
                      <w:rFonts w:hint="default" w:ascii="Times New Roman" w:hAnsi="Times New Roman" w:eastAsia="宋体" w:cs="var(--dsw-font-markdown-table)"/>
                      <w:b/>
                      <w:bCs/>
                      <w:color w:val="auto"/>
                      <w:kern w:val="0"/>
                      <w:sz w:val="21"/>
                      <w:szCs w:val="24"/>
                      <w:lang w:val="en-US" w:eastAsia="zh-CN" w:bidi="ar"/>
                    </w:rPr>
                    <w:t>合计</w:t>
                  </w:r>
                </w:p>
              </w:tc>
              <w:tc>
                <w:tcPr>
                  <w:tcW w:w="1771" w:type="dxa"/>
                  <w:vAlign w:val="center"/>
                </w:tcPr>
                <w:p w14:paraId="31EFEC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kern w:val="2"/>
                      <w:sz w:val="21"/>
                      <w:szCs w:val="24"/>
                      <w:vertAlign w:val="baseline"/>
                      <w:lang w:val="zh-CN" w:eastAsia="zh-CN" w:bidi="ar-SA"/>
                    </w:rPr>
                  </w:pPr>
                  <w:r>
                    <w:rPr>
                      <w:rFonts w:hint="default" w:ascii="Times New Roman" w:hAnsi="Times New Roman" w:eastAsia="宋体" w:cs="var(--dsw-font-markdown-table)"/>
                      <w:b/>
                      <w:bCs/>
                      <w:color w:val="auto"/>
                      <w:kern w:val="0"/>
                      <w:sz w:val="21"/>
                      <w:szCs w:val="24"/>
                      <w:lang w:val="en-US" w:eastAsia="zh-CN" w:bidi="ar"/>
                    </w:rPr>
                    <w:t>∑</w:t>
                  </w:r>
                  <w:r>
                    <w:rPr>
                      <w:rFonts w:hint="eastAsia" w:cs="var(--dsw-font-markdown-table)"/>
                      <w:b/>
                      <w:bCs/>
                      <w:color w:val="auto"/>
                      <w:kern w:val="0"/>
                      <w:sz w:val="21"/>
                      <w:szCs w:val="24"/>
                      <w:lang w:val="en-US" w:eastAsia="zh-CN" w:bidi="ar"/>
                    </w:rPr>
                    <w:t>(</w:t>
                  </w:r>
                  <w:r>
                    <w:rPr>
                      <w:rFonts w:hint="default" w:ascii="Times New Roman" w:hAnsi="Times New Roman" w:eastAsia="宋体" w:cs="var(--dsw-font-markdown-table)"/>
                      <w:b/>
                      <w:bCs/>
                      <w:color w:val="auto"/>
                      <w:kern w:val="0"/>
                      <w:sz w:val="21"/>
                      <w:szCs w:val="24"/>
                      <w:lang w:val="en-US" w:eastAsia="zh-CN" w:bidi="ar"/>
                    </w:rPr>
                    <w:t>q/Q</w:t>
                  </w:r>
                  <w:r>
                    <w:rPr>
                      <w:rFonts w:hint="eastAsia" w:cs="var(--dsw-font-markdown-table)"/>
                      <w:b/>
                      <w:bCs/>
                      <w:color w:val="auto"/>
                      <w:kern w:val="0"/>
                      <w:sz w:val="21"/>
                      <w:szCs w:val="24"/>
                      <w:lang w:val="en-US" w:eastAsia="zh-CN" w:bidi="ar"/>
                    </w:rPr>
                    <w:t>)</w:t>
                  </w:r>
                </w:p>
              </w:tc>
              <w:tc>
                <w:tcPr>
                  <w:tcW w:w="1135" w:type="dxa"/>
                  <w:vAlign w:val="center"/>
                </w:tcPr>
                <w:p w14:paraId="4F58B4F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kern w:val="2"/>
                      <w:sz w:val="21"/>
                      <w:szCs w:val="24"/>
                      <w:vertAlign w:val="baseline"/>
                      <w:lang w:val="en-US" w:eastAsia="zh-CN" w:bidi="ar-SA"/>
                    </w:rPr>
                  </w:pPr>
                  <w:r>
                    <w:rPr>
                      <w:rFonts w:hint="eastAsia" w:cs="Times New Roman"/>
                      <w:b/>
                      <w:color w:val="auto"/>
                      <w:kern w:val="2"/>
                      <w:sz w:val="21"/>
                      <w:szCs w:val="24"/>
                      <w:vertAlign w:val="baseline"/>
                      <w:lang w:val="en-US" w:eastAsia="zh-CN" w:bidi="ar-SA"/>
                    </w:rPr>
                    <w:t>/</w:t>
                  </w:r>
                </w:p>
              </w:tc>
              <w:tc>
                <w:tcPr>
                  <w:tcW w:w="994" w:type="dxa"/>
                  <w:vAlign w:val="center"/>
                </w:tcPr>
                <w:p w14:paraId="5082593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kern w:val="2"/>
                      <w:sz w:val="21"/>
                      <w:szCs w:val="24"/>
                      <w:vertAlign w:val="baseline"/>
                      <w:lang w:val="en-US" w:eastAsia="zh-CN" w:bidi="ar-SA"/>
                    </w:rPr>
                  </w:pPr>
                  <w:r>
                    <w:rPr>
                      <w:rFonts w:hint="eastAsia" w:cs="Times New Roman"/>
                      <w:b/>
                      <w:color w:val="auto"/>
                      <w:kern w:val="2"/>
                      <w:sz w:val="21"/>
                      <w:szCs w:val="24"/>
                      <w:vertAlign w:val="baseline"/>
                      <w:lang w:val="en-US" w:eastAsia="zh-CN" w:bidi="ar-SA"/>
                    </w:rPr>
                    <w:t>/</w:t>
                  </w:r>
                </w:p>
              </w:tc>
              <w:tc>
                <w:tcPr>
                  <w:tcW w:w="1096" w:type="dxa"/>
                  <w:shd w:val="clear" w:color="auto" w:fill="auto"/>
                  <w:vAlign w:val="center"/>
                </w:tcPr>
                <w:p w14:paraId="2CB94C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2"/>
                      <w:sz w:val="21"/>
                      <w:szCs w:val="21"/>
                      <w:u w:val="none"/>
                      <w:lang w:val="zh-CN" w:eastAsia="zh-CN" w:bidi="ar-SA"/>
                    </w:rPr>
                  </w:pPr>
                  <w:r>
                    <w:rPr>
                      <w:rFonts w:hint="default" w:ascii="Times New Roman" w:hAnsi="Times New Roman" w:eastAsia="宋体" w:cs="Times New Roman"/>
                      <w:i w:val="0"/>
                      <w:iCs w:val="0"/>
                      <w:color w:val="000000"/>
                      <w:kern w:val="0"/>
                      <w:sz w:val="21"/>
                      <w:szCs w:val="21"/>
                      <w:u w:val="none"/>
                      <w:lang w:val="en-US" w:eastAsia="zh-CN" w:bidi="ar"/>
                    </w:rPr>
                    <w:t>0.000045</w:t>
                  </w:r>
                </w:p>
              </w:tc>
              <w:tc>
                <w:tcPr>
                  <w:tcW w:w="4361" w:type="dxa"/>
                  <w:vAlign w:val="center"/>
                </w:tcPr>
                <w:p w14:paraId="2821B54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kern w:val="2"/>
                      <w:sz w:val="21"/>
                      <w:szCs w:val="24"/>
                      <w:vertAlign w:val="baseline"/>
                      <w:lang w:val="en-US" w:eastAsia="zh-CN" w:bidi="ar-SA"/>
                    </w:rPr>
                  </w:pPr>
                  <w:r>
                    <w:rPr>
                      <w:rFonts w:hint="eastAsia" w:cs="Times New Roman"/>
                      <w:b/>
                      <w:color w:val="auto"/>
                      <w:kern w:val="2"/>
                      <w:sz w:val="21"/>
                      <w:szCs w:val="24"/>
                      <w:vertAlign w:val="baseline"/>
                      <w:lang w:val="en-US" w:eastAsia="zh-CN" w:bidi="ar-SA"/>
                    </w:rPr>
                    <w:t>/</w:t>
                  </w:r>
                </w:p>
              </w:tc>
            </w:tr>
          </w:tbl>
          <w:p w14:paraId="01C36C45">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leftChars="0" w:right="0" w:rightChars="0" w:firstLine="420" w:firstLineChars="200"/>
              <w:jc w:val="left"/>
              <w:textAlignment w:val="auto"/>
              <w:rPr>
                <w:rFonts w:hint="default" w:ascii="Times New Roman" w:hAnsi="Times New Roman" w:eastAsia="宋体" w:cs="Times New Roman"/>
                <w:color w:val="auto"/>
                <w:kern w:val="0"/>
                <w:sz w:val="21"/>
                <w:szCs w:val="24"/>
                <w:lang w:val="en-US" w:eastAsia="zh-CN" w:bidi="ar-SA"/>
              </w:rPr>
            </w:pPr>
            <w:r>
              <w:rPr>
                <w:rFonts w:hint="default" w:ascii="Times New Roman" w:hAnsi="Times New Roman" w:eastAsia="宋体" w:cs="var(--dsw-font-markdown-base)"/>
                <w:i w:val="0"/>
                <w:iCs w:val="0"/>
                <w:caps w:val="0"/>
                <w:color w:val="auto"/>
                <w:spacing w:val="0"/>
                <w:kern w:val="0"/>
                <w:sz w:val="21"/>
                <w:szCs w:val="21"/>
                <w:lang w:val="en-US" w:eastAsia="zh-CN" w:bidi="ar-SA"/>
              </w:rPr>
              <w:t>由上表可知，本项目Q=</w:t>
            </w:r>
            <w:r>
              <w:rPr>
                <w:rFonts w:hint="eastAsia" w:cs="var(--dsw-font-markdown-base)"/>
                <w:i w:val="0"/>
                <w:iCs w:val="0"/>
                <w:caps w:val="0"/>
                <w:color w:val="auto"/>
                <w:spacing w:val="0"/>
                <w:kern w:val="0"/>
                <w:sz w:val="21"/>
                <w:szCs w:val="21"/>
                <w:lang w:val="en-US" w:eastAsia="zh-CN" w:bidi="ar-SA"/>
              </w:rPr>
              <w:t>0.000045</w:t>
            </w:r>
            <w:r>
              <w:rPr>
                <w:rFonts w:hint="default" w:ascii="Times New Roman" w:hAnsi="Times New Roman" w:eastAsia="宋体" w:cs="var(--dsw-font-markdown-base)"/>
                <w:i w:val="0"/>
                <w:iCs w:val="0"/>
                <w:caps w:val="0"/>
                <w:color w:val="auto"/>
                <w:spacing w:val="0"/>
                <w:kern w:val="0"/>
                <w:sz w:val="21"/>
                <w:szCs w:val="21"/>
                <w:lang w:val="en-US" w:eastAsia="zh-CN" w:bidi="ar-SA"/>
              </w:rPr>
              <w:t>＜1，环境风险潜势为I，不存在重大危险源，故无须设置环境风险专项评价。本项目环境风险评价工作等级定为简单分析。</w:t>
            </w:r>
          </w:p>
          <w:p w14:paraId="44BC354F">
            <w:pPr>
              <w:pStyle w:val="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rPr>
            </w:pPr>
            <w:bookmarkStart w:id="78" w:name="_Toc26826"/>
            <w:r>
              <w:rPr>
                <w:rFonts w:hint="default" w:ascii="Times New Roman" w:hAnsi="Times New Roman" w:eastAsia="宋体" w:cs="Segoe UI"/>
                <w:b/>
                <w:bCs/>
                <w:i w:val="0"/>
                <w:iCs w:val="0"/>
                <w:caps w:val="0"/>
                <w:strike w:val="0"/>
                <w:color w:val="auto"/>
                <w:spacing w:val="0"/>
                <w:kern w:val="2"/>
                <w:sz w:val="21"/>
                <w:szCs w:val="24"/>
                <w:u w:val="none"/>
                <w:lang w:val="en-US" w:eastAsia="zh-CN" w:bidi="ar-SA"/>
              </w:rPr>
              <w:t>2、风险源识别</w:t>
            </w:r>
            <w:bookmarkEnd w:id="78"/>
          </w:p>
          <w:p w14:paraId="7BBACA56">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根据《建设项目环境风险评价技术导则》（</w:t>
            </w:r>
            <w:r>
              <w:rPr>
                <w:rFonts w:hint="eastAsia" w:ascii="Times New Roman" w:hAnsi="Times New Roman" w:cs="Segoe UI"/>
                <w:i w:val="0"/>
                <w:iCs w:val="0"/>
                <w:caps w:val="0"/>
                <w:color w:val="auto"/>
                <w:spacing w:val="0"/>
                <w:sz w:val="21"/>
                <w:szCs w:val="24"/>
                <w:shd w:val="clear" w:fill="FFFFFF"/>
                <w:lang w:eastAsia="zh-CN"/>
              </w:rPr>
              <w:t>HJ169-2018</w:t>
            </w:r>
            <w:r>
              <w:rPr>
                <w:rFonts w:hint="default" w:ascii="Times New Roman" w:hAnsi="Times New Roman" w:eastAsia="宋体" w:cs="Segoe UI"/>
                <w:i w:val="0"/>
                <w:iCs w:val="0"/>
                <w:caps w:val="0"/>
                <w:color w:val="auto"/>
                <w:spacing w:val="0"/>
                <w:sz w:val="21"/>
                <w:szCs w:val="24"/>
                <w:shd w:val="clear" w:fill="FFFFFF"/>
              </w:rPr>
              <w:t>）及《危险化学品重大危险源辨识》（</w:t>
            </w:r>
            <w:r>
              <w:rPr>
                <w:rFonts w:hint="eastAsia" w:ascii="Times New Roman" w:hAnsi="Times New Roman" w:cs="Segoe UI"/>
                <w:i w:val="0"/>
                <w:iCs w:val="0"/>
                <w:caps w:val="0"/>
                <w:color w:val="auto"/>
                <w:spacing w:val="0"/>
                <w:sz w:val="21"/>
                <w:szCs w:val="24"/>
                <w:shd w:val="clear" w:fill="FFFFFF"/>
                <w:lang w:eastAsia="zh-CN"/>
              </w:rPr>
              <w:t>GB18218-2018）</w:t>
            </w:r>
            <w:r>
              <w:rPr>
                <w:rFonts w:hint="default" w:ascii="Times New Roman" w:hAnsi="Times New Roman" w:eastAsia="宋体" w:cs="Segoe UI"/>
                <w:i w:val="0"/>
                <w:iCs w:val="0"/>
                <w:caps w:val="0"/>
                <w:color w:val="auto"/>
                <w:spacing w:val="0"/>
                <w:sz w:val="21"/>
                <w:szCs w:val="24"/>
                <w:shd w:val="clear" w:fill="FFFFFF"/>
              </w:rPr>
              <w:t>，结合本项目原辅材料及污染物特性，本项目主要存在的环境风险源包括：</w:t>
            </w:r>
          </w:p>
          <w:p w14:paraId="36AA108B">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b/>
                <w:bCs/>
                <w:i w:val="0"/>
                <w:iCs w:val="0"/>
                <w:caps w:val="0"/>
                <w:color w:val="auto"/>
                <w:spacing w:val="0"/>
                <w:sz w:val="21"/>
                <w:szCs w:val="24"/>
                <w:shd w:val="clear" w:fill="FFFFFF"/>
              </w:rPr>
              <w:t>（1）液态化学品储存区</w:t>
            </w:r>
          </w:p>
          <w:p w14:paraId="799A99BE">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本项目使用的液态化学品储存在化学品仓内。若储存容器破损或操作不当导致泄漏，可能通过地表径流或垂直入渗进入土壤和地下水环境，造成污染。</w:t>
            </w:r>
          </w:p>
          <w:p w14:paraId="447AE461">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b/>
                <w:bCs/>
                <w:i w:val="0"/>
                <w:iCs w:val="0"/>
                <w:caps w:val="0"/>
                <w:color w:val="auto"/>
                <w:spacing w:val="0"/>
                <w:sz w:val="21"/>
                <w:szCs w:val="24"/>
                <w:shd w:val="clear" w:fill="FFFFFF"/>
              </w:rPr>
              <w:t>（2）危险废物暂存间</w:t>
            </w:r>
          </w:p>
          <w:p w14:paraId="4C4CE149">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本项目产生的危险废物（废机油等）暂存于危险废物暂存间。若储存不当或包装容器破损，可能导致危险废物泄漏，污染土壤和地下水环境。</w:t>
            </w:r>
          </w:p>
          <w:p w14:paraId="32BAE802">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b/>
                <w:bCs/>
                <w:i w:val="0"/>
                <w:iCs w:val="0"/>
                <w:caps w:val="0"/>
                <w:color w:val="auto"/>
                <w:spacing w:val="0"/>
                <w:sz w:val="21"/>
                <w:szCs w:val="24"/>
                <w:shd w:val="clear" w:fill="FFFFFF"/>
              </w:rPr>
              <w:t>（3）废气处理设施</w:t>
            </w:r>
          </w:p>
          <w:p w14:paraId="37EDCEBA">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本项目有机废气处理设施（二级活性炭吸附装置）和粉尘处理设施（滤筒除尘器）若发生故障或操作失误，可能导致废气未经有效处理直接排放，造成大气环境污染。</w:t>
            </w:r>
          </w:p>
          <w:p w14:paraId="07A8CDFB">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b/>
                <w:bCs/>
                <w:i w:val="0"/>
                <w:iCs w:val="0"/>
                <w:caps w:val="0"/>
                <w:color w:val="auto"/>
                <w:spacing w:val="0"/>
                <w:sz w:val="21"/>
                <w:szCs w:val="24"/>
                <w:shd w:val="clear" w:fill="FFFFFF"/>
              </w:rPr>
              <w:t>（4）火灾事故</w:t>
            </w:r>
          </w:p>
          <w:p w14:paraId="32CD4516">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本项目使用的机油等油类物质以及EVA胶粒、橡胶等可燃物料遇明火可能引发火灾事故，火灾会产生大量CO、烟尘等二次污染物，对大气环境造成影响。同时，消防废水中将含有泄漏的化学品物质，若未经收集直接外排，可能对周边水体和土壤造成污染。</w:t>
            </w:r>
          </w:p>
          <w:p w14:paraId="58714EC4">
            <w:pPr>
              <w:pStyle w:val="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rPr>
            </w:pPr>
            <w:bookmarkStart w:id="79" w:name="_Toc12081"/>
            <w:r>
              <w:rPr>
                <w:rFonts w:hint="default" w:ascii="Times New Roman" w:hAnsi="Times New Roman" w:eastAsia="宋体" w:cs="Segoe UI"/>
                <w:i w:val="0"/>
                <w:iCs w:val="0"/>
                <w:caps w:val="0"/>
                <w:color w:val="auto"/>
                <w:spacing w:val="0"/>
                <w:sz w:val="21"/>
                <w:shd w:val="clear" w:fill="FFFFFF"/>
              </w:rPr>
              <w:t>3、影响途径分析</w:t>
            </w:r>
            <w:bookmarkEnd w:id="79"/>
          </w:p>
          <w:p w14:paraId="4D6A3E41">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b/>
                <w:bCs/>
                <w:i w:val="0"/>
                <w:iCs w:val="0"/>
                <w:caps w:val="0"/>
                <w:color w:val="auto"/>
                <w:spacing w:val="0"/>
                <w:sz w:val="21"/>
                <w:szCs w:val="24"/>
                <w:shd w:val="clear" w:fill="FFFFFF"/>
              </w:rPr>
              <w:t>（1）泄漏事故影响途径</w:t>
            </w:r>
          </w:p>
          <w:p w14:paraId="1CE7F66B">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液态化学品或危险废物发生泄漏时，若防渗措施不到位，污染物可能通过垂直入渗进入土壤和地下水环境；若围堰或缓坡失效，泄漏物可能通过地面漫流扩散至厂区外，污染周边地表水体。</w:t>
            </w:r>
          </w:p>
          <w:p w14:paraId="74C03399">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b/>
                <w:bCs/>
                <w:i w:val="0"/>
                <w:iCs w:val="0"/>
                <w:caps w:val="0"/>
                <w:color w:val="auto"/>
                <w:spacing w:val="0"/>
                <w:sz w:val="21"/>
                <w:szCs w:val="24"/>
                <w:shd w:val="clear" w:fill="FFFFFF"/>
              </w:rPr>
              <w:t>（2）废气事故排放影响途径</w:t>
            </w:r>
          </w:p>
          <w:p w14:paraId="215E4CFA">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废气处理设施发生故障时，有机废气（非甲烷总烃、总VOCs等）和粉尘（颗粒物）未经处理直接排放，将对周边大气环境造成污染，影响厂内员工及周边环境空气质量。</w:t>
            </w:r>
          </w:p>
          <w:p w14:paraId="765641AA">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b/>
                <w:bCs/>
                <w:i w:val="0"/>
                <w:iCs w:val="0"/>
                <w:caps w:val="0"/>
                <w:color w:val="auto"/>
                <w:spacing w:val="0"/>
                <w:sz w:val="21"/>
                <w:szCs w:val="24"/>
                <w:shd w:val="clear" w:fill="FFFFFF"/>
              </w:rPr>
              <w:t>（3）火灾事故影响途径</w:t>
            </w:r>
          </w:p>
          <w:p w14:paraId="4D790540">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火灾事故产生的二次污染物（CO、烟尘等）通过大气扩散影响周边环境；消防废水若未有效收集截留，可能通过雨水管网进入周边地表水体，造成水环境污染。</w:t>
            </w:r>
          </w:p>
          <w:p w14:paraId="52C3FFC2">
            <w:pPr>
              <w:pStyle w:val="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rPr>
            </w:pPr>
            <w:bookmarkStart w:id="80" w:name="_Toc3179"/>
            <w:r>
              <w:rPr>
                <w:rFonts w:hint="default" w:ascii="Times New Roman" w:hAnsi="Times New Roman" w:eastAsia="宋体" w:cs="Segoe UI"/>
                <w:i w:val="0"/>
                <w:iCs w:val="0"/>
                <w:caps w:val="0"/>
                <w:color w:val="auto"/>
                <w:spacing w:val="0"/>
                <w:sz w:val="21"/>
                <w:shd w:val="clear" w:fill="FFFFFF"/>
              </w:rPr>
              <w:t>4、风险防范措施</w:t>
            </w:r>
            <w:bookmarkEnd w:id="80"/>
          </w:p>
          <w:p w14:paraId="1A9B9075">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b/>
                <w:bCs/>
                <w:i w:val="0"/>
                <w:iCs w:val="0"/>
                <w:caps w:val="0"/>
                <w:color w:val="auto"/>
                <w:spacing w:val="0"/>
                <w:sz w:val="21"/>
                <w:szCs w:val="24"/>
                <w:shd w:val="clear" w:fill="FFFFFF"/>
              </w:rPr>
              <w:t>（1）液态化学品泄漏风险防范措施</w:t>
            </w:r>
          </w:p>
          <w:p w14:paraId="3FD3817F">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①化学品仓独立设置，地面进行硬底化及防渗处理，出入口设置围堰或缓坡，防止泄漏物外流；</w:t>
            </w:r>
          </w:p>
          <w:p w14:paraId="0D07E6DC">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②液态化学品底部设置防泄漏托盘，分类存放，禁止混存；</w:t>
            </w:r>
          </w:p>
          <w:p w14:paraId="0CDFE346">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③配备吸附棉、砂土、干燥石灰等泄漏应急处置物资；</w:t>
            </w:r>
          </w:p>
          <w:p w14:paraId="73987D7C">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④制定严格的化学品管理制度，加强日常巡检，及时发现并处理跑、冒、滴、漏现象；</w:t>
            </w:r>
          </w:p>
          <w:p w14:paraId="4F8749AA">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⑤化学品存放区远离火源、热源，配备灭火器材。</w:t>
            </w:r>
          </w:p>
          <w:p w14:paraId="1B5E3E69">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b/>
                <w:bCs/>
                <w:i w:val="0"/>
                <w:iCs w:val="0"/>
                <w:caps w:val="0"/>
                <w:color w:val="auto"/>
                <w:spacing w:val="0"/>
                <w:sz w:val="21"/>
                <w:szCs w:val="24"/>
                <w:shd w:val="clear" w:fill="FFFFFF"/>
              </w:rPr>
              <w:t>（2）危险废物泄漏风险防范措施</w:t>
            </w:r>
          </w:p>
          <w:p w14:paraId="23515ABA">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①危险废物暂存间按《危险废物贮存污染控制标准》（</w:t>
            </w:r>
            <w:r>
              <w:rPr>
                <w:rFonts w:hint="eastAsia" w:ascii="Times New Roman" w:hAnsi="Times New Roman" w:cs="Segoe UI"/>
                <w:i w:val="0"/>
                <w:iCs w:val="0"/>
                <w:caps w:val="0"/>
                <w:color w:val="auto"/>
                <w:spacing w:val="0"/>
                <w:sz w:val="21"/>
                <w:szCs w:val="24"/>
                <w:shd w:val="clear" w:fill="FFFFFF"/>
                <w:lang w:eastAsia="zh-CN"/>
              </w:rPr>
              <w:t>GB18597-2023</w:t>
            </w:r>
            <w:r>
              <w:rPr>
                <w:rFonts w:hint="default" w:ascii="Times New Roman" w:hAnsi="Times New Roman" w:eastAsia="宋体" w:cs="Segoe UI"/>
                <w:i w:val="0"/>
                <w:iCs w:val="0"/>
                <w:caps w:val="0"/>
                <w:color w:val="auto"/>
                <w:spacing w:val="0"/>
                <w:sz w:val="21"/>
                <w:szCs w:val="24"/>
                <w:shd w:val="clear" w:fill="FFFFFF"/>
              </w:rPr>
              <w:t>）的要求进行建设，做好防风、防雨、防晒、防渗漏措施；</w:t>
            </w:r>
          </w:p>
          <w:p w14:paraId="7C264194">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②危险废物分类分区暂存，不同危险废物设置明确的隔离带和标识牌；</w:t>
            </w:r>
          </w:p>
          <w:p w14:paraId="648D8340">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③危险废物暂存间出入口设置门槛（围堰），可阻止危险废物溢出；</w:t>
            </w:r>
          </w:p>
          <w:p w14:paraId="13D8AE60">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④危险废物由专人负责收集、贮存及运输，建立台账管理制度，定期交由具有危险废物经营许可证的单位处理，并按要求填写危险废物转移联单；</w:t>
            </w:r>
          </w:p>
          <w:p w14:paraId="04B376DF">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⑤一旦出现泄漏事故，应急措施主要是断源（减少泄出量）、隔离（将事故区域与其他区域隔离，防止扩大、蔓延及连锁反应，降低危害）、回收（及时将泄漏、散落废物收集）、清污（消除现场泄漏物，处理已泄出化学品造成的后果），组织人员撤离及救护。</w:t>
            </w:r>
          </w:p>
          <w:p w14:paraId="0D4409CD">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b/>
                <w:bCs/>
                <w:i w:val="0"/>
                <w:iCs w:val="0"/>
                <w:caps w:val="0"/>
                <w:color w:val="auto"/>
                <w:spacing w:val="0"/>
                <w:sz w:val="21"/>
                <w:szCs w:val="24"/>
                <w:shd w:val="clear" w:fill="FFFFFF"/>
              </w:rPr>
              <w:t>（3）废气事故排放风险防范措施</w:t>
            </w:r>
          </w:p>
          <w:p w14:paraId="76C408EF">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①建设单位必须严加管理，杜绝事故排放的发生。应认真做好废气治理设备的保养，定期维护、检修工作，使处理设施达到预期效果；</w:t>
            </w:r>
          </w:p>
          <w:p w14:paraId="2ADCEC89">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②废气抽排风的风机采用一用一备的方法，严禁出现风机失效的事故工况；</w:t>
            </w:r>
          </w:p>
          <w:p w14:paraId="4F20160B">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③现场作业人员定时记录废气收集及处理系统运行状况，并派专人巡视；</w:t>
            </w:r>
          </w:p>
          <w:p w14:paraId="5BEE1B96">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④废气处理系统出现故障，立即停止生产，切断废气来源，维修正常后再恢复生产，杜绝事故性废气直排；</w:t>
            </w:r>
          </w:p>
          <w:p w14:paraId="71DFD86A">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⑤定期对废气处理系统进行检修和保养，确保设备处于良好状态，使设备达到预期的处理效果。</w:t>
            </w:r>
          </w:p>
          <w:p w14:paraId="5B7E2A37">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b/>
                <w:bCs/>
                <w:i w:val="0"/>
                <w:iCs w:val="0"/>
                <w:caps w:val="0"/>
                <w:color w:val="auto"/>
                <w:spacing w:val="0"/>
                <w:sz w:val="21"/>
                <w:szCs w:val="24"/>
                <w:shd w:val="clear" w:fill="FFFFFF"/>
              </w:rPr>
              <w:t>（4）火灾事故风险防范措施</w:t>
            </w:r>
          </w:p>
          <w:p w14:paraId="129E6E7D">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①严格按照《建筑设计防火规范》（GB50016</w:t>
            </w:r>
            <w:r>
              <w:rPr>
                <w:rFonts w:hint="eastAsia" w:ascii="Times New Roman" w:hAnsi="Times New Roman" w:cs="Segoe UI"/>
                <w:i w:val="0"/>
                <w:iCs w:val="0"/>
                <w:caps w:val="0"/>
                <w:color w:val="auto"/>
                <w:spacing w:val="0"/>
                <w:sz w:val="21"/>
                <w:szCs w:val="24"/>
                <w:shd w:val="clear" w:fill="FFFFFF"/>
                <w:lang w:val="en-US" w:eastAsia="zh-CN"/>
              </w:rPr>
              <w:t>-</w:t>
            </w:r>
            <w:r>
              <w:rPr>
                <w:rFonts w:hint="default" w:ascii="Times New Roman" w:hAnsi="Times New Roman" w:eastAsia="宋体" w:cs="Segoe UI"/>
                <w:i w:val="0"/>
                <w:iCs w:val="0"/>
                <w:caps w:val="0"/>
                <w:color w:val="auto"/>
                <w:spacing w:val="0"/>
                <w:sz w:val="21"/>
                <w:szCs w:val="24"/>
                <w:shd w:val="clear" w:fill="FFFFFF"/>
              </w:rPr>
              <w:t>2014</w:t>
            </w:r>
            <w:r>
              <w:rPr>
                <w:rFonts w:hint="eastAsia" w:ascii="Times New Roman" w:hAnsi="Times New Roman" w:cs="Segoe UI"/>
                <w:i w:val="0"/>
                <w:iCs w:val="0"/>
                <w:caps w:val="0"/>
                <w:color w:val="auto"/>
                <w:spacing w:val="0"/>
                <w:sz w:val="21"/>
                <w:szCs w:val="24"/>
                <w:shd w:val="clear" w:fill="FFFFFF"/>
                <w:lang w:eastAsia="zh-CN"/>
              </w:rPr>
              <w:t>）</w:t>
            </w:r>
            <w:r>
              <w:rPr>
                <w:rFonts w:hint="default" w:ascii="Times New Roman" w:hAnsi="Times New Roman" w:eastAsia="宋体" w:cs="Segoe UI"/>
                <w:i w:val="0"/>
                <w:iCs w:val="0"/>
                <w:caps w:val="0"/>
                <w:color w:val="auto"/>
                <w:spacing w:val="0"/>
                <w:sz w:val="21"/>
                <w:szCs w:val="24"/>
                <w:shd w:val="clear" w:fill="FFFFFF"/>
              </w:rPr>
              <w:t>[2018年版]）相关要求对厂区平面布局进行合理布置，严格按防火、防爆设计规范的要求配置电气设备及照明设施；</w:t>
            </w:r>
          </w:p>
          <w:p w14:paraId="75595280">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②加强火源管理，杜绝各种火种，严禁闲杂人员入内；按规范配置足够数量的灭火器材、消防栓、消防沙等应急物资；</w:t>
            </w:r>
          </w:p>
          <w:p w14:paraId="412D86DC">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③厂区雨水总排放口设置应急截断阀门，发生火灾事故时及时关闭，防止消防废水经雨水管网外排；</w:t>
            </w:r>
          </w:p>
          <w:p w14:paraId="695775F3">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④项目厂区门口设置缓坡，生产车间出入口设置挡水板或沙袋，发生火灾事故时可将消防废水截留于厂区内；</w:t>
            </w:r>
          </w:p>
          <w:p w14:paraId="03227E65">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⑤配备一定容量的事故应急桶，当发生事故时，用于暂时储存产生的泄漏物或事故废水。事故处置完成后，将消防废水委托有专业资质的污水处理公司用槽车运出厂区处置；</w:t>
            </w:r>
          </w:p>
          <w:p w14:paraId="04D62518">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⑥制定火灾事故应急预案，定期组织员工进行消防演练。</w:t>
            </w:r>
          </w:p>
          <w:p w14:paraId="3CAEA3C3">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b/>
                <w:bCs/>
                <w:i w:val="0"/>
                <w:iCs w:val="0"/>
                <w:caps w:val="0"/>
                <w:color w:val="auto"/>
                <w:spacing w:val="0"/>
                <w:sz w:val="21"/>
                <w:szCs w:val="24"/>
                <w:shd w:val="clear" w:fill="FFFFFF"/>
              </w:rPr>
              <w:t>（5）地下水及土壤污染风险防范措施</w:t>
            </w:r>
          </w:p>
          <w:p w14:paraId="2122C9F4">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①按照“分区防渗”原则，对危险废物暂存间、化学品仓、废水暂存区等区域进行重点防渗处理；</w:t>
            </w:r>
          </w:p>
          <w:p w14:paraId="7838EA67">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②定期检查防渗设施的完好性，发现破损及时修复；</w:t>
            </w:r>
          </w:p>
          <w:p w14:paraId="6AF7A986">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③建立环境风险隐患排查制度，加强日常管理。</w:t>
            </w:r>
          </w:p>
          <w:p w14:paraId="53EF9DC2">
            <w:pPr>
              <w:pStyle w:val="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rPr>
            </w:pPr>
            <w:bookmarkStart w:id="81" w:name="_Toc28448"/>
            <w:r>
              <w:rPr>
                <w:rFonts w:hint="default" w:ascii="Times New Roman" w:hAnsi="Times New Roman" w:eastAsia="宋体" w:cs="Segoe UI"/>
                <w:i w:val="0"/>
                <w:iCs w:val="0"/>
                <w:caps w:val="0"/>
                <w:color w:val="auto"/>
                <w:spacing w:val="0"/>
                <w:sz w:val="21"/>
                <w:shd w:val="clear" w:fill="FFFFFF"/>
              </w:rPr>
              <w:t>5、事故应急措施</w:t>
            </w:r>
            <w:bookmarkEnd w:id="81"/>
          </w:p>
          <w:p w14:paraId="3C002CF5">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（1）建立定时巡查制度，对有泄漏现象和迹象的部位及时采取处理措施；</w:t>
            </w:r>
          </w:p>
          <w:p w14:paraId="47DFD7B0">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（2）制定火灾、泄漏事故应急救援预案，明确应急组织机构和职责分工；</w:t>
            </w:r>
          </w:p>
          <w:p w14:paraId="68848F8C">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（3）配备足够的应急物资（灭火器材、吸附棉、沙袋、应急桶、防护服等）；</w:t>
            </w:r>
          </w:p>
          <w:p w14:paraId="67C5AE24">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（4）作业人员要熟练掌握操作技术和防火安全管理规定；</w:t>
            </w:r>
          </w:p>
          <w:p w14:paraId="6BD74F3C">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i w:val="0"/>
                <w:iCs w:val="0"/>
                <w:caps w:val="0"/>
                <w:color w:val="auto"/>
                <w:spacing w:val="0"/>
                <w:sz w:val="21"/>
                <w:szCs w:val="24"/>
              </w:rPr>
            </w:pPr>
            <w:r>
              <w:rPr>
                <w:rFonts w:hint="default" w:ascii="Times New Roman" w:hAnsi="Times New Roman" w:eastAsia="宋体" w:cs="Segoe UI"/>
                <w:i w:val="0"/>
                <w:iCs w:val="0"/>
                <w:caps w:val="0"/>
                <w:color w:val="auto"/>
                <w:spacing w:val="0"/>
                <w:sz w:val="21"/>
                <w:szCs w:val="24"/>
                <w:shd w:val="clear" w:fill="FFFFFF"/>
              </w:rPr>
              <w:t>（5）加强员工安全教育和应急培训，定期组织应急演练，提高应急处置能力。</w:t>
            </w:r>
          </w:p>
          <w:p w14:paraId="2EB3AF6A">
            <w:pPr>
              <w:pStyle w:val="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2" w:firstLineChars="200"/>
              <w:textAlignment w:val="auto"/>
              <w:rPr>
                <w:rFonts w:hint="default" w:ascii="Times New Roman" w:hAnsi="Times New Roman" w:eastAsia="宋体" w:cs="Segoe UI"/>
                <w:i w:val="0"/>
                <w:iCs w:val="0"/>
                <w:caps w:val="0"/>
                <w:color w:val="auto"/>
                <w:spacing w:val="0"/>
                <w:sz w:val="21"/>
              </w:rPr>
            </w:pPr>
            <w:bookmarkStart w:id="82" w:name="_Toc29897"/>
            <w:r>
              <w:rPr>
                <w:rFonts w:hint="default" w:ascii="Times New Roman" w:hAnsi="Times New Roman" w:eastAsia="宋体" w:cs="Segoe UI"/>
                <w:i w:val="0"/>
                <w:iCs w:val="0"/>
                <w:caps w:val="0"/>
                <w:color w:val="auto"/>
                <w:spacing w:val="0"/>
                <w:sz w:val="21"/>
                <w:shd w:val="clear" w:fill="FFFFFF"/>
              </w:rPr>
              <w:t>6、分析结论</w:t>
            </w:r>
            <w:bookmarkEnd w:id="82"/>
          </w:p>
          <w:p w14:paraId="798F6217">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s="Segoe UI"/>
                <w:b w:val="0"/>
                <w:bCs w:val="0"/>
                <w:i w:val="0"/>
                <w:iCs w:val="0"/>
                <w:caps w:val="0"/>
                <w:color w:val="auto"/>
                <w:spacing w:val="0"/>
                <w:sz w:val="21"/>
                <w:szCs w:val="24"/>
              </w:rPr>
            </w:pPr>
            <w:r>
              <w:rPr>
                <w:rFonts w:hint="default" w:ascii="Times New Roman" w:hAnsi="Times New Roman" w:eastAsia="宋体" w:cs="Segoe UI"/>
                <w:b w:val="0"/>
                <w:bCs w:val="0"/>
                <w:i w:val="0"/>
                <w:iCs w:val="0"/>
                <w:caps w:val="0"/>
                <w:color w:val="auto"/>
                <w:spacing w:val="0"/>
                <w:sz w:val="21"/>
                <w:szCs w:val="24"/>
                <w:shd w:val="clear" w:fill="FFFFFF"/>
              </w:rPr>
              <w:t>综上所述，根据《建设项目环境风险评价技术导则》（HJ169</w:t>
            </w:r>
            <w:r>
              <w:rPr>
                <w:rFonts w:hint="eastAsia" w:ascii="Times New Roman" w:hAnsi="Times New Roman" w:cs="Segoe UI"/>
                <w:b w:val="0"/>
                <w:bCs w:val="0"/>
                <w:i w:val="0"/>
                <w:iCs w:val="0"/>
                <w:caps w:val="0"/>
                <w:color w:val="auto"/>
                <w:spacing w:val="0"/>
                <w:sz w:val="21"/>
                <w:szCs w:val="24"/>
                <w:shd w:val="clear" w:fill="FFFFFF"/>
                <w:lang w:val="en-US" w:eastAsia="zh-CN"/>
              </w:rPr>
              <w:t>-</w:t>
            </w:r>
            <w:r>
              <w:rPr>
                <w:rFonts w:hint="default" w:ascii="Times New Roman" w:hAnsi="Times New Roman" w:eastAsia="宋体" w:cs="Segoe UI"/>
                <w:b w:val="0"/>
                <w:bCs w:val="0"/>
                <w:i w:val="0"/>
                <w:iCs w:val="0"/>
                <w:caps w:val="0"/>
                <w:color w:val="auto"/>
                <w:spacing w:val="0"/>
                <w:sz w:val="21"/>
                <w:szCs w:val="24"/>
                <w:shd w:val="clear" w:fill="FFFFFF"/>
              </w:rPr>
              <w:t>2018）附录B.1和《危险化学品重大危险源辨识》（</w:t>
            </w:r>
            <w:r>
              <w:rPr>
                <w:rFonts w:hint="eastAsia" w:ascii="Times New Roman" w:hAnsi="Times New Roman" w:cs="Segoe UI"/>
                <w:b w:val="0"/>
                <w:bCs w:val="0"/>
                <w:i w:val="0"/>
                <w:iCs w:val="0"/>
                <w:caps w:val="0"/>
                <w:color w:val="auto"/>
                <w:spacing w:val="0"/>
                <w:sz w:val="21"/>
                <w:szCs w:val="24"/>
                <w:shd w:val="clear" w:fill="FFFFFF"/>
                <w:lang w:eastAsia="zh-CN"/>
              </w:rPr>
              <w:t>GB18218-2018）</w:t>
            </w:r>
            <w:r>
              <w:rPr>
                <w:rFonts w:hint="default" w:ascii="Times New Roman" w:hAnsi="Times New Roman" w:eastAsia="宋体" w:cs="Segoe UI"/>
                <w:b w:val="0"/>
                <w:bCs w:val="0"/>
                <w:i w:val="0"/>
                <w:iCs w:val="0"/>
                <w:caps w:val="0"/>
                <w:color w:val="auto"/>
                <w:spacing w:val="0"/>
                <w:sz w:val="21"/>
                <w:szCs w:val="24"/>
                <w:shd w:val="clear" w:fill="FFFFFF"/>
              </w:rPr>
              <w:t>中所规定的环境风险物质和危险化学品，结合本项目原辅材料清单，本项目涉及的环境风险物质主要为机油</w:t>
            </w:r>
            <w:r>
              <w:rPr>
                <w:rFonts w:hint="eastAsia" w:ascii="Times New Roman" w:hAnsi="Times New Roman" w:cs="Segoe UI"/>
                <w:b w:val="0"/>
                <w:bCs w:val="0"/>
                <w:i w:val="0"/>
                <w:iCs w:val="0"/>
                <w:caps w:val="0"/>
                <w:color w:val="auto"/>
                <w:spacing w:val="0"/>
                <w:sz w:val="21"/>
                <w:szCs w:val="24"/>
                <w:shd w:val="clear" w:fill="FFFFFF"/>
                <w:lang w:val="en-US" w:eastAsia="zh-CN"/>
              </w:rPr>
              <w:t>和废机油</w:t>
            </w:r>
            <w:r>
              <w:rPr>
                <w:rFonts w:hint="default" w:ascii="Times New Roman" w:hAnsi="Times New Roman" w:eastAsia="宋体" w:cs="Segoe UI"/>
                <w:b w:val="0"/>
                <w:bCs w:val="0"/>
                <w:i w:val="0"/>
                <w:iCs w:val="0"/>
                <w:caps w:val="0"/>
                <w:color w:val="auto"/>
                <w:spacing w:val="0"/>
                <w:sz w:val="21"/>
                <w:szCs w:val="24"/>
                <w:shd w:val="clear" w:fill="FFFFFF"/>
              </w:rPr>
              <w:t>。经核算，本项目Q值合计约</w:t>
            </w:r>
            <w:r>
              <w:rPr>
                <w:rFonts w:hint="eastAsia" w:ascii="Times New Roman" w:hAnsi="Times New Roman" w:cs="Segoe UI"/>
                <w:b w:val="0"/>
                <w:bCs w:val="0"/>
                <w:i w:val="0"/>
                <w:iCs w:val="0"/>
                <w:caps w:val="0"/>
                <w:color w:val="auto"/>
                <w:spacing w:val="0"/>
                <w:sz w:val="21"/>
                <w:szCs w:val="24"/>
                <w:shd w:val="clear" w:fill="FFFFFF"/>
                <w:lang w:val="en-US" w:eastAsia="zh-CN"/>
              </w:rPr>
              <w:t>0.000045</w:t>
            </w:r>
            <w:r>
              <w:rPr>
                <w:rFonts w:hint="default" w:ascii="Times New Roman" w:hAnsi="Times New Roman" w:eastAsia="宋体" w:cs="Segoe UI"/>
                <w:b w:val="0"/>
                <w:bCs w:val="0"/>
                <w:i w:val="0"/>
                <w:iCs w:val="0"/>
                <w:caps w:val="0"/>
                <w:color w:val="auto"/>
                <w:spacing w:val="0"/>
                <w:sz w:val="21"/>
                <w:szCs w:val="24"/>
                <w:shd w:val="clear" w:fill="FFFFFF"/>
              </w:rPr>
              <w:t>（Q＜1），环境风险潜势为Ⅰ，环境风险评价等级为简单分析。</w:t>
            </w:r>
          </w:p>
          <w:p w14:paraId="19673262">
            <w:pPr>
              <w:pStyle w:val="44"/>
              <w:keepNext w:val="0"/>
              <w:keepLines w:val="0"/>
              <w:pageBreakBefore w:val="0"/>
              <w:widowControl/>
              <w:suppressLineNumbers w:val="0"/>
              <w:shd w:val="clear" w:fill="FFFFFF"/>
              <w:kinsoku/>
              <w:wordWrap/>
              <w:overflowPunct/>
              <w:topLinePunct w:val="0"/>
              <w:autoSpaceDE/>
              <w:autoSpaceDN/>
              <w:bidi w:val="0"/>
              <w:snapToGrid/>
              <w:spacing w:before="0" w:beforeAutospacing="0" w:after="0" w:afterAutospacing="0" w:line="360" w:lineRule="auto"/>
              <w:ind w:left="0" w:right="0" w:firstLine="420" w:firstLineChars="200"/>
              <w:textAlignment w:val="auto"/>
              <w:rPr>
                <w:rFonts w:hint="default" w:ascii="Times New Roman" w:hAnsi="Times New Roman" w:eastAsia="宋体"/>
                <w:color w:val="auto"/>
                <w:sz w:val="21"/>
                <w:highlight w:val="none"/>
              </w:rPr>
            </w:pPr>
            <w:r>
              <w:rPr>
                <w:rFonts w:hint="default" w:ascii="Times New Roman" w:hAnsi="Times New Roman" w:eastAsia="宋体" w:cs="Segoe UI"/>
                <w:i w:val="0"/>
                <w:iCs w:val="0"/>
                <w:caps w:val="0"/>
                <w:color w:val="auto"/>
                <w:spacing w:val="0"/>
                <w:sz w:val="21"/>
                <w:szCs w:val="24"/>
                <w:shd w:val="clear" w:fill="FFFFFF"/>
              </w:rPr>
              <w:t>本项目主要风险事故为液态化学品/危险废物泄漏、废气事故排放、火灾引发伴生/次生污染物。建设单位在做好上述各项防范措施后，能有效降低项目建设风险事故对环境的影响。一旦发生风险事故，只要严格执行应急预案并采取相应的风险防范措施，项目风险事故基本可在厂内解决，环境风险影响在可控范围内。因此，在按照本评价要求的风险防范措施建设的前提下，项</w:t>
            </w:r>
            <w:r>
              <w:rPr>
                <w:rFonts w:hint="default" w:ascii="Times New Roman" w:hAnsi="Times New Roman" w:eastAsia="宋体" w:cs="Segoe UI"/>
                <w:b w:val="0"/>
                <w:bCs w:val="0"/>
                <w:i w:val="0"/>
                <w:iCs w:val="0"/>
                <w:caps w:val="0"/>
                <w:color w:val="auto"/>
                <w:spacing w:val="0"/>
                <w:sz w:val="21"/>
                <w:szCs w:val="24"/>
                <w:shd w:val="clear" w:fill="FFFFFF"/>
              </w:rPr>
              <w:t>目运营过程的环境风险是可控的。</w:t>
            </w:r>
          </w:p>
        </w:tc>
      </w:tr>
    </w:tbl>
    <w:p w14:paraId="76401771">
      <w:pPr>
        <w:pStyle w:val="72"/>
        <w:framePr w:wrap="around"/>
        <w:ind w:firstLine="480"/>
        <w:rPr>
          <w:color w:val="auto"/>
          <w:highlight w:val="none"/>
        </w:rPr>
      </w:pPr>
    </w:p>
    <w:p w14:paraId="13D03BF2">
      <w:pPr>
        <w:widowControl/>
        <w:jc w:val="left"/>
        <w:rPr>
          <w:b/>
          <w:bCs/>
          <w:color w:val="auto"/>
          <w:kern w:val="44"/>
          <w:sz w:val="28"/>
          <w:szCs w:val="44"/>
          <w:highlight w:val="none"/>
        </w:rPr>
      </w:pPr>
      <w:bookmarkStart w:id="83" w:name="_Hlk54167917"/>
      <w:r>
        <w:rPr>
          <w:color w:val="auto"/>
          <w:highlight w:val="none"/>
        </w:rPr>
        <w:br w:type="page"/>
      </w:r>
    </w:p>
    <w:p w14:paraId="369869FD">
      <w:pPr>
        <w:pStyle w:val="2"/>
        <w:keepLines w:val="0"/>
        <w:numPr>
          <w:ilvl w:val="0"/>
          <w:numId w:val="34"/>
        </w:numPr>
        <w:ind w:firstLine="562"/>
        <w:rPr>
          <w:color w:val="auto"/>
          <w:highlight w:val="none"/>
        </w:rPr>
      </w:pPr>
      <w:bookmarkStart w:id="84" w:name="_Toc17314"/>
      <w:bookmarkStart w:id="85" w:name="_Toc1318"/>
      <w:r>
        <w:rPr>
          <w:color w:val="auto"/>
          <w:highlight w:val="none"/>
        </w:rPr>
        <w:t>环境保护措施监督检查清单</w:t>
      </w:r>
      <w:bookmarkEnd w:id="83"/>
      <w:bookmarkEnd w:id="84"/>
      <w:bookmarkEnd w:id="85"/>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1336"/>
        <w:gridCol w:w="1748"/>
        <w:gridCol w:w="2971"/>
        <w:gridCol w:w="3930"/>
      </w:tblGrid>
      <w:tr w14:paraId="62DFC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98"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14:paraId="5756AF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left"/>
              <w:textAlignment w:val="auto"/>
              <mc:AlternateContent>
                <mc:Choice Requires="wpsCustomData">
                  <wpsCustomData:diagonalParaType/>
                </mc:Choice>
              </mc:AlternateContent>
              <w:rPr>
                <w:rFonts w:hint="default"/>
                <w:b/>
                <w:bCs/>
                <w:color w:val="auto"/>
                <w:vertAlign w:val="baseline"/>
              </w:rPr>
            </w:pPr>
            <w:r>
              <w:rPr>
                <w:rFonts w:hint="default" w:ascii="Times New Roman" w:hAnsi="Times New Roman" w:eastAsia="宋体" w:cs="var(--dsw-font-markdown-table-h"/>
                <w:b/>
                <w:bCs/>
                <w:color w:val="auto"/>
                <w:kern w:val="0"/>
                <w:sz w:val="21"/>
                <w:szCs w:val="24"/>
                <w:lang w:val="en-US" w:eastAsia="zh-CN" w:bidi="ar"/>
              </w:rPr>
              <w:t>要素</w:t>
            </w:r>
          </w:p>
          <w:p w14:paraId="7ACF2E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right"/>
              <w:textAlignment w:val="auto"/>
              <w:rPr>
                <w:rFonts w:hint="eastAsia" w:eastAsia="宋体"/>
                <w:b/>
                <w:bCs/>
                <w:color w:val="auto"/>
                <w:vertAlign w:val="baseline"/>
                <w:lang w:val="en-US" w:eastAsia="zh-CN"/>
              </w:rPr>
            </w:pPr>
            <w:r>
              <w:rPr>
                <w:rFonts w:hint="eastAsia"/>
                <w:b/>
                <w:bCs/>
                <w:color w:val="auto"/>
                <w:vertAlign w:val="baseline"/>
                <w:lang w:val="en-US" w:eastAsia="zh-CN"/>
              </w:rPr>
              <w:t>内容</w:t>
            </w:r>
          </w:p>
        </w:tc>
        <w:tc>
          <w:tcPr>
            <w:tcW w:w="1336" w:type="dxa"/>
            <w:vAlign w:val="center"/>
          </w:tcPr>
          <w:p w14:paraId="44B388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bCs/>
                <w:color w:val="auto"/>
                <w:vertAlign w:val="baseline"/>
              </w:rPr>
            </w:pPr>
            <w:r>
              <w:rPr>
                <w:rFonts w:hint="default" w:ascii="Times New Roman" w:hAnsi="Times New Roman" w:eastAsia="宋体" w:cs="var(--dsw-font-markdown-table-h"/>
                <w:b/>
                <w:bCs/>
                <w:color w:val="auto"/>
                <w:kern w:val="0"/>
                <w:sz w:val="21"/>
                <w:szCs w:val="24"/>
                <w:lang w:val="en-US" w:eastAsia="zh-CN" w:bidi="ar"/>
              </w:rPr>
              <w:t>排放口</w:t>
            </w:r>
            <w:r>
              <w:rPr>
                <w:rFonts w:hint="eastAsia" w:cs="var(--dsw-font-markdown-table-h"/>
                <w:b/>
                <w:bCs/>
                <w:color w:val="auto"/>
                <w:kern w:val="0"/>
                <w:sz w:val="21"/>
                <w:szCs w:val="24"/>
                <w:lang w:val="en-US" w:eastAsia="zh-CN" w:bidi="ar"/>
              </w:rPr>
              <w:t>（</w:t>
            </w:r>
            <w:r>
              <w:rPr>
                <w:rFonts w:hint="default" w:ascii="Times New Roman" w:hAnsi="Times New Roman" w:eastAsia="宋体" w:cs="var(--dsw-font-markdown-table-h"/>
                <w:b/>
                <w:bCs/>
                <w:color w:val="auto"/>
                <w:kern w:val="0"/>
                <w:sz w:val="21"/>
                <w:szCs w:val="24"/>
                <w:lang w:val="en-US" w:eastAsia="zh-CN" w:bidi="ar"/>
              </w:rPr>
              <w:t>编号、名称</w:t>
            </w:r>
            <w:r>
              <w:rPr>
                <w:rFonts w:hint="eastAsia" w:cs="var(--dsw-font-markdown-table-h"/>
                <w:b/>
                <w:bCs/>
                <w:color w:val="auto"/>
                <w:kern w:val="0"/>
                <w:sz w:val="21"/>
                <w:szCs w:val="24"/>
                <w:lang w:val="en-US" w:eastAsia="zh-CN" w:bidi="ar"/>
              </w:rPr>
              <w:t>）</w:t>
            </w:r>
            <w:r>
              <w:rPr>
                <w:rFonts w:hint="default" w:ascii="Times New Roman" w:hAnsi="Times New Roman" w:eastAsia="宋体" w:cs="var(--dsw-font-markdown-table-h"/>
                <w:b/>
                <w:bCs/>
                <w:color w:val="auto"/>
                <w:kern w:val="0"/>
                <w:sz w:val="21"/>
                <w:szCs w:val="24"/>
                <w:lang w:val="en-US" w:eastAsia="zh-CN" w:bidi="ar"/>
              </w:rPr>
              <w:t>/污染源</w:t>
            </w:r>
          </w:p>
        </w:tc>
        <w:tc>
          <w:tcPr>
            <w:tcW w:w="1748" w:type="dxa"/>
            <w:vAlign w:val="center"/>
          </w:tcPr>
          <w:p w14:paraId="37A507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bCs/>
                <w:color w:val="auto"/>
                <w:vertAlign w:val="baseline"/>
              </w:rPr>
            </w:pPr>
            <w:r>
              <w:rPr>
                <w:rFonts w:hint="default" w:ascii="Times New Roman" w:hAnsi="Times New Roman" w:eastAsia="宋体" w:cs="var(--dsw-font-markdown-table-h"/>
                <w:b/>
                <w:bCs/>
                <w:color w:val="auto"/>
                <w:kern w:val="0"/>
                <w:sz w:val="21"/>
                <w:szCs w:val="24"/>
                <w:lang w:val="en-US" w:eastAsia="zh-CN" w:bidi="ar"/>
              </w:rPr>
              <w:t>污染物项目</w:t>
            </w:r>
          </w:p>
        </w:tc>
        <w:tc>
          <w:tcPr>
            <w:tcW w:w="2971" w:type="dxa"/>
            <w:vAlign w:val="center"/>
          </w:tcPr>
          <w:p w14:paraId="7464F3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bCs/>
                <w:color w:val="auto"/>
                <w:vertAlign w:val="baseline"/>
              </w:rPr>
            </w:pPr>
            <w:r>
              <w:rPr>
                <w:rFonts w:hint="default" w:ascii="Times New Roman" w:hAnsi="Times New Roman" w:eastAsia="宋体" w:cs="var(--dsw-font-markdown-table-h"/>
                <w:b/>
                <w:bCs/>
                <w:color w:val="auto"/>
                <w:kern w:val="0"/>
                <w:sz w:val="21"/>
                <w:szCs w:val="24"/>
                <w:lang w:val="en-US" w:eastAsia="zh-CN" w:bidi="ar"/>
              </w:rPr>
              <w:t>环境保护措施</w:t>
            </w:r>
          </w:p>
        </w:tc>
        <w:tc>
          <w:tcPr>
            <w:tcW w:w="3930" w:type="dxa"/>
            <w:vAlign w:val="center"/>
          </w:tcPr>
          <w:p w14:paraId="42C54F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bCs/>
                <w:color w:val="auto"/>
                <w:vertAlign w:val="baseline"/>
              </w:rPr>
            </w:pPr>
            <w:r>
              <w:rPr>
                <w:rFonts w:hint="default" w:ascii="Times New Roman" w:hAnsi="Times New Roman" w:eastAsia="宋体" w:cs="var(--dsw-font-markdown-table-h"/>
                <w:b/>
                <w:bCs/>
                <w:color w:val="auto"/>
                <w:kern w:val="0"/>
                <w:sz w:val="21"/>
                <w:szCs w:val="24"/>
                <w:lang w:val="en-US" w:eastAsia="zh-CN" w:bidi="ar"/>
              </w:rPr>
              <w:t>执行标准</w:t>
            </w:r>
          </w:p>
        </w:tc>
      </w:tr>
      <w:tr w14:paraId="2EE44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698" w:type="dxa"/>
            <w:vMerge w:val="restart"/>
            <w:vAlign w:val="center"/>
          </w:tcPr>
          <w:p w14:paraId="438A55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大气环境</w:t>
            </w:r>
          </w:p>
        </w:tc>
        <w:tc>
          <w:tcPr>
            <w:tcW w:w="1336" w:type="dxa"/>
            <w:vMerge w:val="restart"/>
            <w:shd w:val="clear" w:color="auto" w:fill="auto"/>
            <w:vAlign w:val="center"/>
          </w:tcPr>
          <w:p w14:paraId="3BF7E1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b w:val="0"/>
                <w:bCs w:val="0"/>
                <w:color w:val="auto"/>
                <w:kern w:val="2"/>
                <w:sz w:val="21"/>
                <w:szCs w:val="24"/>
                <w:lang w:val="en-US" w:eastAsia="zh-CN" w:bidi="ar-SA"/>
              </w:rPr>
            </w:pPr>
            <w:r>
              <w:rPr>
                <w:rFonts w:hint="default" w:ascii="Times New Roman" w:hAnsi="Times New Roman" w:eastAsia="宋体" w:cs="var(--dsw-font-markdown-table)"/>
                <w:b w:val="0"/>
                <w:bCs w:val="0"/>
                <w:color w:val="auto"/>
                <w:kern w:val="0"/>
                <w:sz w:val="21"/>
                <w:szCs w:val="24"/>
                <w:lang w:val="en-US" w:eastAsia="zh-CN" w:bidi="ar"/>
              </w:rPr>
              <w:t>G1排气筒（鞋底制造）</w:t>
            </w:r>
          </w:p>
        </w:tc>
        <w:tc>
          <w:tcPr>
            <w:tcW w:w="1748" w:type="dxa"/>
            <w:vAlign w:val="center"/>
          </w:tcPr>
          <w:p w14:paraId="13C625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非甲烷总烃</w:t>
            </w:r>
          </w:p>
          <w:p w14:paraId="4049D5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p>
        </w:tc>
        <w:tc>
          <w:tcPr>
            <w:tcW w:w="2971" w:type="dxa"/>
            <w:vMerge w:val="restart"/>
            <w:vAlign w:val="center"/>
          </w:tcPr>
          <w:p w14:paraId="25938F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Segoe UI"/>
                <w:b w:val="0"/>
                <w:bCs w:val="0"/>
                <w:i w:val="0"/>
                <w:iCs w:val="0"/>
                <w:caps w:val="0"/>
                <w:color w:val="auto"/>
                <w:spacing w:val="0"/>
                <w:sz w:val="21"/>
                <w:szCs w:val="24"/>
                <w:shd w:val="clear" w:fill="FFFFFF"/>
              </w:rPr>
              <w:t>拌料、发泡、打粗</w:t>
            </w:r>
            <w:r>
              <w:rPr>
                <w:rFonts w:hint="eastAsia" w:ascii="Times New Roman" w:hAnsi="Times New Roman" w:cs="Segoe UI"/>
                <w:b w:val="0"/>
                <w:bCs w:val="0"/>
                <w:i w:val="0"/>
                <w:iCs w:val="0"/>
                <w:caps w:val="0"/>
                <w:color w:val="auto"/>
                <w:spacing w:val="0"/>
                <w:sz w:val="21"/>
                <w:szCs w:val="24"/>
                <w:shd w:val="clear" w:fill="FFFFFF"/>
                <w:lang w:eastAsia="zh-CN"/>
              </w:rPr>
              <w:t>、</w:t>
            </w:r>
            <w:r>
              <w:rPr>
                <w:rFonts w:hint="default" w:ascii="Times New Roman" w:hAnsi="Times New Roman" w:eastAsia="宋体" w:cs="Segoe UI"/>
                <w:b w:val="0"/>
                <w:bCs w:val="0"/>
                <w:i w:val="0"/>
                <w:iCs w:val="0"/>
                <w:caps w:val="0"/>
                <w:color w:val="auto"/>
                <w:spacing w:val="0"/>
                <w:sz w:val="21"/>
                <w:szCs w:val="24"/>
                <w:shd w:val="clear" w:fill="FFFFFF"/>
              </w:rPr>
              <w:t>刷处理剂、</w:t>
            </w:r>
            <w:r>
              <w:rPr>
                <w:rFonts w:hint="eastAsia" w:cs="Segoe UI"/>
                <w:b w:val="0"/>
                <w:bCs w:val="0"/>
                <w:i w:val="0"/>
                <w:iCs w:val="0"/>
                <w:caps w:val="0"/>
                <w:color w:val="auto"/>
                <w:spacing w:val="0"/>
                <w:sz w:val="21"/>
                <w:szCs w:val="24"/>
                <w:shd w:val="clear" w:fill="FFFFFF"/>
                <w:lang w:val="en-US" w:eastAsia="zh-CN"/>
              </w:rPr>
              <w:t>清洁、</w:t>
            </w:r>
            <w:r>
              <w:rPr>
                <w:rFonts w:hint="default" w:ascii="Times New Roman" w:hAnsi="Times New Roman" w:eastAsia="宋体" w:cs="Segoe UI"/>
                <w:b w:val="0"/>
                <w:bCs w:val="0"/>
                <w:i w:val="0"/>
                <w:iCs w:val="0"/>
                <w:caps w:val="0"/>
                <w:color w:val="auto"/>
                <w:spacing w:val="0"/>
                <w:sz w:val="21"/>
                <w:szCs w:val="24"/>
                <w:shd w:val="clear" w:fill="FFFFFF"/>
              </w:rPr>
              <w:t>刷胶</w:t>
            </w:r>
            <w:r>
              <w:rPr>
                <w:rFonts w:hint="eastAsia" w:cs="Segoe UI"/>
                <w:b w:val="0"/>
                <w:bCs w:val="0"/>
                <w:i w:val="0"/>
                <w:iCs w:val="0"/>
                <w:caps w:val="0"/>
                <w:color w:val="auto"/>
                <w:spacing w:val="0"/>
                <w:sz w:val="21"/>
                <w:szCs w:val="24"/>
                <w:shd w:val="clear" w:fill="FFFFFF"/>
                <w:lang w:val="en-US" w:eastAsia="zh-CN"/>
              </w:rPr>
              <w:t>及烘干</w:t>
            </w:r>
            <w:r>
              <w:rPr>
                <w:rFonts w:hint="eastAsia" w:ascii="Times New Roman" w:hAnsi="Times New Roman" w:cs="Segoe UI"/>
                <w:b w:val="0"/>
                <w:bCs w:val="0"/>
                <w:i w:val="0"/>
                <w:iCs w:val="0"/>
                <w:caps w:val="0"/>
                <w:color w:val="auto"/>
                <w:spacing w:val="0"/>
                <w:sz w:val="21"/>
                <w:szCs w:val="24"/>
                <w:shd w:val="clear" w:fill="FFFFFF"/>
                <w:lang w:val="en-US" w:eastAsia="zh-CN"/>
              </w:rPr>
              <w:t>工序</w:t>
            </w:r>
            <w:r>
              <w:rPr>
                <w:rFonts w:hint="default" w:ascii="Times New Roman" w:hAnsi="Times New Roman" w:eastAsia="宋体" w:cs="Segoe UI"/>
                <w:b w:val="0"/>
                <w:bCs w:val="0"/>
                <w:i w:val="0"/>
                <w:iCs w:val="0"/>
                <w:caps w:val="0"/>
                <w:color w:val="auto"/>
                <w:spacing w:val="0"/>
                <w:sz w:val="21"/>
                <w:szCs w:val="24"/>
                <w:shd w:val="clear" w:fill="FFFFFF"/>
              </w:rPr>
              <w:t>通过外部集气罩进行收集</w:t>
            </w:r>
            <w:r>
              <w:rPr>
                <w:rFonts w:hint="eastAsia" w:cs="Segoe UI"/>
                <w:b w:val="0"/>
                <w:bCs w:val="0"/>
                <w:i w:val="0"/>
                <w:iCs w:val="0"/>
                <w:caps w:val="0"/>
                <w:color w:val="auto"/>
                <w:spacing w:val="0"/>
                <w:sz w:val="21"/>
                <w:szCs w:val="24"/>
                <w:shd w:val="clear" w:fill="FFFFFF"/>
                <w:lang w:val="en-US" w:eastAsia="zh-CN"/>
              </w:rPr>
              <w:t>后</w:t>
            </w:r>
            <w:r>
              <w:rPr>
                <w:rFonts w:hint="eastAsia" w:cs="Segoe UI"/>
                <w:b w:val="0"/>
                <w:bCs w:val="0"/>
                <w:i w:val="0"/>
                <w:iCs w:val="0"/>
                <w:caps w:val="0"/>
                <w:color w:val="auto"/>
                <w:spacing w:val="0"/>
                <w:sz w:val="21"/>
                <w:szCs w:val="24"/>
                <w:shd w:val="clear" w:fill="FFFFFF"/>
                <w:lang w:eastAsia="zh-CN"/>
              </w:rPr>
              <w:t>；</w:t>
            </w:r>
            <w:r>
              <w:rPr>
                <w:rFonts w:hint="default" w:ascii="Times New Roman" w:hAnsi="Times New Roman" w:eastAsia="宋体" w:cs="var(--dsw-font-markdown-table)"/>
                <w:b w:val="0"/>
                <w:bCs w:val="0"/>
                <w:color w:val="auto"/>
                <w:kern w:val="0"/>
                <w:sz w:val="21"/>
                <w:szCs w:val="24"/>
                <w:lang w:val="en-US" w:eastAsia="zh-CN" w:bidi="ar"/>
              </w:rPr>
              <w:t>废气统一引入一套“滤筒除尘器+二级活性炭吸附装置”处理后经50m高排气筒（G1）排放</w:t>
            </w:r>
          </w:p>
        </w:tc>
        <w:tc>
          <w:tcPr>
            <w:tcW w:w="3930" w:type="dxa"/>
            <w:vAlign w:val="center"/>
          </w:tcPr>
          <w:p w14:paraId="10F18D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kern w:val="0"/>
                <w:sz w:val="21"/>
                <w:szCs w:val="24"/>
                <w:lang w:val="en-US" w:eastAsia="zh-CN" w:bidi="ar"/>
              </w:rPr>
              <w:t>广东省《固定污染源挥发性有机物综合排放标准》（DB44/2367</w:t>
            </w:r>
            <w:r>
              <w:rPr>
                <w:rFonts w:hint="eastAsia" w:ascii="Times New Roman" w:hAnsi="Times New Roman" w:eastAsia="宋体" w:cs="var(--dsw-font-markdown-table)"/>
                <w:b w:val="0"/>
                <w:bCs w:val="0"/>
                <w:kern w:val="0"/>
                <w:sz w:val="21"/>
                <w:szCs w:val="24"/>
                <w:lang w:val="en-US" w:eastAsia="zh-CN" w:bidi="ar"/>
              </w:rPr>
              <w:t>-</w:t>
            </w:r>
            <w:r>
              <w:rPr>
                <w:rFonts w:hint="default" w:ascii="Times New Roman" w:hAnsi="Times New Roman" w:eastAsia="宋体" w:cs="var(--dsw-font-markdown-table)"/>
                <w:b w:val="0"/>
                <w:bCs w:val="0"/>
                <w:kern w:val="0"/>
                <w:sz w:val="21"/>
                <w:szCs w:val="24"/>
                <w:lang w:val="en-US" w:eastAsia="zh-CN" w:bidi="ar"/>
              </w:rPr>
              <w:t>2022）表1限值与《合成树脂工业污染物排放标准》（GB31572</w:t>
            </w:r>
            <w:r>
              <w:rPr>
                <w:rFonts w:hint="eastAsia" w:ascii="Times New Roman" w:hAnsi="Times New Roman" w:eastAsia="宋体" w:cs="var(--dsw-font-markdown-table)"/>
                <w:b w:val="0"/>
                <w:bCs w:val="0"/>
                <w:kern w:val="0"/>
                <w:sz w:val="21"/>
                <w:szCs w:val="24"/>
                <w:lang w:val="en-US" w:eastAsia="zh-CN" w:bidi="ar"/>
              </w:rPr>
              <w:t>-</w:t>
            </w:r>
            <w:r>
              <w:rPr>
                <w:rFonts w:hint="default" w:ascii="Times New Roman" w:hAnsi="Times New Roman" w:eastAsia="宋体" w:cs="var(--dsw-font-markdown-table)"/>
                <w:b w:val="0"/>
                <w:bCs w:val="0"/>
                <w:kern w:val="0"/>
                <w:sz w:val="21"/>
                <w:szCs w:val="24"/>
                <w:lang w:val="en-US" w:eastAsia="zh-CN" w:bidi="ar"/>
              </w:rPr>
              <w:t>2015）及其修改单表4限值较严值</w:t>
            </w:r>
          </w:p>
        </w:tc>
      </w:tr>
      <w:tr w14:paraId="6B6B7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196765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Merge w:val="continue"/>
            <w:vAlign w:val="center"/>
          </w:tcPr>
          <w:p w14:paraId="574B20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748" w:type="dxa"/>
            <w:vAlign w:val="center"/>
          </w:tcPr>
          <w:p w14:paraId="106ECA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颗粒物</w:t>
            </w:r>
          </w:p>
        </w:tc>
        <w:tc>
          <w:tcPr>
            <w:tcW w:w="2971" w:type="dxa"/>
            <w:vMerge w:val="continue"/>
            <w:vAlign w:val="center"/>
          </w:tcPr>
          <w:p w14:paraId="60B004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3930" w:type="dxa"/>
            <w:vAlign w:val="center"/>
          </w:tcPr>
          <w:p w14:paraId="30FB66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kern w:val="0"/>
                <w:sz w:val="21"/>
                <w:szCs w:val="24"/>
                <w:lang w:val="en-US" w:eastAsia="zh-CN" w:bidi="ar"/>
              </w:rPr>
              <w:t>《合成树脂工业污染物排放标准》（GB31572</w:t>
            </w:r>
            <w:r>
              <w:rPr>
                <w:rFonts w:hint="eastAsia" w:ascii="Times New Roman" w:hAnsi="Times New Roman" w:eastAsia="宋体" w:cs="var(--dsw-font-markdown-table)"/>
                <w:b w:val="0"/>
                <w:bCs w:val="0"/>
                <w:kern w:val="0"/>
                <w:sz w:val="21"/>
                <w:szCs w:val="24"/>
                <w:lang w:val="en-US" w:eastAsia="zh-CN" w:bidi="ar"/>
              </w:rPr>
              <w:t>-</w:t>
            </w:r>
            <w:r>
              <w:rPr>
                <w:rFonts w:hint="default" w:ascii="Times New Roman" w:hAnsi="Times New Roman" w:eastAsia="宋体" w:cs="var(--dsw-font-markdown-table)"/>
                <w:b w:val="0"/>
                <w:bCs w:val="0"/>
                <w:kern w:val="0"/>
                <w:sz w:val="21"/>
                <w:szCs w:val="24"/>
                <w:lang w:val="en-US" w:eastAsia="zh-CN" w:bidi="ar"/>
              </w:rPr>
              <w:t>2015）及其修改单表4限值</w:t>
            </w:r>
          </w:p>
        </w:tc>
      </w:tr>
      <w:tr w14:paraId="1D195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37DCD9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Merge w:val="continue"/>
            <w:vAlign w:val="center"/>
          </w:tcPr>
          <w:p w14:paraId="31EB7E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748" w:type="dxa"/>
            <w:vAlign w:val="center"/>
          </w:tcPr>
          <w:p w14:paraId="64F359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总VOCs</w:t>
            </w:r>
          </w:p>
        </w:tc>
        <w:tc>
          <w:tcPr>
            <w:tcW w:w="2971" w:type="dxa"/>
            <w:vMerge w:val="continue"/>
            <w:vAlign w:val="center"/>
          </w:tcPr>
          <w:p w14:paraId="1E876B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3930" w:type="dxa"/>
            <w:vAlign w:val="center"/>
          </w:tcPr>
          <w:p w14:paraId="3AA93A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kern w:val="0"/>
                <w:sz w:val="21"/>
                <w:szCs w:val="24"/>
                <w:lang w:val="en-US" w:eastAsia="zh-CN" w:bidi="ar"/>
              </w:rPr>
              <w:t>广东省《制鞋行业挥发性有机化合物排放标准》（DB44/817</w:t>
            </w:r>
            <w:r>
              <w:rPr>
                <w:rFonts w:hint="eastAsia" w:ascii="Times New Roman" w:hAnsi="Times New Roman" w:eastAsia="宋体" w:cs="var(--dsw-font-markdown-table)"/>
                <w:b w:val="0"/>
                <w:bCs w:val="0"/>
                <w:kern w:val="0"/>
                <w:sz w:val="21"/>
                <w:szCs w:val="24"/>
                <w:lang w:val="en-US" w:eastAsia="zh-CN" w:bidi="ar"/>
              </w:rPr>
              <w:t>-</w:t>
            </w:r>
            <w:r>
              <w:rPr>
                <w:rFonts w:hint="default" w:ascii="Times New Roman" w:hAnsi="Times New Roman" w:eastAsia="宋体" w:cs="var(--dsw-font-markdown-table)"/>
                <w:b w:val="0"/>
                <w:bCs w:val="0"/>
                <w:kern w:val="0"/>
                <w:sz w:val="21"/>
                <w:szCs w:val="24"/>
                <w:lang w:val="en-US" w:eastAsia="zh-CN" w:bidi="ar"/>
              </w:rPr>
              <w:t>2010）表1第Ⅱ时段限值</w:t>
            </w:r>
          </w:p>
        </w:tc>
      </w:tr>
      <w:tr w14:paraId="551D2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76AE6C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Merge w:val="continue"/>
            <w:vAlign w:val="center"/>
          </w:tcPr>
          <w:p w14:paraId="6DE878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748" w:type="dxa"/>
            <w:vAlign w:val="center"/>
          </w:tcPr>
          <w:p w14:paraId="7A43D1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臭气浓度</w:t>
            </w:r>
          </w:p>
        </w:tc>
        <w:tc>
          <w:tcPr>
            <w:tcW w:w="2971" w:type="dxa"/>
            <w:vMerge w:val="continue"/>
            <w:vAlign w:val="center"/>
          </w:tcPr>
          <w:p w14:paraId="5110BA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3930" w:type="dxa"/>
            <w:vAlign w:val="center"/>
          </w:tcPr>
          <w:p w14:paraId="4685D1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《恶臭污染物排放标准》（GB14554</w:t>
            </w:r>
            <w:r>
              <w:rPr>
                <w:rFonts w:hint="eastAsia" w:ascii="Times New Roman" w:hAnsi="Times New Roman" w:eastAsia="宋体"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93）表2恶臭污染物排放标准值</w:t>
            </w:r>
          </w:p>
        </w:tc>
      </w:tr>
      <w:tr w14:paraId="31B5D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2BD0C8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Merge w:val="restart"/>
            <w:vAlign w:val="center"/>
          </w:tcPr>
          <w:p w14:paraId="7EA4D5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eastAsia" w:cs="var(--dsw-font-markdown-table)"/>
                <w:b w:val="0"/>
                <w:bCs w:val="0"/>
                <w:color w:val="auto"/>
                <w:kern w:val="0"/>
                <w:sz w:val="21"/>
                <w:szCs w:val="24"/>
                <w:lang w:val="en-US" w:eastAsia="zh-CN" w:bidi="ar"/>
              </w:rPr>
              <w:t>G2~G7</w:t>
            </w:r>
            <w:r>
              <w:rPr>
                <w:rFonts w:hint="default" w:ascii="Times New Roman" w:hAnsi="Times New Roman" w:eastAsia="宋体" w:cs="var(--dsw-font-markdown-table)"/>
                <w:b w:val="0"/>
                <w:bCs w:val="0"/>
                <w:color w:val="auto"/>
                <w:kern w:val="0"/>
                <w:sz w:val="21"/>
                <w:szCs w:val="24"/>
                <w:lang w:val="en-US" w:eastAsia="zh-CN" w:bidi="ar"/>
              </w:rPr>
              <w:t>排气筒（成品组装）</w:t>
            </w:r>
          </w:p>
        </w:tc>
        <w:tc>
          <w:tcPr>
            <w:tcW w:w="1748" w:type="dxa"/>
            <w:vAlign w:val="center"/>
          </w:tcPr>
          <w:p w14:paraId="4456C9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非甲烷总烃</w:t>
            </w:r>
          </w:p>
        </w:tc>
        <w:tc>
          <w:tcPr>
            <w:tcW w:w="2971" w:type="dxa"/>
            <w:vMerge w:val="restart"/>
            <w:vAlign w:val="center"/>
          </w:tcPr>
          <w:p w14:paraId="1107D9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刷处理剂、</w:t>
            </w:r>
            <w:r>
              <w:rPr>
                <w:rFonts w:hint="eastAsia" w:cs="var(--dsw-font-markdown-table)"/>
                <w:b w:val="0"/>
                <w:bCs w:val="0"/>
                <w:color w:val="auto"/>
                <w:kern w:val="0"/>
                <w:sz w:val="21"/>
                <w:szCs w:val="24"/>
                <w:lang w:val="en-US" w:eastAsia="zh-CN" w:bidi="ar"/>
              </w:rPr>
              <w:t>清洁、</w:t>
            </w:r>
            <w:r>
              <w:rPr>
                <w:rFonts w:hint="default" w:ascii="Times New Roman" w:hAnsi="Times New Roman" w:eastAsia="宋体" w:cs="var(--dsw-font-markdown-table)"/>
                <w:b w:val="0"/>
                <w:bCs w:val="0"/>
                <w:color w:val="auto"/>
                <w:kern w:val="0"/>
                <w:sz w:val="21"/>
                <w:szCs w:val="24"/>
                <w:lang w:val="en-US" w:eastAsia="zh-CN" w:bidi="ar"/>
              </w:rPr>
              <w:t>刷胶</w:t>
            </w:r>
            <w:r>
              <w:rPr>
                <w:rFonts w:hint="eastAsia" w:cs="var(--dsw-font-markdown-table)"/>
                <w:b w:val="0"/>
                <w:bCs w:val="0"/>
                <w:color w:val="auto"/>
                <w:kern w:val="0"/>
                <w:sz w:val="21"/>
                <w:szCs w:val="24"/>
                <w:lang w:val="en-US" w:eastAsia="zh-CN" w:bidi="ar"/>
              </w:rPr>
              <w:t>烘干</w:t>
            </w:r>
            <w:r>
              <w:rPr>
                <w:rFonts w:hint="default" w:ascii="Times New Roman" w:hAnsi="Times New Roman" w:eastAsia="宋体" w:cs="var(--dsw-font-markdown-table)"/>
                <w:b w:val="0"/>
                <w:bCs w:val="0"/>
                <w:color w:val="auto"/>
                <w:kern w:val="0"/>
                <w:sz w:val="21"/>
                <w:szCs w:val="24"/>
                <w:lang w:val="en-US" w:eastAsia="zh-CN" w:bidi="ar"/>
              </w:rPr>
              <w:t>工序废气经集气罩收集后引入“二级活性炭吸附装置”处理，分别经50m高排气筒（</w:t>
            </w:r>
            <w:r>
              <w:rPr>
                <w:rFonts w:hint="eastAsia" w:cs="var(--dsw-font-markdown-table)"/>
                <w:b w:val="0"/>
                <w:bCs w:val="0"/>
                <w:color w:val="auto"/>
                <w:kern w:val="0"/>
                <w:sz w:val="21"/>
                <w:szCs w:val="24"/>
                <w:lang w:val="en-US" w:eastAsia="zh-CN" w:bidi="ar"/>
              </w:rPr>
              <w:t>G2~G7</w:t>
            </w:r>
            <w:r>
              <w:rPr>
                <w:rFonts w:hint="default" w:ascii="Times New Roman" w:hAnsi="Times New Roman" w:eastAsia="宋体" w:cs="var(--dsw-font-markdown-table)"/>
                <w:b w:val="0"/>
                <w:bCs w:val="0"/>
                <w:color w:val="auto"/>
                <w:kern w:val="0"/>
                <w:sz w:val="21"/>
                <w:szCs w:val="24"/>
                <w:lang w:val="en-US" w:eastAsia="zh-CN" w:bidi="ar"/>
              </w:rPr>
              <w:t>）排放</w:t>
            </w:r>
          </w:p>
        </w:tc>
        <w:tc>
          <w:tcPr>
            <w:tcW w:w="3930" w:type="dxa"/>
            <w:vAlign w:val="center"/>
          </w:tcPr>
          <w:p w14:paraId="3978BC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kern w:val="0"/>
                <w:sz w:val="21"/>
                <w:szCs w:val="24"/>
                <w:lang w:val="en-US" w:eastAsia="zh-CN" w:bidi="ar"/>
              </w:rPr>
              <w:t>广东省《固定污染源挥发性有机物综合排放标准》（DB44/2367</w:t>
            </w:r>
            <w:r>
              <w:rPr>
                <w:rFonts w:hint="eastAsia" w:ascii="Times New Roman" w:hAnsi="Times New Roman" w:eastAsia="宋体" w:cs="var(--dsw-font-markdown-table)"/>
                <w:b w:val="0"/>
                <w:bCs w:val="0"/>
                <w:kern w:val="0"/>
                <w:sz w:val="21"/>
                <w:szCs w:val="24"/>
                <w:lang w:val="en-US" w:eastAsia="zh-CN" w:bidi="ar"/>
              </w:rPr>
              <w:t>-</w:t>
            </w:r>
            <w:r>
              <w:rPr>
                <w:rFonts w:hint="default" w:ascii="Times New Roman" w:hAnsi="Times New Roman" w:eastAsia="宋体" w:cs="var(--dsw-font-markdown-table)"/>
                <w:b w:val="0"/>
                <w:bCs w:val="0"/>
                <w:kern w:val="0"/>
                <w:sz w:val="21"/>
                <w:szCs w:val="24"/>
                <w:lang w:val="en-US" w:eastAsia="zh-CN" w:bidi="ar"/>
              </w:rPr>
              <w:t>2022）表1限值</w:t>
            </w:r>
          </w:p>
        </w:tc>
      </w:tr>
      <w:tr w14:paraId="286D3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3D810D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Merge w:val="continue"/>
            <w:vAlign w:val="center"/>
          </w:tcPr>
          <w:p w14:paraId="7DDC24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748" w:type="dxa"/>
            <w:vAlign w:val="center"/>
          </w:tcPr>
          <w:p w14:paraId="764C28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总VOCs</w:t>
            </w:r>
          </w:p>
        </w:tc>
        <w:tc>
          <w:tcPr>
            <w:tcW w:w="2971" w:type="dxa"/>
            <w:vMerge w:val="continue"/>
            <w:vAlign w:val="center"/>
          </w:tcPr>
          <w:p w14:paraId="050610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3930" w:type="dxa"/>
            <w:vAlign w:val="center"/>
          </w:tcPr>
          <w:p w14:paraId="54B8AE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eastAsia" w:ascii="Times New Roman" w:hAnsi="Times New Roman" w:eastAsia="宋体" w:cs="var(--dsw-font-markdown-table)"/>
                <w:b w:val="0"/>
                <w:bCs w:val="0"/>
                <w:kern w:val="0"/>
                <w:sz w:val="21"/>
                <w:szCs w:val="24"/>
                <w:lang w:val="en-US" w:eastAsia="zh-CN" w:bidi="ar"/>
              </w:rPr>
              <w:t>广东省《制鞋行业挥发性有机化合物排放标准》（DB44/817-2010）表1第Ⅱ时段限值</w:t>
            </w:r>
          </w:p>
        </w:tc>
      </w:tr>
      <w:tr w14:paraId="4C73D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0EA858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Merge w:val="continue"/>
            <w:vAlign w:val="center"/>
          </w:tcPr>
          <w:p w14:paraId="1BD752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748" w:type="dxa"/>
            <w:vAlign w:val="center"/>
          </w:tcPr>
          <w:p w14:paraId="7C6E81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臭气浓度</w:t>
            </w:r>
          </w:p>
        </w:tc>
        <w:tc>
          <w:tcPr>
            <w:tcW w:w="2971" w:type="dxa"/>
            <w:vMerge w:val="continue"/>
            <w:vAlign w:val="center"/>
          </w:tcPr>
          <w:p w14:paraId="239573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3930" w:type="dxa"/>
            <w:vAlign w:val="center"/>
          </w:tcPr>
          <w:p w14:paraId="28B76E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kern w:val="0"/>
                <w:sz w:val="21"/>
                <w:szCs w:val="24"/>
                <w:lang w:val="en-US" w:eastAsia="zh-CN" w:bidi="ar"/>
              </w:rPr>
              <w:t>《恶臭污染物排放标准》（GB14554</w:t>
            </w:r>
            <w:r>
              <w:rPr>
                <w:rFonts w:hint="eastAsia" w:ascii="Times New Roman" w:hAnsi="Times New Roman" w:eastAsia="宋体" w:cs="var(--dsw-font-markdown-table)"/>
                <w:b w:val="0"/>
                <w:bCs w:val="0"/>
                <w:kern w:val="0"/>
                <w:sz w:val="21"/>
                <w:szCs w:val="24"/>
                <w:lang w:val="en-US" w:eastAsia="zh-CN" w:bidi="ar"/>
              </w:rPr>
              <w:t>-</w:t>
            </w:r>
            <w:r>
              <w:rPr>
                <w:rFonts w:hint="default" w:ascii="Times New Roman" w:hAnsi="Times New Roman" w:eastAsia="宋体" w:cs="var(--dsw-font-markdown-table)"/>
                <w:b w:val="0"/>
                <w:bCs w:val="0"/>
                <w:kern w:val="0"/>
                <w:sz w:val="21"/>
                <w:szCs w:val="24"/>
                <w:lang w:val="en-US" w:eastAsia="zh-CN" w:bidi="ar"/>
              </w:rPr>
              <w:t>93）表2恶臭污染物排放标准值</w:t>
            </w:r>
          </w:p>
        </w:tc>
      </w:tr>
      <w:tr w14:paraId="66182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05F22B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Align w:val="center"/>
          </w:tcPr>
          <w:p w14:paraId="6BE1AF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b w:val="0"/>
                <w:bCs w:val="0"/>
                <w:color w:val="auto"/>
                <w:vertAlign w:val="baseline"/>
              </w:rPr>
            </w:pPr>
            <w:r>
              <w:rPr>
                <w:rFonts w:hint="eastAsia" w:cs="var(--dsw-font-markdown-table)"/>
                <w:b w:val="0"/>
                <w:bCs w:val="0"/>
                <w:color w:val="auto"/>
                <w:kern w:val="0"/>
                <w:sz w:val="21"/>
                <w:szCs w:val="24"/>
                <w:lang w:val="en-US" w:eastAsia="zh-CN" w:bidi="ar"/>
              </w:rPr>
              <w:t>G8</w:t>
            </w:r>
            <w:r>
              <w:rPr>
                <w:rFonts w:hint="default" w:ascii="Times New Roman" w:hAnsi="Times New Roman" w:eastAsia="宋体" w:cs="var(--dsw-font-markdown-table)"/>
                <w:b w:val="0"/>
                <w:bCs w:val="0"/>
                <w:color w:val="auto"/>
                <w:kern w:val="0"/>
                <w:sz w:val="21"/>
                <w:szCs w:val="24"/>
                <w:lang w:val="en-US" w:eastAsia="zh-CN" w:bidi="ar"/>
              </w:rPr>
              <w:t>排气筒（食堂油烟）</w:t>
            </w:r>
          </w:p>
        </w:tc>
        <w:tc>
          <w:tcPr>
            <w:tcW w:w="1748" w:type="dxa"/>
            <w:vAlign w:val="center"/>
          </w:tcPr>
          <w:p w14:paraId="64B012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油烟</w:t>
            </w:r>
          </w:p>
        </w:tc>
        <w:tc>
          <w:tcPr>
            <w:tcW w:w="2971" w:type="dxa"/>
            <w:vAlign w:val="center"/>
          </w:tcPr>
          <w:p w14:paraId="2FB907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运水烟罩+静电油烟净化器处理后引至楼顶高空排放。</w:t>
            </w:r>
          </w:p>
        </w:tc>
        <w:tc>
          <w:tcPr>
            <w:tcW w:w="3930" w:type="dxa"/>
            <w:vAlign w:val="center"/>
          </w:tcPr>
          <w:p w14:paraId="071867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kern w:val="0"/>
                <w:sz w:val="21"/>
                <w:szCs w:val="24"/>
                <w:lang w:val="en-US" w:eastAsia="zh-CN" w:bidi="ar"/>
              </w:rPr>
              <w:t>《饮食业油烟排放标准（试行）》（GB18483</w:t>
            </w:r>
            <w:r>
              <w:rPr>
                <w:rFonts w:hint="eastAsia" w:ascii="Times New Roman" w:hAnsi="Times New Roman" w:eastAsia="宋体" w:cs="var(--dsw-font-markdown-table)"/>
                <w:b w:val="0"/>
                <w:bCs w:val="0"/>
                <w:kern w:val="0"/>
                <w:sz w:val="21"/>
                <w:szCs w:val="24"/>
                <w:lang w:val="en-US" w:eastAsia="zh-CN" w:bidi="ar"/>
              </w:rPr>
              <w:t>-</w:t>
            </w:r>
            <w:r>
              <w:rPr>
                <w:rFonts w:hint="default" w:ascii="Times New Roman" w:hAnsi="Times New Roman" w:eastAsia="宋体" w:cs="var(--dsw-font-markdown-table)"/>
                <w:b w:val="0"/>
                <w:bCs w:val="0"/>
                <w:kern w:val="0"/>
                <w:sz w:val="21"/>
                <w:szCs w:val="24"/>
                <w:lang w:val="en-US" w:eastAsia="zh-CN" w:bidi="ar"/>
              </w:rPr>
              <w:t>2001）表2最高允许排放浓度限值（中型）</w:t>
            </w:r>
          </w:p>
        </w:tc>
      </w:tr>
      <w:tr w14:paraId="5D68F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17E9E1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Merge w:val="restart"/>
            <w:vAlign w:val="center"/>
          </w:tcPr>
          <w:p w14:paraId="7114E6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G9（鞋面制造）</w:t>
            </w:r>
          </w:p>
        </w:tc>
        <w:tc>
          <w:tcPr>
            <w:tcW w:w="1748" w:type="dxa"/>
            <w:vAlign w:val="center"/>
          </w:tcPr>
          <w:p w14:paraId="09A4C5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非甲烷总烃</w:t>
            </w:r>
          </w:p>
        </w:tc>
        <w:tc>
          <w:tcPr>
            <w:tcW w:w="2971" w:type="dxa"/>
            <w:vMerge w:val="restart"/>
            <w:vAlign w:val="center"/>
          </w:tcPr>
          <w:p w14:paraId="4E5323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b w:val="0"/>
                <w:bCs w:val="0"/>
                <w:color w:val="auto"/>
                <w:kern w:val="0"/>
                <w:sz w:val="21"/>
                <w:szCs w:val="24"/>
                <w:lang w:val="en-US" w:eastAsia="zh-CN" w:bidi="ar"/>
              </w:rPr>
            </w:pPr>
            <w:r>
              <w:rPr>
                <w:rFonts w:hint="eastAsia" w:ascii="Times New Roman" w:hAnsi="Times New Roman" w:eastAsia="宋体" w:cs="var(--dsw-font-markdown-table)"/>
                <w:b w:val="0"/>
                <w:bCs w:val="0"/>
                <w:color w:val="auto"/>
                <w:kern w:val="0"/>
                <w:sz w:val="21"/>
                <w:szCs w:val="24"/>
                <w:lang w:val="en-US" w:eastAsia="zh-CN" w:bidi="ar"/>
              </w:rPr>
              <w:t>UV打印、打印转印纸</w:t>
            </w:r>
            <w:r>
              <w:rPr>
                <w:rFonts w:hint="default" w:ascii="Times New Roman" w:hAnsi="Times New Roman" w:eastAsia="宋体" w:cs="var(--dsw-font-markdown-table)"/>
                <w:b w:val="0"/>
                <w:bCs w:val="0"/>
                <w:color w:val="auto"/>
                <w:kern w:val="0"/>
                <w:sz w:val="21"/>
                <w:szCs w:val="24"/>
                <w:lang w:val="en-US" w:eastAsia="zh-CN" w:bidi="ar"/>
              </w:rPr>
              <w:t>工序废气经</w:t>
            </w:r>
            <w:r>
              <w:rPr>
                <w:rFonts w:hint="eastAsia" w:cs="var(--dsw-font-markdown-table)"/>
                <w:b w:val="0"/>
                <w:bCs w:val="0"/>
                <w:color w:val="auto"/>
                <w:kern w:val="0"/>
                <w:sz w:val="21"/>
                <w:szCs w:val="24"/>
                <w:lang w:val="en-US" w:eastAsia="zh-CN" w:bidi="ar"/>
              </w:rPr>
              <w:t>密闭负压车间</w:t>
            </w:r>
            <w:r>
              <w:rPr>
                <w:rFonts w:hint="default" w:ascii="Times New Roman" w:hAnsi="Times New Roman" w:eastAsia="宋体" w:cs="var(--dsw-font-markdown-table)"/>
                <w:b w:val="0"/>
                <w:bCs w:val="0"/>
                <w:color w:val="auto"/>
                <w:kern w:val="0"/>
                <w:sz w:val="21"/>
                <w:szCs w:val="24"/>
                <w:lang w:val="en-US" w:eastAsia="zh-CN" w:bidi="ar"/>
              </w:rPr>
              <w:t>收集后引入“二级活性炭吸附装置”处理，经50m高排气筒（</w:t>
            </w:r>
            <w:r>
              <w:rPr>
                <w:rFonts w:hint="eastAsia" w:cs="var(--dsw-font-markdown-table)"/>
                <w:b w:val="0"/>
                <w:bCs w:val="0"/>
                <w:color w:val="auto"/>
                <w:kern w:val="0"/>
                <w:sz w:val="21"/>
                <w:szCs w:val="24"/>
                <w:lang w:val="en-US" w:eastAsia="zh-CN" w:bidi="ar"/>
              </w:rPr>
              <w:t>G9</w:t>
            </w:r>
            <w:r>
              <w:rPr>
                <w:rFonts w:hint="default" w:ascii="Times New Roman" w:hAnsi="Times New Roman" w:eastAsia="宋体" w:cs="var(--dsw-font-markdown-table)"/>
                <w:b w:val="0"/>
                <w:bCs w:val="0"/>
                <w:color w:val="auto"/>
                <w:kern w:val="0"/>
                <w:sz w:val="21"/>
                <w:szCs w:val="24"/>
                <w:lang w:val="en-US" w:eastAsia="zh-CN" w:bidi="ar"/>
              </w:rPr>
              <w:t>）排放</w:t>
            </w:r>
          </w:p>
        </w:tc>
        <w:tc>
          <w:tcPr>
            <w:tcW w:w="3930" w:type="dxa"/>
            <w:vAlign w:val="center"/>
          </w:tcPr>
          <w:p w14:paraId="33A5710B">
            <w:pPr>
              <w:keepNext w:val="0"/>
              <w:keepLines w:val="0"/>
              <w:widowControl/>
              <w:suppressLineNumbers w:val="0"/>
              <w:spacing w:before="0" w:beforeAutospacing="0" w:after="0" w:afterAutospacing="0"/>
              <w:ind w:left="0" w:right="0"/>
              <w:jc w:val="left"/>
              <w:rPr>
                <w:rFonts w:hint="default" w:ascii="Times New Roman" w:hAnsi="Times New Roman" w:eastAsia="宋体" w:cs="var(--dsw-font-markdown-table)"/>
                <w:b w:val="0"/>
                <w:bCs w:val="0"/>
                <w:kern w:val="0"/>
                <w:sz w:val="21"/>
                <w:szCs w:val="24"/>
                <w:lang w:val="en-US" w:eastAsia="zh-CN" w:bidi="ar"/>
              </w:rPr>
            </w:pPr>
            <w:r>
              <w:rPr>
                <w:rFonts w:hint="eastAsia" w:ascii="宋体" w:hAnsi="宋体" w:eastAsia="宋体" w:cs="宋体"/>
                <w:color w:val="000000"/>
                <w:kern w:val="0"/>
                <w:sz w:val="21"/>
                <w:szCs w:val="21"/>
                <w:lang w:val="en-US" w:eastAsia="zh-CN" w:bidi="ar"/>
              </w:rPr>
              <w:t>《印刷工业大气污染物排放标准》（</w:t>
            </w:r>
            <w:r>
              <w:rPr>
                <w:rFonts w:hint="default" w:ascii="Times New Roman" w:hAnsi="Times New Roman" w:eastAsia="宋体" w:cs="Times New Roman"/>
                <w:color w:val="000000"/>
                <w:kern w:val="0"/>
                <w:sz w:val="21"/>
                <w:szCs w:val="21"/>
                <w:lang w:val="en-US" w:eastAsia="zh-CN" w:bidi="ar"/>
              </w:rPr>
              <w:t>GB41616-2022</w:t>
            </w:r>
            <w:r>
              <w:rPr>
                <w:rFonts w:hint="eastAsia" w:ascii="宋体" w:hAnsi="宋体" w:eastAsia="宋体" w:cs="宋体"/>
                <w:color w:val="000000"/>
                <w:kern w:val="0"/>
                <w:sz w:val="21"/>
                <w:szCs w:val="21"/>
                <w:lang w:val="en-US" w:eastAsia="zh-CN" w:bidi="ar"/>
              </w:rPr>
              <w:t>）表</w:t>
            </w:r>
            <w:r>
              <w:rPr>
                <w:rFonts w:hint="default" w:ascii="Times New Roman" w:hAnsi="Times New Roman" w:eastAsia="宋体" w:cs="Times New Roman"/>
                <w:color w:val="000000"/>
                <w:kern w:val="0"/>
                <w:sz w:val="21"/>
                <w:szCs w:val="21"/>
                <w:lang w:val="en-US" w:eastAsia="zh-CN" w:bidi="ar"/>
              </w:rPr>
              <w:t>1</w:t>
            </w:r>
            <w:r>
              <w:rPr>
                <w:rFonts w:hint="eastAsia" w:ascii="宋体" w:hAnsi="宋体" w:eastAsia="宋体" w:cs="宋体"/>
                <w:color w:val="000000"/>
                <w:kern w:val="0"/>
                <w:sz w:val="21"/>
                <w:szCs w:val="21"/>
                <w:lang w:val="en-US" w:eastAsia="zh-CN" w:bidi="ar"/>
              </w:rPr>
              <w:t>大气污染物排放限值</w:t>
            </w:r>
          </w:p>
        </w:tc>
      </w:tr>
      <w:tr w14:paraId="5F465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5077D3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Merge w:val="continue"/>
            <w:vAlign w:val="center"/>
          </w:tcPr>
          <w:p w14:paraId="3FE381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cs="var(--dsw-font-markdown-table)"/>
                <w:b w:val="0"/>
                <w:bCs w:val="0"/>
                <w:color w:val="auto"/>
                <w:kern w:val="0"/>
                <w:sz w:val="21"/>
                <w:szCs w:val="24"/>
                <w:lang w:val="en-US" w:eastAsia="zh-CN" w:bidi="ar"/>
              </w:rPr>
            </w:pPr>
          </w:p>
        </w:tc>
        <w:tc>
          <w:tcPr>
            <w:tcW w:w="1748" w:type="dxa"/>
            <w:vAlign w:val="center"/>
          </w:tcPr>
          <w:p w14:paraId="2EA44A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总VOCs</w:t>
            </w:r>
          </w:p>
        </w:tc>
        <w:tc>
          <w:tcPr>
            <w:tcW w:w="2971" w:type="dxa"/>
            <w:vMerge w:val="continue"/>
            <w:vAlign w:val="center"/>
          </w:tcPr>
          <w:p w14:paraId="11088E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b w:val="0"/>
                <w:bCs w:val="0"/>
                <w:color w:val="auto"/>
                <w:kern w:val="0"/>
                <w:sz w:val="21"/>
                <w:szCs w:val="24"/>
                <w:lang w:val="en-US" w:eastAsia="zh-CN" w:bidi="ar"/>
              </w:rPr>
            </w:pPr>
          </w:p>
        </w:tc>
        <w:tc>
          <w:tcPr>
            <w:tcW w:w="3930" w:type="dxa"/>
            <w:vAlign w:val="center"/>
          </w:tcPr>
          <w:p w14:paraId="4D374EC2">
            <w:pPr>
              <w:keepNext w:val="0"/>
              <w:keepLines w:val="0"/>
              <w:widowControl/>
              <w:suppressLineNumbers w:val="0"/>
              <w:spacing w:before="0" w:beforeAutospacing="0" w:after="0" w:afterAutospacing="0"/>
              <w:ind w:left="0" w:right="0"/>
              <w:jc w:val="left"/>
              <w:rPr>
                <w:rFonts w:hint="default"/>
              </w:rPr>
            </w:pPr>
            <w:r>
              <w:rPr>
                <w:rFonts w:hint="eastAsia" w:ascii="宋体" w:hAnsi="宋体" w:eastAsia="宋体" w:cs="宋体"/>
                <w:color w:val="000000"/>
                <w:kern w:val="0"/>
                <w:sz w:val="21"/>
                <w:szCs w:val="21"/>
                <w:lang w:val="en-US" w:eastAsia="zh-CN" w:bidi="ar"/>
              </w:rPr>
              <w:t>《制鞋行业挥发性有机化合物排放标准》（</w:t>
            </w:r>
            <w:r>
              <w:rPr>
                <w:rFonts w:hint="default" w:ascii="Times New Roman" w:hAnsi="Times New Roman" w:eastAsia="宋体" w:cs="Times New Roman"/>
                <w:color w:val="000000"/>
                <w:kern w:val="0"/>
                <w:sz w:val="21"/>
                <w:szCs w:val="21"/>
                <w:lang w:val="en-US" w:eastAsia="zh-CN" w:bidi="ar"/>
              </w:rPr>
              <w:t>DB44 817-2010</w:t>
            </w:r>
            <w:r>
              <w:rPr>
                <w:rFonts w:hint="eastAsia" w:ascii="宋体" w:hAnsi="宋体" w:eastAsia="宋体" w:cs="宋体"/>
                <w:color w:val="000000"/>
                <w:kern w:val="0"/>
                <w:sz w:val="21"/>
                <w:szCs w:val="21"/>
                <w:lang w:val="en-US" w:eastAsia="zh-CN" w:bidi="ar"/>
              </w:rPr>
              <w:t>）表</w:t>
            </w:r>
            <w:r>
              <w:rPr>
                <w:rFonts w:hint="default" w:ascii="Times New Roman" w:hAnsi="Times New Roman" w:eastAsia="宋体" w:cs="Times New Roman"/>
                <w:color w:val="000000"/>
                <w:kern w:val="0"/>
                <w:sz w:val="21"/>
                <w:szCs w:val="21"/>
                <w:lang w:val="en-US" w:eastAsia="zh-CN" w:bidi="ar"/>
              </w:rPr>
              <w:t>1</w:t>
            </w:r>
            <w:r>
              <w:rPr>
                <w:rFonts w:hint="eastAsia" w:ascii="宋体" w:hAnsi="宋体" w:eastAsia="宋体" w:cs="宋体"/>
                <w:color w:val="000000"/>
                <w:kern w:val="0"/>
                <w:sz w:val="21"/>
                <w:szCs w:val="21"/>
                <w:lang w:val="en-US" w:eastAsia="zh-CN" w:bidi="ar"/>
              </w:rPr>
              <w:t>第</w:t>
            </w:r>
            <w:r>
              <w:rPr>
                <w:rFonts w:hint="default" w:ascii="Times New Roman" w:hAnsi="Times New Roman" w:eastAsia="宋体" w:cs="Times New Roman"/>
                <w:color w:val="000000"/>
                <w:kern w:val="0"/>
                <w:sz w:val="21"/>
                <w:szCs w:val="21"/>
                <w:lang w:val="en-US" w:eastAsia="zh-CN" w:bidi="ar"/>
              </w:rPr>
              <w:t>II</w:t>
            </w:r>
            <w:r>
              <w:rPr>
                <w:rFonts w:hint="eastAsia" w:ascii="宋体" w:hAnsi="宋体" w:eastAsia="宋体" w:cs="宋体"/>
                <w:color w:val="000000"/>
                <w:kern w:val="0"/>
                <w:sz w:val="21"/>
                <w:szCs w:val="21"/>
                <w:lang w:val="en-US" w:eastAsia="zh-CN" w:bidi="ar"/>
              </w:rPr>
              <w:t>时段排放限值要求与广东省地方标准《印刷行业挥发性有机</w:t>
            </w:r>
          </w:p>
          <w:p w14:paraId="71B126CE">
            <w:pPr>
              <w:keepNext w:val="0"/>
              <w:keepLines w:val="0"/>
              <w:widowControl/>
              <w:suppressLineNumbers w:val="0"/>
              <w:spacing w:before="0" w:beforeAutospacing="0" w:after="0" w:afterAutospacing="0"/>
              <w:ind w:left="0" w:right="0"/>
              <w:jc w:val="left"/>
              <w:rPr>
                <w:rFonts w:hint="default" w:ascii="Times New Roman" w:hAnsi="Times New Roman" w:eastAsia="宋体" w:cs="var(--dsw-font-markdown-table)"/>
                <w:b w:val="0"/>
                <w:bCs w:val="0"/>
                <w:kern w:val="0"/>
                <w:sz w:val="21"/>
                <w:szCs w:val="24"/>
                <w:lang w:val="en-US" w:eastAsia="zh-CN" w:bidi="ar"/>
              </w:rPr>
            </w:pPr>
            <w:r>
              <w:rPr>
                <w:rFonts w:hint="eastAsia" w:ascii="宋体" w:hAnsi="宋体" w:eastAsia="宋体" w:cs="宋体"/>
                <w:color w:val="000000"/>
                <w:kern w:val="0"/>
                <w:sz w:val="21"/>
                <w:szCs w:val="21"/>
                <w:lang w:val="en-US" w:eastAsia="zh-CN" w:bidi="ar"/>
              </w:rPr>
              <w:t>化合物排放标准》（</w:t>
            </w:r>
            <w:r>
              <w:rPr>
                <w:rFonts w:hint="default" w:ascii="Times New Roman" w:hAnsi="Times New Roman" w:eastAsia="宋体" w:cs="Times New Roman"/>
                <w:color w:val="000000"/>
                <w:kern w:val="0"/>
                <w:sz w:val="21"/>
                <w:szCs w:val="21"/>
                <w:lang w:val="en-US" w:eastAsia="zh-CN" w:bidi="ar"/>
              </w:rPr>
              <w:t>DB44/815-2010</w:t>
            </w:r>
            <w:r>
              <w:rPr>
                <w:rFonts w:hint="eastAsia" w:ascii="宋体" w:hAnsi="宋体" w:eastAsia="宋体" w:cs="宋体"/>
                <w:color w:val="000000"/>
                <w:kern w:val="0"/>
                <w:sz w:val="21"/>
                <w:szCs w:val="21"/>
                <w:lang w:val="en-US" w:eastAsia="zh-CN" w:bidi="ar"/>
              </w:rPr>
              <w:t>）表</w:t>
            </w:r>
            <w:r>
              <w:rPr>
                <w:rFonts w:hint="default" w:ascii="Times New Roman" w:hAnsi="Times New Roman" w:eastAsia="宋体" w:cs="Times New Roman"/>
                <w:color w:val="000000"/>
                <w:kern w:val="0"/>
                <w:sz w:val="21"/>
                <w:szCs w:val="21"/>
                <w:lang w:val="en-US" w:eastAsia="zh-CN" w:bidi="ar"/>
              </w:rPr>
              <w:t>2</w:t>
            </w:r>
            <w:r>
              <w:rPr>
                <w:rFonts w:hint="eastAsia" w:ascii="宋体" w:hAnsi="宋体" w:eastAsia="宋体" w:cs="宋体"/>
                <w:color w:val="000000"/>
                <w:kern w:val="0"/>
                <w:sz w:val="21"/>
                <w:szCs w:val="21"/>
                <w:lang w:val="en-US" w:eastAsia="zh-CN" w:bidi="ar"/>
              </w:rPr>
              <w:t>排气筒</w:t>
            </w:r>
            <w:r>
              <w:rPr>
                <w:rFonts w:hint="default" w:ascii="Times New Roman" w:hAnsi="Times New Roman" w:eastAsia="宋体" w:cs="Times New Roman"/>
                <w:color w:val="000000"/>
                <w:kern w:val="0"/>
                <w:sz w:val="21"/>
                <w:szCs w:val="21"/>
                <w:lang w:val="en-US" w:eastAsia="zh-CN" w:bidi="ar"/>
              </w:rPr>
              <w:t>VOCs</w:t>
            </w:r>
            <w:r>
              <w:rPr>
                <w:rFonts w:hint="eastAsia" w:ascii="宋体" w:hAnsi="宋体" w:eastAsia="宋体" w:cs="宋体"/>
                <w:color w:val="000000"/>
                <w:kern w:val="0"/>
                <w:sz w:val="21"/>
                <w:szCs w:val="21"/>
                <w:lang w:val="en-US" w:eastAsia="zh-CN" w:bidi="ar"/>
              </w:rPr>
              <w:t>排放限值（第</w:t>
            </w:r>
            <w:r>
              <w:rPr>
                <w:rFonts w:hint="default" w:ascii="新宋体" w:hAnsi="新宋体" w:eastAsia="新宋体" w:cs="新宋体"/>
                <w:color w:val="000000"/>
                <w:kern w:val="0"/>
                <w:sz w:val="21"/>
                <w:szCs w:val="21"/>
                <w:lang w:val="en-US" w:eastAsia="zh-CN" w:bidi="ar"/>
              </w:rPr>
              <w:t>Ⅱ</w:t>
            </w:r>
            <w:r>
              <w:rPr>
                <w:rFonts w:hint="eastAsia" w:ascii="宋体" w:hAnsi="宋体" w:eastAsia="宋体" w:cs="宋体"/>
                <w:color w:val="000000"/>
                <w:kern w:val="0"/>
                <w:sz w:val="21"/>
                <w:szCs w:val="21"/>
                <w:lang w:val="en-US" w:eastAsia="zh-CN" w:bidi="ar"/>
              </w:rPr>
              <w:t>时段）较严值</w:t>
            </w:r>
          </w:p>
        </w:tc>
      </w:tr>
      <w:tr w14:paraId="20A94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4EAEC7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Merge w:val="continue"/>
            <w:vAlign w:val="center"/>
          </w:tcPr>
          <w:p w14:paraId="5DC17F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cs="var(--dsw-font-markdown-table)"/>
                <w:b w:val="0"/>
                <w:bCs w:val="0"/>
                <w:color w:val="auto"/>
                <w:kern w:val="0"/>
                <w:sz w:val="21"/>
                <w:szCs w:val="24"/>
                <w:lang w:val="en-US" w:eastAsia="zh-CN" w:bidi="ar"/>
              </w:rPr>
            </w:pPr>
          </w:p>
        </w:tc>
        <w:tc>
          <w:tcPr>
            <w:tcW w:w="1748" w:type="dxa"/>
            <w:vAlign w:val="center"/>
          </w:tcPr>
          <w:p w14:paraId="5A7BFB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臭气浓度</w:t>
            </w:r>
          </w:p>
        </w:tc>
        <w:tc>
          <w:tcPr>
            <w:tcW w:w="2971" w:type="dxa"/>
            <w:vMerge w:val="continue"/>
            <w:vAlign w:val="center"/>
          </w:tcPr>
          <w:p w14:paraId="0C7DA7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b w:val="0"/>
                <w:bCs w:val="0"/>
                <w:color w:val="auto"/>
                <w:kern w:val="0"/>
                <w:sz w:val="21"/>
                <w:szCs w:val="24"/>
                <w:lang w:val="en-US" w:eastAsia="zh-CN" w:bidi="ar"/>
              </w:rPr>
            </w:pPr>
          </w:p>
        </w:tc>
        <w:tc>
          <w:tcPr>
            <w:tcW w:w="3930" w:type="dxa"/>
            <w:vAlign w:val="center"/>
          </w:tcPr>
          <w:p w14:paraId="2E81D45D">
            <w:pPr>
              <w:keepNext w:val="0"/>
              <w:keepLines w:val="0"/>
              <w:widowControl/>
              <w:suppressLineNumbers w:val="0"/>
              <w:spacing w:before="0" w:beforeAutospacing="0" w:after="0" w:afterAutospacing="0"/>
              <w:ind w:left="0" w:right="0"/>
              <w:jc w:val="left"/>
              <w:rPr>
                <w:rFonts w:hint="default" w:ascii="Times New Roman" w:hAnsi="Times New Roman" w:eastAsia="宋体" w:cs="var(--dsw-font-markdown-table)"/>
                <w:b w:val="0"/>
                <w:bCs w:val="0"/>
                <w:kern w:val="0"/>
                <w:sz w:val="21"/>
                <w:szCs w:val="24"/>
                <w:lang w:val="en-US" w:eastAsia="zh-CN" w:bidi="ar"/>
              </w:rPr>
            </w:pPr>
            <w:r>
              <w:rPr>
                <w:rFonts w:hint="eastAsia" w:ascii="宋体" w:hAnsi="宋体" w:eastAsia="宋体" w:cs="宋体"/>
                <w:color w:val="000000"/>
                <w:kern w:val="0"/>
                <w:sz w:val="21"/>
                <w:szCs w:val="21"/>
                <w:lang w:val="en-US" w:eastAsia="zh-CN" w:bidi="ar"/>
              </w:rPr>
              <w:t>《恶臭污染物排放标准》（</w:t>
            </w:r>
            <w:r>
              <w:rPr>
                <w:rFonts w:hint="default" w:ascii="Times New Roman" w:hAnsi="Times New Roman" w:eastAsia="宋体" w:cs="Times New Roman"/>
                <w:color w:val="000000"/>
                <w:kern w:val="0"/>
                <w:sz w:val="21"/>
                <w:szCs w:val="21"/>
                <w:lang w:val="en-US" w:eastAsia="zh-CN" w:bidi="ar"/>
              </w:rPr>
              <w:t>GB14554-93</w:t>
            </w:r>
            <w:r>
              <w:rPr>
                <w:rFonts w:hint="eastAsia" w:ascii="宋体" w:hAnsi="宋体" w:eastAsia="宋体" w:cs="宋体"/>
                <w:color w:val="000000"/>
                <w:kern w:val="0"/>
                <w:sz w:val="21"/>
                <w:szCs w:val="21"/>
                <w:lang w:val="en-US" w:eastAsia="zh-CN" w:bidi="ar"/>
              </w:rPr>
              <w:t>）表</w:t>
            </w:r>
            <w:r>
              <w:rPr>
                <w:rFonts w:hint="default" w:ascii="Times New Roman" w:hAnsi="Times New Roman" w:eastAsia="宋体" w:cs="Times New Roman"/>
                <w:color w:val="000000"/>
                <w:kern w:val="0"/>
                <w:sz w:val="21"/>
                <w:szCs w:val="21"/>
                <w:lang w:val="en-US" w:eastAsia="zh-CN" w:bidi="ar"/>
              </w:rPr>
              <w:t>2</w:t>
            </w:r>
            <w:r>
              <w:rPr>
                <w:rFonts w:hint="eastAsia" w:ascii="宋体" w:hAnsi="宋体" w:eastAsia="宋体" w:cs="宋体"/>
                <w:color w:val="000000"/>
                <w:kern w:val="0"/>
                <w:sz w:val="21"/>
                <w:szCs w:val="21"/>
                <w:lang w:val="en-US" w:eastAsia="zh-CN" w:bidi="ar"/>
              </w:rPr>
              <w:t>恶臭污染物排放标准值</w:t>
            </w:r>
          </w:p>
        </w:tc>
      </w:tr>
      <w:tr w14:paraId="35CA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0A49A3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Merge w:val="restart"/>
            <w:vAlign w:val="center"/>
          </w:tcPr>
          <w:p w14:paraId="4B08F2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鞋面制造工序无组织排放（激光切割、丝印、热转印/高频/热压/熔断/烫布标）</w:t>
            </w:r>
          </w:p>
        </w:tc>
        <w:tc>
          <w:tcPr>
            <w:tcW w:w="1748" w:type="dxa"/>
            <w:vAlign w:val="center"/>
          </w:tcPr>
          <w:p w14:paraId="11D5F9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非甲烷总烃</w:t>
            </w:r>
          </w:p>
        </w:tc>
        <w:tc>
          <w:tcPr>
            <w:tcW w:w="2971" w:type="dxa"/>
            <w:vMerge w:val="restart"/>
            <w:vAlign w:val="center"/>
          </w:tcPr>
          <w:p w14:paraId="08879B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加强车间通风换气，无组织排放</w:t>
            </w:r>
          </w:p>
        </w:tc>
        <w:tc>
          <w:tcPr>
            <w:tcW w:w="3930" w:type="dxa"/>
            <w:vAlign w:val="center"/>
          </w:tcPr>
          <w:p w14:paraId="56BEFF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《印刷工业大气污染物排放标准》（GB41616</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2022）与广东省《固定污染源挥发性有机物综合排放标准》（DB44/2367</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2022）较严者</w:t>
            </w:r>
          </w:p>
        </w:tc>
      </w:tr>
      <w:tr w14:paraId="3F239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3EF85C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Merge w:val="continue"/>
            <w:vAlign w:val="center"/>
          </w:tcPr>
          <w:p w14:paraId="0771BD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748" w:type="dxa"/>
            <w:vAlign w:val="center"/>
          </w:tcPr>
          <w:p w14:paraId="072B44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颗粒物</w:t>
            </w:r>
          </w:p>
        </w:tc>
        <w:tc>
          <w:tcPr>
            <w:tcW w:w="2971" w:type="dxa"/>
            <w:vMerge w:val="continue"/>
            <w:vAlign w:val="center"/>
          </w:tcPr>
          <w:p w14:paraId="79929E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3930" w:type="dxa"/>
            <w:vAlign w:val="center"/>
          </w:tcPr>
          <w:p w14:paraId="419D15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广东省《大气污染物排放限值》（DB44/27</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2001）第二时段无组织排放监控浓度限值</w:t>
            </w:r>
          </w:p>
        </w:tc>
      </w:tr>
      <w:tr w14:paraId="25989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698" w:type="dxa"/>
            <w:vMerge w:val="continue"/>
            <w:vAlign w:val="center"/>
          </w:tcPr>
          <w:p w14:paraId="29DC44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Merge w:val="continue"/>
            <w:vAlign w:val="center"/>
          </w:tcPr>
          <w:p w14:paraId="08DF26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748" w:type="dxa"/>
            <w:vAlign w:val="center"/>
          </w:tcPr>
          <w:p w14:paraId="16A247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总VOCs</w:t>
            </w:r>
          </w:p>
        </w:tc>
        <w:tc>
          <w:tcPr>
            <w:tcW w:w="2971" w:type="dxa"/>
            <w:vMerge w:val="continue"/>
            <w:vAlign w:val="center"/>
          </w:tcPr>
          <w:p w14:paraId="27A27E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3930" w:type="dxa"/>
            <w:vAlign w:val="center"/>
          </w:tcPr>
          <w:p w14:paraId="33B41D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kern w:val="0"/>
                <w:sz w:val="21"/>
                <w:szCs w:val="24"/>
                <w:lang w:val="en-US" w:eastAsia="zh-CN" w:bidi="ar"/>
              </w:rPr>
              <w:t>广东省《制鞋行业挥发性有机化合物排放标准》（DB44/817</w:t>
            </w:r>
            <w:r>
              <w:rPr>
                <w:rFonts w:hint="eastAsia" w:ascii="Times New Roman" w:hAnsi="Times New Roman" w:eastAsia="宋体" w:cs="var(--dsw-font-markdown-table)"/>
                <w:b w:val="0"/>
                <w:bCs w:val="0"/>
                <w:kern w:val="0"/>
                <w:sz w:val="21"/>
                <w:szCs w:val="24"/>
                <w:lang w:val="en-US" w:eastAsia="zh-CN" w:bidi="ar"/>
              </w:rPr>
              <w:t>-</w:t>
            </w:r>
            <w:r>
              <w:rPr>
                <w:rFonts w:hint="default" w:ascii="Times New Roman" w:hAnsi="Times New Roman" w:eastAsia="宋体" w:cs="var(--dsw-font-markdown-table)"/>
                <w:b w:val="0"/>
                <w:bCs w:val="0"/>
                <w:kern w:val="0"/>
                <w:sz w:val="21"/>
                <w:szCs w:val="24"/>
                <w:lang w:val="en-US" w:eastAsia="zh-CN" w:bidi="ar"/>
              </w:rPr>
              <w:t>2010）表2无组织排放监控点浓度限值</w:t>
            </w:r>
            <w:r>
              <w:rPr>
                <w:rFonts w:hint="eastAsia" w:ascii="宋体" w:hAnsi="宋体" w:eastAsia="宋体" w:cs="宋体"/>
                <w:b w:val="0"/>
                <w:bCs w:val="0"/>
                <w:color w:val="auto"/>
                <w:kern w:val="0"/>
                <w:sz w:val="21"/>
                <w:szCs w:val="21"/>
                <w:lang w:val="en-US" w:eastAsia="zh-CN" w:bidi="ar"/>
              </w:rPr>
              <w:t>与广东省地方标准《印刷行业挥发性有机化合物排放标准》（</w:t>
            </w:r>
            <w:r>
              <w:rPr>
                <w:rFonts w:hint="default" w:ascii="Times New Roman" w:hAnsi="Times New Roman" w:eastAsia="宋体" w:cs="Times New Roman"/>
                <w:b w:val="0"/>
                <w:bCs w:val="0"/>
                <w:color w:val="auto"/>
                <w:kern w:val="0"/>
                <w:sz w:val="21"/>
                <w:szCs w:val="21"/>
                <w:lang w:val="en-US" w:eastAsia="zh-CN" w:bidi="ar"/>
              </w:rPr>
              <w:t>DB44/815</w:t>
            </w:r>
            <w:r>
              <w:rPr>
                <w:rFonts w:hint="eastAsia" w:ascii="Times New Roman" w:hAnsi="Times New Roman" w:eastAsia="宋体" w:cs="Times New Roman"/>
                <w:b w:val="0"/>
                <w:bCs w:val="0"/>
                <w:color w:val="auto"/>
                <w:kern w:val="0"/>
                <w:sz w:val="21"/>
                <w:szCs w:val="21"/>
                <w:lang w:val="en-US" w:eastAsia="zh-CN" w:bidi="ar"/>
              </w:rPr>
              <w:t>-</w:t>
            </w:r>
            <w:r>
              <w:rPr>
                <w:rFonts w:hint="default" w:ascii="Times New Roman" w:hAnsi="Times New Roman" w:eastAsia="宋体" w:cs="Times New Roman"/>
                <w:b w:val="0"/>
                <w:bCs w:val="0"/>
                <w:color w:val="auto"/>
                <w:kern w:val="0"/>
                <w:sz w:val="21"/>
                <w:szCs w:val="21"/>
                <w:lang w:val="en-US" w:eastAsia="zh-CN" w:bidi="ar"/>
              </w:rPr>
              <w:t>2010</w:t>
            </w:r>
            <w:r>
              <w:rPr>
                <w:rFonts w:hint="eastAsia" w:ascii="宋体" w:hAnsi="宋体" w:eastAsia="宋体" w:cs="宋体"/>
                <w:b w:val="0"/>
                <w:bCs w:val="0"/>
                <w:color w:val="auto"/>
                <w:kern w:val="0"/>
                <w:sz w:val="21"/>
                <w:szCs w:val="21"/>
                <w:lang w:val="en-US" w:eastAsia="zh-CN" w:bidi="ar"/>
              </w:rPr>
              <w:t>）表</w:t>
            </w:r>
            <w:r>
              <w:rPr>
                <w:rFonts w:hint="default" w:ascii="Times New Roman" w:hAnsi="Times New Roman" w:eastAsia="宋体" w:cs="Times New Roman"/>
                <w:b w:val="0"/>
                <w:bCs w:val="0"/>
                <w:color w:val="auto"/>
                <w:kern w:val="0"/>
                <w:sz w:val="21"/>
                <w:szCs w:val="21"/>
                <w:lang w:val="en-US" w:eastAsia="zh-CN" w:bidi="ar"/>
              </w:rPr>
              <w:t>3</w:t>
            </w:r>
            <w:r>
              <w:rPr>
                <w:rFonts w:hint="eastAsia" w:ascii="宋体" w:hAnsi="宋体" w:eastAsia="宋体" w:cs="宋体"/>
                <w:b w:val="0"/>
                <w:bCs w:val="0"/>
                <w:color w:val="auto"/>
                <w:kern w:val="0"/>
                <w:sz w:val="21"/>
                <w:szCs w:val="21"/>
                <w:lang w:val="en-US" w:eastAsia="zh-CN" w:bidi="ar"/>
              </w:rPr>
              <w:t>无组织排放监控点浓度</w:t>
            </w:r>
            <w:r>
              <w:rPr>
                <w:rFonts w:hint="eastAsia" w:ascii="Times New Roman" w:hAnsi="Times New Roman" w:eastAsia="宋体" w:cs="Segoe UI"/>
                <w:b w:val="0"/>
                <w:bCs w:val="0"/>
                <w:i w:val="0"/>
                <w:iCs w:val="0"/>
                <w:caps w:val="0"/>
                <w:color w:val="auto"/>
                <w:spacing w:val="0"/>
                <w:sz w:val="21"/>
                <w:szCs w:val="24"/>
                <w:shd w:val="clear" w:fill="FFFFFF"/>
                <w:lang w:val="en-US" w:eastAsia="zh-CN"/>
              </w:rPr>
              <w:t>较严值</w:t>
            </w:r>
          </w:p>
        </w:tc>
      </w:tr>
      <w:tr w14:paraId="63A43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98" w:type="dxa"/>
            <w:vMerge w:val="continue"/>
            <w:vAlign w:val="center"/>
          </w:tcPr>
          <w:p w14:paraId="08FF92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Merge w:val="continue"/>
            <w:vAlign w:val="center"/>
          </w:tcPr>
          <w:p w14:paraId="1F226B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748" w:type="dxa"/>
            <w:vAlign w:val="center"/>
          </w:tcPr>
          <w:p w14:paraId="3FD95F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臭气浓度</w:t>
            </w:r>
          </w:p>
        </w:tc>
        <w:tc>
          <w:tcPr>
            <w:tcW w:w="2971" w:type="dxa"/>
            <w:vMerge w:val="continue"/>
            <w:vAlign w:val="center"/>
          </w:tcPr>
          <w:p w14:paraId="399C68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3930" w:type="dxa"/>
            <w:vAlign w:val="center"/>
          </w:tcPr>
          <w:p w14:paraId="254336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《恶臭污染物排放标准》（GB14554</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93）表1恶臭污染物厂界标准值</w:t>
            </w:r>
          </w:p>
        </w:tc>
      </w:tr>
      <w:tr w14:paraId="5C910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002057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Merge w:val="restart"/>
            <w:vAlign w:val="center"/>
          </w:tcPr>
          <w:p w14:paraId="4D049B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成品组装工序无组织排放（补胶、打粗、加热定型）</w:t>
            </w:r>
          </w:p>
        </w:tc>
        <w:tc>
          <w:tcPr>
            <w:tcW w:w="1748" w:type="dxa"/>
            <w:vAlign w:val="center"/>
          </w:tcPr>
          <w:p w14:paraId="392757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非甲烷总烃</w:t>
            </w:r>
          </w:p>
        </w:tc>
        <w:tc>
          <w:tcPr>
            <w:tcW w:w="2971" w:type="dxa"/>
            <w:vMerge w:val="restart"/>
            <w:vAlign w:val="center"/>
          </w:tcPr>
          <w:p w14:paraId="0AAC28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加强车间通风换气，无组织排放</w:t>
            </w:r>
          </w:p>
        </w:tc>
        <w:tc>
          <w:tcPr>
            <w:tcW w:w="3930" w:type="dxa"/>
            <w:vAlign w:val="center"/>
          </w:tcPr>
          <w:p w14:paraId="3FD697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广东省《制鞋行业挥发性有机化合物排放标准》（DB44/817</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2010）表2无组织排放监控点浓度限值</w:t>
            </w:r>
          </w:p>
        </w:tc>
      </w:tr>
      <w:tr w14:paraId="724F6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2B2B8B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Merge w:val="continue"/>
            <w:vAlign w:val="center"/>
          </w:tcPr>
          <w:p w14:paraId="2CB91B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p>
        </w:tc>
        <w:tc>
          <w:tcPr>
            <w:tcW w:w="1748" w:type="dxa"/>
            <w:vAlign w:val="center"/>
          </w:tcPr>
          <w:p w14:paraId="409CFD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总VOCs</w:t>
            </w:r>
          </w:p>
        </w:tc>
        <w:tc>
          <w:tcPr>
            <w:tcW w:w="2971" w:type="dxa"/>
            <w:vMerge w:val="continue"/>
            <w:vAlign w:val="center"/>
          </w:tcPr>
          <w:p w14:paraId="4CB83C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p>
        </w:tc>
        <w:tc>
          <w:tcPr>
            <w:tcW w:w="3930" w:type="dxa"/>
            <w:vAlign w:val="center"/>
          </w:tcPr>
          <w:p w14:paraId="2227F5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kern w:val="0"/>
                <w:sz w:val="21"/>
                <w:szCs w:val="24"/>
                <w:lang w:val="en-US" w:eastAsia="zh-CN" w:bidi="ar"/>
              </w:rPr>
              <w:t>广东省《制鞋行业挥发性有机化合物排放标准》（DB44/817</w:t>
            </w:r>
            <w:r>
              <w:rPr>
                <w:rFonts w:hint="eastAsia" w:ascii="Times New Roman" w:hAnsi="Times New Roman" w:eastAsia="宋体" w:cs="var(--dsw-font-markdown-table)"/>
                <w:b w:val="0"/>
                <w:bCs w:val="0"/>
                <w:kern w:val="0"/>
                <w:sz w:val="21"/>
                <w:szCs w:val="24"/>
                <w:lang w:val="en-US" w:eastAsia="zh-CN" w:bidi="ar"/>
              </w:rPr>
              <w:t>-</w:t>
            </w:r>
            <w:r>
              <w:rPr>
                <w:rFonts w:hint="default" w:ascii="Times New Roman" w:hAnsi="Times New Roman" w:eastAsia="宋体" w:cs="var(--dsw-font-markdown-table)"/>
                <w:b w:val="0"/>
                <w:bCs w:val="0"/>
                <w:kern w:val="0"/>
                <w:sz w:val="21"/>
                <w:szCs w:val="24"/>
                <w:lang w:val="en-US" w:eastAsia="zh-CN" w:bidi="ar"/>
              </w:rPr>
              <w:t>2010）表2无组织排放监控点浓度限值</w:t>
            </w:r>
          </w:p>
        </w:tc>
      </w:tr>
      <w:tr w14:paraId="6F31D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5F4078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Merge w:val="continue"/>
            <w:vAlign w:val="center"/>
          </w:tcPr>
          <w:p w14:paraId="1A62EB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p>
        </w:tc>
        <w:tc>
          <w:tcPr>
            <w:tcW w:w="1748" w:type="dxa"/>
            <w:vAlign w:val="center"/>
          </w:tcPr>
          <w:p w14:paraId="6740E9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颗粒物</w:t>
            </w:r>
          </w:p>
        </w:tc>
        <w:tc>
          <w:tcPr>
            <w:tcW w:w="2971" w:type="dxa"/>
            <w:vMerge w:val="continue"/>
            <w:vAlign w:val="center"/>
          </w:tcPr>
          <w:p w14:paraId="61157F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p>
        </w:tc>
        <w:tc>
          <w:tcPr>
            <w:tcW w:w="3930" w:type="dxa"/>
            <w:vAlign w:val="center"/>
          </w:tcPr>
          <w:p w14:paraId="419632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Segoe UI"/>
                <w:b w:val="0"/>
                <w:bCs w:val="0"/>
                <w:i w:val="0"/>
                <w:iCs w:val="0"/>
                <w:caps w:val="0"/>
                <w:color w:val="auto"/>
                <w:spacing w:val="0"/>
                <w:sz w:val="21"/>
                <w:szCs w:val="24"/>
                <w:shd w:val="clear" w:fill="FFFFFF"/>
                <w:lang w:val="en-US" w:eastAsia="zh-CN"/>
              </w:rPr>
              <w:t>《合成树脂工业污染物排放标准》（GB31572</w:t>
            </w:r>
            <w:r>
              <w:rPr>
                <w:rFonts w:hint="eastAsia" w:cs="Segoe UI"/>
                <w:b w:val="0"/>
                <w:bCs w:val="0"/>
                <w:i w:val="0"/>
                <w:iCs w:val="0"/>
                <w:caps w:val="0"/>
                <w:color w:val="auto"/>
                <w:spacing w:val="0"/>
                <w:sz w:val="21"/>
                <w:szCs w:val="24"/>
                <w:shd w:val="clear" w:fill="FFFFFF"/>
                <w:lang w:val="en-US" w:eastAsia="zh-CN"/>
              </w:rPr>
              <w:t>-</w:t>
            </w:r>
            <w:r>
              <w:rPr>
                <w:rFonts w:hint="default" w:ascii="Times New Roman" w:hAnsi="Times New Roman" w:eastAsia="宋体" w:cs="Segoe UI"/>
                <w:b w:val="0"/>
                <w:bCs w:val="0"/>
                <w:i w:val="0"/>
                <w:iCs w:val="0"/>
                <w:caps w:val="0"/>
                <w:color w:val="auto"/>
                <w:spacing w:val="0"/>
                <w:sz w:val="21"/>
                <w:szCs w:val="24"/>
                <w:shd w:val="clear" w:fill="FFFFFF"/>
                <w:lang w:val="en-US" w:eastAsia="zh-CN"/>
              </w:rPr>
              <w:t>2015）表</w:t>
            </w:r>
            <w:r>
              <w:rPr>
                <w:rFonts w:hint="eastAsia" w:cs="Segoe UI"/>
                <w:b w:val="0"/>
                <w:bCs w:val="0"/>
                <w:i w:val="0"/>
                <w:iCs w:val="0"/>
                <w:caps w:val="0"/>
                <w:color w:val="auto"/>
                <w:spacing w:val="0"/>
                <w:sz w:val="21"/>
                <w:szCs w:val="24"/>
                <w:shd w:val="clear" w:fill="FFFFFF"/>
                <w:lang w:val="en-US" w:eastAsia="zh-CN"/>
              </w:rPr>
              <w:t>9</w:t>
            </w:r>
            <w:r>
              <w:rPr>
                <w:rFonts w:hint="default" w:ascii="Times New Roman" w:hAnsi="Times New Roman" w:eastAsia="宋体" w:cs="Segoe UI"/>
                <w:b w:val="0"/>
                <w:bCs w:val="0"/>
                <w:i w:val="0"/>
                <w:iCs w:val="0"/>
                <w:caps w:val="0"/>
                <w:color w:val="auto"/>
                <w:spacing w:val="0"/>
                <w:sz w:val="21"/>
                <w:szCs w:val="24"/>
                <w:shd w:val="clear" w:fill="FFFFFF"/>
                <w:lang w:val="en-US" w:eastAsia="zh-CN"/>
              </w:rPr>
              <w:t>限值</w:t>
            </w:r>
          </w:p>
        </w:tc>
      </w:tr>
      <w:tr w14:paraId="72C65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665DE2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Merge w:val="continue"/>
            <w:vAlign w:val="center"/>
          </w:tcPr>
          <w:p w14:paraId="5FA7B6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p>
        </w:tc>
        <w:tc>
          <w:tcPr>
            <w:tcW w:w="1748" w:type="dxa"/>
            <w:vAlign w:val="center"/>
          </w:tcPr>
          <w:p w14:paraId="0B7344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臭气浓度</w:t>
            </w:r>
          </w:p>
        </w:tc>
        <w:tc>
          <w:tcPr>
            <w:tcW w:w="2971" w:type="dxa"/>
            <w:vMerge w:val="continue"/>
            <w:vAlign w:val="center"/>
          </w:tcPr>
          <w:p w14:paraId="5CEB75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p>
        </w:tc>
        <w:tc>
          <w:tcPr>
            <w:tcW w:w="3930" w:type="dxa"/>
            <w:vAlign w:val="center"/>
          </w:tcPr>
          <w:p w14:paraId="060CF4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《恶臭污染物排放标准》（GB14554</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93）表1恶臭污染物厂界标准值</w:t>
            </w:r>
          </w:p>
        </w:tc>
      </w:tr>
      <w:tr w14:paraId="46133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732396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Merge w:val="restart"/>
            <w:vAlign w:val="center"/>
          </w:tcPr>
          <w:p w14:paraId="7E7EAC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厂界无组织废气</w:t>
            </w:r>
          </w:p>
        </w:tc>
        <w:tc>
          <w:tcPr>
            <w:tcW w:w="1748" w:type="dxa"/>
            <w:vAlign w:val="center"/>
          </w:tcPr>
          <w:p w14:paraId="504BFA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非甲烷总烃</w:t>
            </w:r>
          </w:p>
        </w:tc>
        <w:tc>
          <w:tcPr>
            <w:tcW w:w="2971" w:type="dxa"/>
            <w:vMerge w:val="restart"/>
            <w:vAlign w:val="center"/>
          </w:tcPr>
          <w:p w14:paraId="778BFB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加强车间通风换气，无组织排放</w:t>
            </w:r>
          </w:p>
        </w:tc>
        <w:tc>
          <w:tcPr>
            <w:tcW w:w="3930" w:type="dxa"/>
            <w:vAlign w:val="center"/>
          </w:tcPr>
          <w:p w14:paraId="74B88BB0">
            <w:pPr>
              <w:keepNext w:val="0"/>
              <w:keepLines w:val="0"/>
              <w:widowControl/>
              <w:suppressLineNumbers w:val="0"/>
              <w:spacing w:before="0" w:beforeAutospacing="0" w:after="0" w:afterAutospacing="0"/>
              <w:ind w:left="0" w:leftChars="0" w:right="0" w:rightChars="0"/>
              <w:jc w:val="left"/>
              <w:rPr>
                <w:rFonts w:hint="default"/>
                <w:b w:val="0"/>
                <w:bCs w:val="0"/>
                <w:color w:val="auto"/>
                <w:vertAlign w:val="baseline"/>
              </w:rPr>
            </w:pPr>
            <w:r>
              <w:rPr>
                <w:rFonts w:hint="default" w:ascii="Times New Roman" w:hAnsi="Times New Roman" w:eastAsia="宋体" w:cs="var(--dsw-font-markdown-table)"/>
                <w:b w:val="0"/>
                <w:bCs w:val="0"/>
                <w:kern w:val="0"/>
                <w:sz w:val="21"/>
                <w:szCs w:val="24"/>
                <w:lang w:val="en-US" w:eastAsia="zh-CN" w:bidi="ar"/>
              </w:rPr>
              <w:t>《合成树脂工业污染物排放标准》（GB31572</w:t>
            </w:r>
            <w:r>
              <w:rPr>
                <w:rFonts w:hint="eastAsia" w:ascii="Times New Roman" w:hAnsi="Times New Roman" w:eastAsia="宋体" w:cs="var(--dsw-font-markdown-table)"/>
                <w:b w:val="0"/>
                <w:bCs w:val="0"/>
                <w:kern w:val="0"/>
                <w:sz w:val="21"/>
                <w:szCs w:val="24"/>
                <w:lang w:val="en-US" w:eastAsia="zh-CN" w:bidi="ar"/>
              </w:rPr>
              <w:t>-</w:t>
            </w:r>
            <w:r>
              <w:rPr>
                <w:rFonts w:hint="default" w:ascii="Times New Roman" w:hAnsi="Times New Roman" w:eastAsia="宋体" w:cs="var(--dsw-font-markdown-table)"/>
                <w:b w:val="0"/>
                <w:bCs w:val="0"/>
                <w:kern w:val="0"/>
                <w:sz w:val="21"/>
                <w:szCs w:val="24"/>
                <w:lang w:val="en-US" w:eastAsia="zh-CN" w:bidi="ar"/>
              </w:rPr>
              <w:t>2015）及其修改单中表9企业边界大气污染物浓度限值与广东省地方标准《大气污染物排放限值》（DB44/27</w:t>
            </w:r>
            <w:r>
              <w:rPr>
                <w:rFonts w:hint="eastAsia" w:ascii="Times New Roman" w:hAnsi="Times New Roman" w:eastAsia="宋体" w:cs="var(--dsw-font-markdown-table)"/>
                <w:b w:val="0"/>
                <w:bCs w:val="0"/>
                <w:kern w:val="0"/>
                <w:sz w:val="21"/>
                <w:szCs w:val="24"/>
                <w:lang w:val="en-US" w:eastAsia="zh-CN" w:bidi="ar"/>
              </w:rPr>
              <w:t>-</w:t>
            </w:r>
            <w:r>
              <w:rPr>
                <w:rFonts w:hint="default" w:ascii="Times New Roman" w:hAnsi="Times New Roman" w:eastAsia="宋体" w:cs="var(--dsw-font-markdown-table)"/>
                <w:b w:val="0"/>
                <w:bCs w:val="0"/>
                <w:kern w:val="0"/>
                <w:sz w:val="21"/>
                <w:szCs w:val="24"/>
                <w:lang w:val="en-US" w:eastAsia="zh-CN" w:bidi="ar"/>
              </w:rPr>
              <w:t>2001）第二时段无组织排放监控浓度限值较严者</w:t>
            </w:r>
          </w:p>
        </w:tc>
      </w:tr>
      <w:tr w14:paraId="684D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23A151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Merge w:val="continue"/>
            <w:vAlign w:val="center"/>
          </w:tcPr>
          <w:p w14:paraId="6DA02E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748" w:type="dxa"/>
            <w:vAlign w:val="center"/>
          </w:tcPr>
          <w:p w14:paraId="3BF541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颗粒物</w:t>
            </w:r>
          </w:p>
        </w:tc>
        <w:tc>
          <w:tcPr>
            <w:tcW w:w="2971" w:type="dxa"/>
            <w:vMerge w:val="continue"/>
            <w:vAlign w:val="center"/>
          </w:tcPr>
          <w:p w14:paraId="240484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3930" w:type="dxa"/>
            <w:vAlign w:val="center"/>
          </w:tcPr>
          <w:p w14:paraId="6F26DA15">
            <w:pPr>
              <w:keepNext w:val="0"/>
              <w:keepLines w:val="0"/>
              <w:widowControl/>
              <w:suppressLineNumbers w:val="0"/>
              <w:spacing w:before="0" w:beforeAutospacing="0" w:after="0" w:afterAutospacing="0"/>
              <w:ind w:left="0" w:leftChars="0" w:right="0" w:rightChars="0"/>
              <w:jc w:val="left"/>
              <w:rPr>
                <w:rFonts w:hint="default"/>
                <w:b w:val="0"/>
                <w:bCs w:val="0"/>
                <w:color w:val="auto"/>
                <w:vertAlign w:val="baseline"/>
              </w:rPr>
            </w:pPr>
            <w:r>
              <w:rPr>
                <w:rFonts w:hint="default" w:ascii="Times New Roman" w:hAnsi="Times New Roman" w:eastAsia="宋体" w:cs="var(--dsw-font-markdown-table)"/>
                <w:b w:val="0"/>
                <w:bCs w:val="0"/>
                <w:kern w:val="0"/>
                <w:sz w:val="21"/>
                <w:szCs w:val="24"/>
                <w:lang w:val="en-US" w:eastAsia="zh-CN" w:bidi="ar"/>
              </w:rPr>
              <w:t>广东省地方标准《大气污染物排放限值》（DB44/27</w:t>
            </w:r>
            <w:r>
              <w:rPr>
                <w:rFonts w:hint="eastAsia" w:ascii="Times New Roman" w:hAnsi="Times New Roman" w:eastAsia="宋体" w:cs="var(--dsw-font-markdown-table)"/>
                <w:b w:val="0"/>
                <w:bCs w:val="0"/>
                <w:kern w:val="0"/>
                <w:sz w:val="21"/>
                <w:szCs w:val="24"/>
                <w:lang w:val="en-US" w:eastAsia="zh-CN" w:bidi="ar"/>
              </w:rPr>
              <w:t>-</w:t>
            </w:r>
            <w:r>
              <w:rPr>
                <w:rFonts w:hint="default" w:ascii="Times New Roman" w:hAnsi="Times New Roman" w:eastAsia="宋体" w:cs="var(--dsw-font-markdown-table)"/>
                <w:b w:val="0"/>
                <w:bCs w:val="0"/>
                <w:kern w:val="0"/>
                <w:sz w:val="21"/>
                <w:szCs w:val="24"/>
                <w:lang w:val="en-US" w:eastAsia="zh-CN" w:bidi="ar"/>
              </w:rPr>
              <w:t>2001）第二时段无组织排放监控浓度限值与《合成树脂工业污染物排放标准》（GB31572</w:t>
            </w:r>
            <w:r>
              <w:rPr>
                <w:rFonts w:hint="eastAsia" w:ascii="Times New Roman" w:hAnsi="Times New Roman" w:eastAsia="宋体" w:cs="var(--dsw-font-markdown-table)"/>
                <w:b w:val="0"/>
                <w:bCs w:val="0"/>
                <w:kern w:val="0"/>
                <w:sz w:val="21"/>
                <w:szCs w:val="24"/>
                <w:lang w:val="en-US" w:eastAsia="zh-CN" w:bidi="ar"/>
              </w:rPr>
              <w:t>-</w:t>
            </w:r>
            <w:r>
              <w:rPr>
                <w:rFonts w:hint="default" w:ascii="Times New Roman" w:hAnsi="Times New Roman" w:eastAsia="宋体" w:cs="var(--dsw-font-markdown-table)"/>
                <w:b w:val="0"/>
                <w:bCs w:val="0"/>
                <w:kern w:val="0"/>
                <w:sz w:val="21"/>
                <w:szCs w:val="24"/>
                <w:lang w:val="en-US" w:eastAsia="zh-CN" w:bidi="ar"/>
              </w:rPr>
              <w:t>2015）及其修改单表9限值较严者</w:t>
            </w:r>
          </w:p>
        </w:tc>
      </w:tr>
      <w:tr w14:paraId="39713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0758BF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Merge w:val="continue"/>
            <w:vAlign w:val="center"/>
          </w:tcPr>
          <w:p w14:paraId="6CA284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748" w:type="dxa"/>
            <w:vAlign w:val="center"/>
          </w:tcPr>
          <w:p w14:paraId="5D071D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总VOCs</w:t>
            </w:r>
          </w:p>
        </w:tc>
        <w:tc>
          <w:tcPr>
            <w:tcW w:w="2971" w:type="dxa"/>
            <w:vMerge w:val="continue"/>
            <w:vAlign w:val="center"/>
          </w:tcPr>
          <w:p w14:paraId="6FABB4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3930" w:type="dxa"/>
            <w:vAlign w:val="center"/>
          </w:tcPr>
          <w:p w14:paraId="49745386">
            <w:pPr>
              <w:keepNext w:val="0"/>
              <w:keepLines w:val="0"/>
              <w:widowControl/>
              <w:suppressLineNumbers w:val="0"/>
              <w:spacing w:before="0" w:beforeAutospacing="0" w:after="0" w:afterAutospacing="0"/>
              <w:ind w:left="0" w:leftChars="0" w:right="0" w:rightChars="0"/>
              <w:jc w:val="left"/>
              <w:rPr>
                <w:rFonts w:hint="default"/>
                <w:b w:val="0"/>
                <w:bCs w:val="0"/>
                <w:color w:val="auto"/>
                <w:vertAlign w:val="baseline"/>
                <w:lang w:val="en-US"/>
              </w:rPr>
            </w:pPr>
            <w:r>
              <w:rPr>
                <w:rFonts w:hint="default" w:ascii="Times New Roman" w:hAnsi="Times New Roman" w:eastAsia="宋体" w:cs="var(--dsw-font-markdown-table)"/>
                <w:b w:val="0"/>
                <w:bCs w:val="0"/>
                <w:kern w:val="0"/>
                <w:sz w:val="21"/>
                <w:szCs w:val="24"/>
                <w:lang w:val="en-US" w:eastAsia="zh-CN" w:bidi="ar"/>
              </w:rPr>
              <w:t>广东省《制鞋行业挥发性有机化合物排放标准》（DB44/817</w:t>
            </w:r>
            <w:r>
              <w:rPr>
                <w:rFonts w:hint="eastAsia" w:ascii="Times New Roman" w:hAnsi="Times New Roman" w:eastAsia="宋体" w:cs="var(--dsw-font-markdown-table)"/>
                <w:b w:val="0"/>
                <w:bCs w:val="0"/>
                <w:kern w:val="0"/>
                <w:sz w:val="21"/>
                <w:szCs w:val="24"/>
                <w:lang w:val="en-US" w:eastAsia="zh-CN" w:bidi="ar"/>
              </w:rPr>
              <w:t>-</w:t>
            </w:r>
            <w:r>
              <w:rPr>
                <w:rFonts w:hint="default" w:ascii="Times New Roman" w:hAnsi="Times New Roman" w:eastAsia="宋体" w:cs="var(--dsw-font-markdown-table)"/>
                <w:b w:val="0"/>
                <w:bCs w:val="0"/>
                <w:kern w:val="0"/>
                <w:sz w:val="21"/>
                <w:szCs w:val="24"/>
                <w:lang w:val="en-US" w:eastAsia="zh-CN" w:bidi="ar"/>
              </w:rPr>
              <w:t>2010）表2无组织排放监控点浓度限值</w:t>
            </w:r>
            <w:r>
              <w:rPr>
                <w:rFonts w:hint="eastAsia" w:ascii="宋体" w:hAnsi="宋体" w:eastAsia="宋体" w:cs="宋体"/>
                <w:b w:val="0"/>
                <w:bCs w:val="0"/>
                <w:color w:val="auto"/>
                <w:kern w:val="0"/>
                <w:sz w:val="21"/>
                <w:szCs w:val="21"/>
                <w:lang w:val="en-US" w:eastAsia="zh-CN" w:bidi="ar"/>
              </w:rPr>
              <w:t>与广东省地方标准《印刷行业挥发性有机化合物排放标准》（</w:t>
            </w:r>
            <w:r>
              <w:rPr>
                <w:rFonts w:hint="default" w:ascii="Times New Roman" w:hAnsi="Times New Roman" w:eastAsia="宋体" w:cs="Times New Roman"/>
                <w:b w:val="0"/>
                <w:bCs w:val="0"/>
                <w:color w:val="auto"/>
                <w:kern w:val="0"/>
                <w:sz w:val="21"/>
                <w:szCs w:val="21"/>
                <w:lang w:val="en-US" w:eastAsia="zh-CN" w:bidi="ar"/>
              </w:rPr>
              <w:t>DB44/815</w:t>
            </w:r>
            <w:r>
              <w:rPr>
                <w:rFonts w:hint="eastAsia" w:ascii="Times New Roman" w:hAnsi="Times New Roman" w:eastAsia="宋体" w:cs="Times New Roman"/>
                <w:b w:val="0"/>
                <w:bCs w:val="0"/>
                <w:color w:val="auto"/>
                <w:kern w:val="0"/>
                <w:sz w:val="21"/>
                <w:szCs w:val="21"/>
                <w:lang w:val="en-US" w:eastAsia="zh-CN" w:bidi="ar"/>
              </w:rPr>
              <w:t>-</w:t>
            </w:r>
            <w:r>
              <w:rPr>
                <w:rFonts w:hint="default" w:ascii="Times New Roman" w:hAnsi="Times New Roman" w:eastAsia="宋体" w:cs="Times New Roman"/>
                <w:b w:val="0"/>
                <w:bCs w:val="0"/>
                <w:color w:val="auto"/>
                <w:kern w:val="0"/>
                <w:sz w:val="21"/>
                <w:szCs w:val="21"/>
                <w:lang w:val="en-US" w:eastAsia="zh-CN" w:bidi="ar"/>
              </w:rPr>
              <w:t>2010</w:t>
            </w:r>
            <w:r>
              <w:rPr>
                <w:rFonts w:hint="eastAsia" w:ascii="宋体" w:hAnsi="宋体" w:eastAsia="宋体" w:cs="宋体"/>
                <w:b w:val="0"/>
                <w:bCs w:val="0"/>
                <w:color w:val="auto"/>
                <w:kern w:val="0"/>
                <w:sz w:val="21"/>
                <w:szCs w:val="21"/>
                <w:lang w:val="en-US" w:eastAsia="zh-CN" w:bidi="ar"/>
              </w:rPr>
              <w:t>）表</w:t>
            </w:r>
            <w:r>
              <w:rPr>
                <w:rFonts w:hint="default" w:ascii="Times New Roman" w:hAnsi="Times New Roman" w:eastAsia="宋体" w:cs="Times New Roman"/>
                <w:b w:val="0"/>
                <w:bCs w:val="0"/>
                <w:color w:val="auto"/>
                <w:kern w:val="0"/>
                <w:sz w:val="21"/>
                <w:szCs w:val="21"/>
                <w:lang w:val="en-US" w:eastAsia="zh-CN" w:bidi="ar"/>
              </w:rPr>
              <w:t>3</w:t>
            </w:r>
            <w:r>
              <w:rPr>
                <w:rFonts w:hint="eastAsia" w:ascii="宋体" w:hAnsi="宋体" w:eastAsia="宋体" w:cs="宋体"/>
                <w:b w:val="0"/>
                <w:bCs w:val="0"/>
                <w:color w:val="auto"/>
                <w:kern w:val="0"/>
                <w:sz w:val="21"/>
                <w:szCs w:val="21"/>
                <w:lang w:val="en-US" w:eastAsia="zh-CN" w:bidi="ar"/>
              </w:rPr>
              <w:t>无组织排放监控点浓度</w:t>
            </w:r>
            <w:r>
              <w:rPr>
                <w:rFonts w:hint="eastAsia" w:ascii="Times New Roman" w:hAnsi="Times New Roman" w:eastAsia="宋体" w:cs="Segoe UI"/>
                <w:b w:val="0"/>
                <w:bCs w:val="0"/>
                <w:i w:val="0"/>
                <w:iCs w:val="0"/>
                <w:caps w:val="0"/>
                <w:color w:val="auto"/>
                <w:spacing w:val="0"/>
                <w:sz w:val="21"/>
                <w:szCs w:val="24"/>
                <w:shd w:val="clear" w:fill="FFFFFF"/>
                <w:lang w:val="en-US" w:eastAsia="zh-CN"/>
              </w:rPr>
              <w:t>较严值</w:t>
            </w:r>
          </w:p>
        </w:tc>
      </w:tr>
      <w:tr w14:paraId="54B86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63D476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Merge w:val="continue"/>
            <w:vAlign w:val="center"/>
          </w:tcPr>
          <w:p w14:paraId="6CFB52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748" w:type="dxa"/>
            <w:vAlign w:val="center"/>
          </w:tcPr>
          <w:p w14:paraId="53F213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臭气浓度</w:t>
            </w:r>
          </w:p>
        </w:tc>
        <w:tc>
          <w:tcPr>
            <w:tcW w:w="2971" w:type="dxa"/>
            <w:vMerge w:val="continue"/>
            <w:vAlign w:val="center"/>
          </w:tcPr>
          <w:p w14:paraId="294B3E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3930" w:type="dxa"/>
            <w:vAlign w:val="center"/>
          </w:tcPr>
          <w:p w14:paraId="322B84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kern w:val="0"/>
                <w:sz w:val="21"/>
                <w:szCs w:val="24"/>
                <w:lang w:val="en-US" w:eastAsia="zh-CN" w:bidi="ar"/>
              </w:rPr>
              <w:t>《恶臭污染物排放标准》（GB14554</w:t>
            </w:r>
            <w:r>
              <w:rPr>
                <w:rFonts w:hint="eastAsia" w:ascii="Times New Roman" w:hAnsi="Times New Roman" w:eastAsia="宋体" w:cs="var(--dsw-font-markdown-table)"/>
                <w:b w:val="0"/>
                <w:bCs w:val="0"/>
                <w:kern w:val="0"/>
                <w:sz w:val="21"/>
                <w:szCs w:val="24"/>
                <w:lang w:val="en-US" w:eastAsia="zh-CN" w:bidi="ar"/>
              </w:rPr>
              <w:t>-</w:t>
            </w:r>
            <w:r>
              <w:rPr>
                <w:rFonts w:hint="default" w:ascii="Times New Roman" w:hAnsi="Times New Roman" w:eastAsia="宋体" w:cs="var(--dsw-font-markdown-table)"/>
                <w:b w:val="0"/>
                <w:bCs w:val="0"/>
                <w:kern w:val="0"/>
                <w:sz w:val="21"/>
                <w:szCs w:val="24"/>
                <w:lang w:val="en-US" w:eastAsia="zh-CN" w:bidi="ar"/>
              </w:rPr>
              <w:t>93）表1恶臭污染物厂界标准值（二级新扩改建）</w:t>
            </w:r>
          </w:p>
        </w:tc>
      </w:tr>
      <w:tr w14:paraId="1BEF8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23AB87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Align w:val="center"/>
          </w:tcPr>
          <w:p w14:paraId="6B9F49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厂区内无组织废气</w:t>
            </w:r>
          </w:p>
        </w:tc>
        <w:tc>
          <w:tcPr>
            <w:tcW w:w="1748" w:type="dxa"/>
            <w:vAlign w:val="center"/>
          </w:tcPr>
          <w:p w14:paraId="0F941D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非甲烷总烃</w:t>
            </w:r>
          </w:p>
        </w:tc>
        <w:tc>
          <w:tcPr>
            <w:tcW w:w="2971" w:type="dxa"/>
            <w:vAlign w:val="center"/>
          </w:tcPr>
          <w:p w14:paraId="080756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加强车间通风换气。</w:t>
            </w:r>
          </w:p>
        </w:tc>
        <w:tc>
          <w:tcPr>
            <w:tcW w:w="3930" w:type="dxa"/>
            <w:vAlign w:val="center"/>
          </w:tcPr>
          <w:p w14:paraId="64893B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kern w:val="0"/>
                <w:sz w:val="21"/>
                <w:szCs w:val="24"/>
                <w:lang w:val="en-US" w:eastAsia="zh-CN" w:bidi="ar"/>
              </w:rPr>
              <w:t>广东省地方标准《固定污染源挥发性有机物综合排放标准》（DB44/2367</w:t>
            </w:r>
            <w:r>
              <w:rPr>
                <w:rFonts w:hint="eastAsia" w:ascii="Times New Roman" w:hAnsi="Times New Roman" w:eastAsia="宋体" w:cs="var(--dsw-font-markdown-table)"/>
                <w:b w:val="0"/>
                <w:bCs w:val="0"/>
                <w:kern w:val="0"/>
                <w:sz w:val="21"/>
                <w:szCs w:val="24"/>
                <w:lang w:val="en-US" w:eastAsia="zh-CN" w:bidi="ar"/>
              </w:rPr>
              <w:t>-</w:t>
            </w:r>
            <w:r>
              <w:rPr>
                <w:rFonts w:hint="default" w:ascii="Times New Roman" w:hAnsi="Times New Roman" w:eastAsia="宋体" w:cs="var(--dsw-font-markdown-table)"/>
                <w:b w:val="0"/>
                <w:bCs w:val="0"/>
                <w:kern w:val="0"/>
                <w:sz w:val="21"/>
                <w:szCs w:val="24"/>
                <w:lang w:val="en-US" w:eastAsia="zh-CN" w:bidi="ar"/>
              </w:rPr>
              <w:t>2022）表3厂区内VOCs无组织排放限值</w:t>
            </w:r>
          </w:p>
        </w:tc>
      </w:tr>
      <w:tr w14:paraId="3E717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restart"/>
            <w:vAlign w:val="center"/>
          </w:tcPr>
          <w:p w14:paraId="231570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地表水环境</w:t>
            </w:r>
          </w:p>
        </w:tc>
        <w:tc>
          <w:tcPr>
            <w:tcW w:w="1336" w:type="dxa"/>
            <w:vAlign w:val="center"/>
          </w:tcPr>
          <w:p w14:paraId="4C6659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生活污水排放口（WS</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001）</w:t>
            </w:r>
          </w:p>
        </w:tc>
        <w:tc>
          <w:tcPr>
            <w:tcW w:w="1748" w:type="dxa"/>
            <w:vAlign w:val="center"/>
          </w:tcPr>
          <w:p w14:paraId="7CD674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eastAsia="宋体"/>
                <w:b w:val="0"/>
                <w:bCs w:val="0"/>
                <w:color w:val="auto"/>
                <w:vertAlign w:val="baseline"/>
                <w:lang w:val="en-US" w:eastAsia="zh-CN"/>
              </w:rPr>
            </w:pPr>
            <w:r>
              <w:rPr>
                <w:rFonts w:hint="default" w:ascii="Times New Roman" w:hAnsi="Times New Roman" w:eastAsia="宋体" w:cs="var(--dsw-font-markdown-table)"/>
                <w:b w:val="0"/>
                <w:bCs w:val="0"/>
                <w:color w:val="auto"/>
                <w:kern w:val="0"/>
                <w:sz w:val="21"/>
                <w:szCs w:val="24"/>
                <w:lang w:val="en-US" w:eastAsia="zh-CN" w:bidi="ar"/>
              </w:rPr>
              <w:t>pH、CODCr、BOD5、SS、NH3</w:t>
            </w:r>
            <w:r>
              <w:rPr>
                <w:rFonts w:hint="eastAsia" w:cs="var(--dsw-font-markdown-table)"/>
                <w:b w:val="0"/>
                <w:bCs w:val="0"/>
                <w:color w:val="auto"/>
                <w:kern w:val="0"/>
                <w:sz w:val="21"/>
                <w:szCs w:val="24"/>
                <w:lang w:val="en-US" w:eastAsia="zh-CN" w:bidi="ar"/>
              </w:rPr>
              <w:t xml:space="preserve"> </w:t>
            </w:r>
            <w:r>
              <w:rPr>
                <w:rFonts w:hint="default" w:ascii="Times New Roman" w:hAnsi="Times New Roman" w:eastAsia="宋体" w:cs="var(--dsw-font-markdown-table)"/>
                <w:b w:val="0"/>
                <w:bCs w:val="0"/>
                <w:color w:val="auto"/>
                <w:kern w:val="0"/>
                <w:sz w:val="21"/>
                <w:szCs w:val="24"/>
                <w:lang w:val="en-US" w:eastAsia="zh-CN" w:bidi="ar"/>
              </w:rPr>
              <w:t>N</w:t>
            </w:r>
            <w:r>
              <w:rPr>
                <w:rFonts w:hint="eastAsia"/>
                <w:b w:val="0"/>
                <w:bCs w:val="0"/>
                <w:lang w:eastAsia="zh-CN"/>
              </w:rPr>
              <w:t>、</w:t>
            </w:r>
            <w:r>
              <w:rPr>
                <w:rFonts w:hint="eastAsia"/>
                <w:b w:val="0"/>
                <w:bCs w:val="0"/>
                <w:lang w:val="en-US" w:eastAsia="zh-CN"/>
              </w:rPr>
              <w:t>总磷</w:t>
            </w:r>
          </w:p>
        </w:tc>
        <w:tc>
          <w:tcPr>
            <w:tcW w:w="2971" w:type="dxa"/>
            <w:vAlign w:val="center"/>
          </w:tcPr>
          <w:p w14:paraId="65D15B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经三级化粪池预处理后排入市政管网，进入中山市污水处理有限公司深度处理。</w:t>
            </w:r>
          </w:p>
        </w:tc>
        <w:tc>
          <w:tcPr>
            <w:tcW w:w="3930" w:type="dxa"/>
            <w:vAlign w:val="center"/>
          </w:tcPr>
          <w:p w14:paraId="39C3544D">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55" w:firstLineChars="0"/>
              <w:jc w:val="center"/>
              <w:textAlignment w:val="auto"/>
              <w:rPr>
                <w:rFonts w:hint="default"/>
                <w:b w:val="0"/>
                <w:bCs w:val="0"/>
                <w:color w:val="auto"/>
                <w:vertAlign w:val="baseline"/>
              </w:rPr>
            </w:pPr>
            <w:r>
              <w:rPr>
                <w:rFonts w:hint="default" w:ascii="Times New Roman" w:hAnsi="Times New Roman" w:eastAsia="宋体" w:cs="Times New Roman"/>
                <w:color w:val="auto"/>
                <w:szCs w:val="21"/>
                <w:highlight w:val="none"/>
              </w:rPr>
              <w:t>广东省地方标准《水污染物排放限值》（DB44/26-2001）第二时段三级标准</w:t>
            </w:r>
          </w:p>
        </w:tc>
      </w:tr>
      <w:tr w14:paraId="62F02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1084D9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Align w:val="center"/>
          </w:tcPr>
          <w:p w14:paraId="0FB969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生产废水</w:t>
            </w:r>
          </w:p>
        </w:tc>
        <w:tc>
          <w:tcPr>
            <w:tcW w:w="1748" w:type="dxa"/>
            <w:vAlign w:val="center"/>
          </w:tcPr>
          <w:p w14:paraId="4800BE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pH、CODCr、BOD5、SS、NH3</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N、色度、石油类</w:t>
            </w:r>
          </w:p>
        </w:tc>
        <w:tc>
          <w:tcPr>
            <w:tcW w:w="2971" w:type="dxa"/>
            <w:vAlign w:val="center"/>
          </w:tcPr>
          <w:p w14:paraId="255708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收集后委托有处理能力的废水处理机构处理，不直接对外排放。设置5m³废水收集桶，做好防渗、防漏措施，安装液位计量装置及视频监控。</w:t>
            </w:r>
          </w:p>
        </w:tc>
        <w:tc>
          <w:tcPr>
            <w:tcW w:w="3930" w:type="dxa"/>
            <w:vAlign w:val="center"/>
          </w:tcPr>
          <w:p w14:paraId="517B4473">
            <w:pPr>
              <w:pStyle w:val="207"/>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textAlignment w:val="auto"/>
              <w:rPr>
                <w:rFonts w:hint="default"/>
                <w:b w:val="0"/>
                <w:bCs w:val="0"/>
                <w:color w:val="auto"/>
                <w:vertAlign w:val="baseline"/>
              </w:rPr>
            </w:pPr>
            <w:r>
              <w:rPr>
                <w:rFonts w:hint="default" w:ascii="Times New Roman" w:hAnsi="Times New Roman" w:cs="Times New Roman"/>
                <w:color w:val="auto"/>
                <w:highlight w:val="none"/>
              </w:rPr>
              <w:t>符合环保要求</w:t>
            </w:r>
          </w:p>
        </w:tc>
      </w:tr>
      <w:tr w14:paraId="4F62C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Align w:val="center"/>
          </w:tcPr>
          <w:p w14:paraId="4830CF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声环境</w:t>
            </w:r>
          </w:p>
        </w:tc>
        <w:tc>
          <w:tcPr>
            <w:tcW w:w="1336" w:type="dxa"/>
            <w:vAlign w:val="center"/>
          </w:tcPr>
          <w:p w14:paraId="1A3526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生产设备等</w:t>
            </w:r>
          </w:p>
        </w:tc>
        <w:tc>
          <w:tcPr>
            <w:tcW w:w="1748" w:type="dxa"/>
            <w:vAlign w:val="center"/>
          </w:tcPr>
          <w:p w14:paraId="0FFB72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等效连续A声级（Leq）</w:t>
            </w:r>
          </w:p>
        </w:tc>
        <w:tc>
          <w:tcPr>
            <w:tcW w:w="2971" w:type="dxa"/>
            <w:vAlign w:val="center"/>
          </w:tcPr>
          <w:p w14:paraId="1894C1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选用低噪声设备，安装减震基座、减震垫；高噪声设备单独设置隔音间；墙体隔声，日常生产关闭门窗；室外风机安装隔声罩、消声器；加强设备维护保养；夜间不生产。</w:t>
            </w:r>
          </w:p>
        </w:tc>
        <w:tc>
          <w:tcPr>
            <w:tcW w:w="3930" w:type="dxa"/>
            <w:vAlign w:val="center"/>
          </w:tcPr>
          <w:p w14:paraId="586767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《工业企业厂界环境噪声排放标准》（</w:t>
            </w:r>
            <w:r>
              <w:rPr>
                <w:rFonts w:hint="eastAsia" w:cs="var(--dsw-font-markdown-table)"/>
                <w:b w:val="0"/>
                <w:bCs w:val="0"/>
                <w:color w:val="auto"/>
                <w:kern w:val="0"/>
                <w:sz w:val="21"/>
                <w:szCs w:val="24"/>
                <w:lang w:val="en-US" w:eastAsia="zh-CN" w:bidi="ar"/>
              </w:rPr>
              <w:t>GB12348-2008</w:t>
            </w:r>
            <w:r>
              <w:rPr>
                <w:rFonts w:hint="default" w:ascii="Times New Roman" w:hAnsi="Times New Roman" w:eastAsia="宋体" w:cs="var(--dsw-font-markdown-table)"/>
                <w:b w:val="0"/>
                <w:bCs w:val="0"/>
                <w:color w:val="auto"/>
                <w:kern w:val="0"/>
                <w:sz w:val="21"/>
                <w:szCs w:val="24"/>
                <w:lang w:val="en-US" w:eastAsia="zh-CN" w:bidi="ar"/>
              </w:rPr>
              <w:t>）</w:t>
            </w:r>
            <w:r>
              <w:rPr>
                <w:rFonts w:hint="eastAsia" w:cs="var(--dsw-font-markdown-table)"/>
                <w:b w:val="0"/>
                <w:bCs w:val="0"/>
                <w:color w:val="auto"/>
                <w:kern w:val="0"/>
                <w:sz w:val="21"/>
                <w:szCs w:val="24"/>
                <w:lang w:val="en-US" w:eastAsia="zh-CN" w:bidi="ar"/>
              </w:rPr>
              <w:t>3</w:t>
            </w:r>
            <w:r>
              <w:rPr>
                <w:rFonts w:hint="default" w:ascii="Times New Roman" w:hAnsi="Times New Roman" w:eastAsia="宋体" w:cs="var(--dsw-font-markdown-table)"/>
                <w:b w:val="0"/>
                <w:bCs w:val="0"/>
                <w:color w:val="auto"/>
                <w:kern w:val="0"/>
                <w:sz w:val="21"/>
                <w:szCs w:val="24"/>
                <w:lang w:val="en-US" w:eastAsia="zh-CN" w:bidi="ar"/>
              </w:rPr>
              <w:t>类标准（昼间≤6</w:t>
            </w:r>
            <w:r>
              <w:rPr>
                <w:rFonts w:hint="eastAsia" w:cs="var(--dsw-font-markdown-table)"/>
                <w:b w:val="0"/>
                <w:bCs w:val="0"/>
                <w:color w:val="auto"/>
                <w:kern w:val="0"/>
                <w:sz w:val="21"/>
                <w:szCs w:val="24"/>
                <w:lang w:val="en-US" w:eastAsia="zh-CN" w:bidi="ar"/>
              </w:rPr>
              <w:t>5</w:t>
            </w:r>
            <w:r>
              <w:rPr>
                <w:rFonts w:hint="default" w:ascii="Times New Roman" w:hAnsi="Times New Roman" w:eastAsia="宋体" w:cs="var(--dsw-font-markdown-table)"/>
                <w:b w:val="0"/>
                <w:bCs w:val="0"/>
                <w:color w:val="auto"/>
                <w:kern w:val="0"/>
                <w:sz w:val="21"/>
                <w:szCs w:val="24"/>
                <w:lang w:val="en-US" w:eastAsia="zh-CN" w:bidi="ar"/>
              </w:rPr>
              <w:t>dB(A)。</w:t>
            </w:r>
          </w:p>
        </w:tc>
      </w:tr>
      <w:tr w14:paraId="003BA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Align w:val="center"/>
          </w:tcPr>
          <w:p w14:paraId="258967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电磁辐射</w:t>
            </w:r>
          </w:p>
        </w:tc>
        <w:tc>
          <w:tcPr>
            <w:tcW w:w="1336" w:type="dxa"/>
            <w:vAlign w:val="center"/>
          </w:tcPr>
          <w:p w14:paraId="5182FE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w:t>
            </w:r>
          </w:p>
        </w:tc>
        <w:tc>
          <w:tcPr>
            <w:tcW w:w="1748" w:type="dxa"/>
            <w:vAlign w:val="center"/>
          </w:tcPr>
          <w:p w14:paraId="128E48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w:t>
            </w:r>
          </w:p>
        </w:tc>
        <w:tc>
          <w:tcPr>
            <w:tcW w:w="2971" w:type="dxa"/>
            <w:vAlign w:val="center"/>
          </w:tcPr>
          <w:p w14:paraId="40665C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w:t>
            </w:r>
          </w:p>
        </w:tc>
        <w:tc>
          <w:tcPr>
            <w:tcW w:w="3930" w:type="dxa"/>
            <w:vAlign w:val="center"/>
          </w:tcPr>
          <w:p w14:paraId="4689F7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w:t>
            </w:r>
          </w:p>
        </w:tc>
      </w:tr>
      <w:tr w14:paraId="66871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restart"/>
            <w:vAlign w:val="center"/>
          </w:tcPr>
          <w:p w14:paraId="3DB796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固体废物</w:t>
            </w:r>
          </w:p>
        </w:tc>
        <w:tc>
          <w:tcPr>
            <w:tcW w:w="1336" w:type="dxa"/>
            <w:vAlign w:val="center"/>
          </w:tcPr>
          <w:p w14:paraId="32B7FE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生活垃圾</w:t>
            </w:r>
          </w:p>
        </w:tc>
        <w:tc>
          <w:tcPr>
            <w:tcW w:w="1748" w:type="dxa"/>
            <w:vAlign w:val="center"/>
          </w:tcPr>
          <w:p w14:paraId="55A898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生活垃圾</w:t>
            </w:r>
          </w:p>
        </w:tc>
        <w:tc>
          <w:tcPr>
            <w:tcW w:w="2971" w:type="dxa"/>
            <w:vAlign w:val="center"/>
          </w:tcPr>
          <w:p w14:paraId="7810CB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避雨集中堆放，统一由环卫部门清运处理。</w:t>
            </w:r>
          </w:p>
        </w:tc>
        <w:tc>
          <w:tcPr>
            <w:tcW w:w="3930" w:type="dxa"/>
            <w:vMerge w:val="restart"/>
            <w:vAlign w:val="center"/>
          </w:tcPr>
          <w:p w14:paraId="2A52BD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vertAlign w:val="baseline"/>
              </w:rPr>
            </w:pPr>
            <w:r>
              <w:rPr>
                <w:rFonts w:hint="default" w:ascii="Times New Roman" w:hAnsi="Times New Roman" w:cs="Times New Roman"/>
                <w:color w:val="auto"/>
                <w:highlight w:val="none"/>
              </w:rPr>
              <w:t>符合环保要求</w:t>
            </w:r>
          </w:p>
        </w:tc>
      </w:tr>
      <w:tr w14:paraId="4CD3F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41B820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Align w:val="center"/>
          </w:tcPr>
          <w:p w14:paraId="317E91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一般工业固废</w:t>
            </w:r>
          </w:p>
        </w:tc>
        <w:tc>
          <w:tcPr>
            <w:tcW w:w="1748" w:type="dxa"/>
            <w:vAlign w:val="center"/>
          </w:tcPr>
          <w:p w14:paraId="2599A0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边角料及不合格品、一般包装废物、沉降粉尘、滤筒除尘器收集粉尘、废滤筒</w:t>
            </w:r>
          </w:p>
        </w:tc>
        <w:tc>
          <w:tcPr>
            <w:tcW w:w="2971" w:type="dxa"/>
            <w:vAlign w:val="center"/>
          </w:tcPr>
          <w:p w14:paraId="498038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分类收集后交由有一般固废处理能力单位处置。</w:t>
            </w:r>
          </w:p>
        </w:tc>
        <w:tc>
          <w:tcPr>
            <w:tcW w:w="3930" w:type="dxa"/>
            <w:vMerge w:val="continue"/>
            <w:vAlign w:val="center"/>
          </w:tcPr>
          <w:p w14:paraId="36D3AF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vertAlign w:val="baseline"/>
              </w:rPr>
            </w:pPr>
          </w:p>
        </w:tc>
      </w:tr>
      <w:tr w14:paraId="7CDB7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vAlign w:val="center"/>
          </w:tcPr>
          <w:p w14:paraId="17984B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p>
        </w:tc>
        <w:tc>
          <w:tcPr>
            <w:tcW w:w="1336" w:type="dxa"/>
            <w:vAlign w:val="center"/>
          </w:tcPr>
          <w:p w14:paraId="0C4BE7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危险废物</w:t>
            </w:r>
          </w:p>
        </w:tc>
        <w:tc>
          <w:tcPr>
            <w:tcW w:w="1748" w:type="dxa"/>
            <w:vAlign w:val="center"/>
          </w:tcPr>
          <w:p w14:paraId="24D2FC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eastAsia" w:cs="var(--dsw-font-markdown-table)"/>
                <w:b w:val="0"/>
                <w:bCs w:val="0"/>
                <w:color w:val="auto"/>
                <w:kern w:val="0"/>
                <w:sz w:val="21"/>
                <w:szCs w:val="24"/>
                <w:lang w:val="en-US" w:eastAsia="zh-CN" w:bidi="ar"/>
              </w:rPr>
              <w:t>废处理剂/清洁剂/胶粘剂包装桶</w:t>
            </w:r>
            <w:r>
              <w:rPr>
                <w:rFonts w:hint="default" w:ascii="Times New Roman" w:hAnsi="Times New Roman" w:eastAsia="宋体" w:cs="var(--dsw-font-markdown-table)"/>
                <w:b w:val="0"/>
                <w:bCs w:val="0"/>
                <w:color w:val="auto"/>
                <w:kern w:val="0"/>
                <w:sz w:val="21"/>
                <w:szCs w:val="24"/>
                <w:lang w:val="en-US" w:eastAsia="zh-CN" w:bidi="ar"/>
              </w:rPr>
              <w:t>、废机油、含油废包装桶、含油废抹布及手套、废活性炭、废油墨桶、废网版、废感光胶包装物、废菲林片</w:t>
            </w:r>
          </w:p>
        </w:tc>
        <w:tc>
          <w:tcPr>
            <w:tcW w:w="2971" w:type="dxa"/>
            <w:vAlign w:val="center"/>
          </w:tcPr>
          <w:p w14:paraId="0AC11B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分类分区暂存于危废暂存间，定期交由具有危险废物经营许可证的单位处理处置；危废暂存间按《危险废物贮存污染控制标准》（</w:t>
            </w:r>
            <w:r>
              <w:rPr>
                <w:rFonts w:hint="eastAsia" w:cs="var(--dsw-font-markdown-table)"/>
                <w:b w:val="0"/>
                <w:bCs w:val="0"/>
                <w:color w:val="auto"/>
                <w:kern w:val="0"/>
                <w:sz w:val="21"/>
                <w:szCs w:val="24"/>
                <w:lang w:val="en-US" w:eastAsia="zh-CN" w:bidi="ar"/>
              </w:rPr>
              <w:t>GB18597-2023</w:t>
            </w:r>
            <w:r>
              <w:rPr>
                <w:rFonts w:hint="default" w:ascii="Times New Roman" w:hAnsi="Times New Roman" w:eastAsia="宋体" w:cs="var(--dsw-font-markdown-table)"/>
                <w:b w:val="0"/>
                <w:bCs w:val="0"/>
                <w:color w:val="auto"/>
                <w:kern w:val="0"/>
                <w:sz w:val="21"/>
                <w:szCs w:val="24"/>
                <w:lang w:val="en-US" w:eastAsia="zh-CN" w:bidi="ar"/>
              </w:rPr>
              <w:t>）要求建设，做好防风、防雨、防晒、防渗漏措施，出入口设置门槛（围堰），建立台账管理制度。</w:t>
            </w:r>
          </w:p>
        </w:tc>
        <w:tc>
          <w:tcPr>
            <w:tcW w:w="3930" w:type="dxa"/>
            <w:vMerge w:val="continue"/>
            <w:vAlign w:val="center"/>
          </w:tcPr>
          <w:p w14:paraId="58E534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p>
        </w:tc>
      </w:tr>
      <w:tr w14:paraId="6538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Align w:val="center"/>
          </w:tcPr>
          <w:p w14:paraId="31B2C9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土壤及地下水污染防治措施</w:t>
            </w:r>
          </w:p>
        </w:tc>
        <w:tc>
          <w:tcPr>
            <w:tcW w:w="1336" w:type="dxa"/>
            <w:vAlign w:val="center"/>
          </w:tcPr>
          <w:p w14:paraId="59E338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液态化学品、危险废物、生产废水</w:t>
            </w:r>
          </w:p>
        </w:tc>
        <w:tc>
          <w:tcPr>
            <w:tcW w:w="1748" w:type="dxa"/>
            <w:vAlign w:val="center"/>
          </w:tcPr>
          <w:p w14:paraId="3FE4E2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机油、废机油、冲版废水等</w:t>
            </w:r>
          </w:p>
        </w:tc>
        <w:tc>
          <w:tcPr>
            <w:tcW w:w="2971" w:type="dxa"/>
            <w:vAlign w:val="center"/>
          </w:tcPr>
          <w:p w14:paraId="22C8A8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eastAsia="宋体" w:cs="var(--dsw-font-markdown-table)"/>
                <w:b w:val="0"/>
                <w:bCs w:val="0"/>
                <w:color w:val="auto"/>
                <w:kern w:val="0"/>
                <w:sz w:val="21"/>
                <w:szCs w:val="24"/>
                <w:lang w:val="en-US" w:eastAsia="zh-CN" w:bidi="ar"/>
              </w:rPr>
              <w:t>分区防渗：重点防渗区（危废暂存间、化学品仓、废水暂存区）等效黏土防渗层Mb≥6.0m，K≤1×10⁻⁷cm/s；一般防渗区（生产车间、一般固废暂存区）等效黏土防渗层Mb≥1.5m，K≤1×10⁻⁷cm/s；简单防渗区（办公区）一般地面硬化。化学品仓、危废暂存间、废水暂存区设置围堰或缓坡，定期检查防渗设施完好性。</w:t>
            </w:r>
          </w:p>
        </w:tc>
        <w:tc>
          <w:tcPr>
            <w:tcW w:w="3930" w:type="dxa"/>
            <w:vAlign w:val="center"/>
          </w:tcPr>
          <w:p w14:paraId="359083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b w:val="0"/>
                <w:bCs w:val="0"/>
                <w:color w:val="auto"/>
                <w:kern w:val="0"/>
                <w:sz w:val="21"/>
                <w:szCs w:val="24"/>
                <w:lang w:val="en-US" w:eastAsia="zh-CN" w:bidi="ar"/>
              </w:rPr>
            </w:pPr>
            <w:r>
              <w:rPr>
                <w:rFonts w:hint="default" w:ascii="Times New Roman" w:hAnsi="Times New Roman" w:cs="Times New Roman"/>
                <w:color w:val="auto"/>
                <w:highlight w:val="none"/>
              </w:rPr>
              <w:t>符合环保要求</w:t>
            </w:r>
          </w:p>
        </w:tc>
      </w:tr>
      <w:tr w14:paraId="239B0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Align w:val="center"/>
          </w:tcPr>
          <w:p w14:paraId="3A6FF0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生态保护措施</w:t>
            </w:r>
          </w:p>
        </w:tc>
        <w:tc>
          <w:tcPr>
            <w:tcW w:w="9985" w:type="dxa"/>
            <w:gridSpan w:val="4"/>
            <w:vAlign w:val="center"/>
          </w:tcPr>
          <w:p w14:paraId="02C516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w:t>
            </w:r>
          </w:p>
        </w:tc>
      </w:tr>
      <w:tr w14:paraId="4F83C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Align w:val="center"/>
          </w:tcPr>
          <w:p w14:paraId="335E94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环境风险防范措施</w:t>
            </w:r>
          </w:p>
        </w:tc>
        <w:tc>
          <w:tcPr>
            <w:tcW w:w="9985" w:type="dxa"/>
            <w:gridSpan w:val="4"/>
            <w:vAlign w:val="center"/>
          </w:tcPr>
          <w:p w14:paraId="5D511F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①液态化学品储存区设置防泄漏托盘，底部硬底化及防渗处理，出入口设置围堰或缓坡，配备吸附棉、砂土等应急物资；②危险废物暂存间按《危险废物贮存污染控制标准》（GB18597</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2023）建设，分类分区暂存，设置门槛（围堰），专人管理，建立台账；③废气处理设施采用一用一备风机，定期检修保养，故障时立即停止生产；④厂区雨水总排放口设置应急截断阀门，厂区门口设置缓坡，配备事故应急桶；⑤制定突发环境事件应急预案，定期组织应急演练。</w:t>
            </w:r>
          </w:p>
        </w:tc>
      </w:tr>
      <w:tr w14:paraId="666ED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Align w:val="center"/>
          </w:tcPr>
          <w:p w14:paraId="2E2E48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其他环境管理要求</w:t>
            </w:r>
          </w:p>
        </w:tc>
        <w:tc>
          <w:tcPr>
            <w:tcW w:w="9985" w:type="dxa"/>
            <w:gridSpan w:val="4"/>
            <w:vAlign w:val="center"/>
          </w:tcPr>
          <w:p w14:paraId="2C253E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b w:val="0"/>
                <w:bCs w:val="0"/>
                <w:color w:val="auto"/>
                <w:vertAlign w:val="baseline"/>
              </w:rPr>
            </w:pPr>
            <w:r>
              <w:rPr>
                <w:rFonts w:hint="default" w:ascii="Times New Roman" w:hAnsi="Times New Roman" w:eastAsia="宋体" w:cs="var(--dsw-font-markdown-table)"/>
                <w:b w:val="0"/>
                <w:bCs w:val="0"/>
                <w:color w:val="auto"/>
                <w:kern w:val="0"/>
                <w:sz w:val="21"/>
                <w:szCs w:val="24"/>
                <w:lang w:val="en-US" w:eastAsia="zh-CN" w:bidi="ar"/>
              </w:rPr>
              <w:t>①根据《排污许可证申请与核发技术规范橡胶和塑料制品工业》（HJ1122</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2020）及《排污许可证申请与核发技术规范制鞋工业》（HJ1123</w:t>
            </w: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2020）要求，及时申领排污许可证；②按监测计划定期开展自行监测；③建立环境管理台账，记录污染治理设施运行、维护等信息；④废气排放口设置规范化采样平台及环境保护图形标志牌；⑤项目竣工后按规定开展竣工环境保护验收。</w:t>
            </w:r>
          </w:p>
        </w:tc>
      </w:tr>
    </w:tbl>
    <w:p w14:paraId="20FB85D2">
      <w:pPr>
        <w:rPr>
          <w:color w:val="auto"/>
          <w:highlight w:val="none"/>
        </w:rPr>
      </w:pPr>
      <w:r>
        <w:rPr>
          <w:color w:val="auto"/>
          <w:highlight w:val="none"/>
        </w:rPr>
        <w:br w:type="page"/>
      </w:r>
    </w:p>
    <w:p w14:paraId="6C498FF2">
      <w:pPr>
        <w:pStyle w:val="2"/>
        <w:ind w:firstLine="562"/>
        <w:rPr>
          <w:color w:val="auto"/>
          <w:highlight w:val="none"/>
        </w:rPr>
      </w:pPr>
      <w:bookmarkStart w:id="86" w:name="_Toc15365"/>
      <w:bookmarkStart w:id="87" w:name="_Toc616"/>
      <w:r>
        <w:rPr>
          <w:color w:val="auto"/>
          <w:highlight w:val="none"/>
        </w:rPr>
        <w:t>六、结论</w:t>
      </w:r>
      <w:bookmarkEnd w:id="86"/>
      <w:bookmarkEnd w:id="87"/>
    </w:p>
    <w:tbl>
      <w:tblPr>
        <w:tblStyle w:val="4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700"/>
      </w:tblGrid>
      <w:tr w14:paraId="2EF7BF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75" w:hRule="atLeast"/>
          <w:jc w:val="center"/>
        </w:trPr>
        <w:tc>
          <w:tcPr>
            <w:tcW w:w="9700" w:type="dxa"/>
            <w:vAlign w:val="center"/>
          </w:tcPr>
          <w:p w14:paraId="0714080A">
            <w:pPr>
              <w:pStyle w:val="44"/>
              <w:keepNext w:val="0"/>
              <w:keepLines w:val="0"/>
              <w:widowControl/>
              <w:suppressLineNumbers w:val="0"/>
              <w:spacing w:before="0" w:beforeAutospacing="0" w:after="120" w:afterAutospacing="0" w:line="360" w:lineRule="auto"/>
              <w:ind w:left="0" w:leftChars="0" w:right="0" w:firstLine="420" w:firstLineChars="200"/>
              <w:jc w:val="both"/>
              <w:rPr>
                <w:rFonts w:hint="default" w:ascii="Times New Roman" w:hAnsi="Times New Roman" w:eastAsia="宋体" w:cs="Segoe UI"/>
                <w:b w:val="0"/>
                <w:i w:val="0"/>
                <w:iCs w:val="0"/>
                <w:caps w:val="0"/>
                <w:strike w:val="0"/>
                <w:color w:val="auto"/>
                <w:spacing w:val="0"/>
                <w:sz w:val="21"/>
                <w:szCs w:val="24"/>
                <w:u w:val="none"/>
              </w:rPr>
            </w:pPr>
            <w:r>
              <w:rPr>
                <w:rFonts w:hint="default" w:ascii="Times New Roman" w:hAnsi="Times New Roman" w:eastAsia="宋体" w:cs="Segoe UI"/>
                <w:b w:val="0"/>
                <w:i w:val="0"/>
                <w:iCs w:val="0"/>
                <w:caps w:val="0"/>
                <w:strike w:val="0"/>
                <w:color w:val="auto"/>
                <w:spacing w:val="0"/>
                <w:sz w:val="21"/>
                <w:szCs w:val="24"/>
                <w:u w:val="none"/>
              </w:rPr>
              <w:t>本项目的建设符合中山市南区土地利用规划要求，选址于一类工业用地，不涉及饮用水源保护区、风景名胜区、农田保护区、生态保护区等环境敏感区域，选址合理。</w:t>
            </w:r>
          </w:p>
          <w:p w14:paraId="40F63BCE">
            <w:pPr>
              <w:pStyle w:val="44"/>
              <w:keepNext w:val="0"/>
              <w:keepLines w:val="0"/>
              <w:widowControl/>
              <w:suppressLineNumbers w:val="0"/>
              <w:spacing w:before="0" w:beforeAutospacing="0" w:after="120" w:afterAutospacing="0" w:line="360" w:lineRule="auto"/>
              <w:ind w:left="0" w:leftChars="0" w:right="0" w:firstLine="420" w:firstLineChars="200"/>
              <w:jc w:val="both"/>
              <w:rPr>
                <w:rFonts w:hint="default" w:ascii="Times New Roman" w:hAnsi="Times New Roman" w:eastAsia="宋体" w:cs="Segoe UI"/>
                <w:b w:val="0"/>
                <w:i w:val="0"/>
                <w:iCs w:val="0"/>
                <w:caps w:val="0"/>
                <w:strike w:val="0"/>
                <w:color w:val="auto"/>
                <w:spacing w:val="0"/>
                <w:sz w:val="21"/>
                <w:szCs w:val="24"/>
                <w:u w:val="none"/>
              </w:rPr>
            </w:pPr>
            <w:r>
              <w:rPr>
                <w:rFonts w:hint="default" w:ascii="Times New Roman" w:hAnsi="Times New Roman" w:eastAsia="宋体" w:cs="Segoe UI"/>
                <w:b w:val="0"/>
                <w:i w:val="0"/>
                <w:iCs w:val="0"/>
                <w:caps w:val="0"/>
                <w:strike w:val="0"/>
                <w:color w:val="auto"/>
                <w:spacing w:val="0"/>
                <w:sz w:val="21"/>
                <w:szCs w:val="24"/>
                <w:highlight w:val="none"/>
                <w:u w:val="none"/>
                <w:shd w:val="clear"/>
              </w:rPr>
              <w:t>项目主要从事儿童运动鞋的生产制造，属于《国民经济行业分类》（GB/T4754</w:t>
            </w:r>
            <w:r>
              <w:rPr>
                <w:rFonts w:hint="eastAsia" w:ascii="Times New Roman" w:hAnsi="Times New Roman" w:cs="Segoe UI"/>
                <w:b w:val="0"/>
                <w:i w:val="0"/>
                <w:iCs w:val="0"/>
                <w:caps w:val="0"/>
                <w:strike w:val="0"/>
                <w:color w:val="auto"/>
                <w:spacing w:val="0"/>
                <w:sz w:val="21"/>
                <w:szCs w:val="24"/>
                <w:highlight w:val="none"/>
                <w:u w:val="none"/>
                <w:shd w:val="clear"/>
                <w:lang w:val="en-US" w:eastAsia="zh-CN"/>
              </w:rPr>
              <w:t>-</w:t>
            </w:r>
            <w:r>
              <w:rPr>
                <w:rFonts w:hint="eastAsia" w:ascii="Times New Roman" w:hAnsi="Times New Roman" w:cs="Segoe UI"/>
                <w:b w:val="0"/>
                <w:i w:val="0"/>
                <w:iCs w:val="0"/>
                <w:caps w:val="0"/>
                <w:strike w:val="0"/>
                <w:color w:val="auto"/>
                <w:spacing w:val="0"/>
                <w:sz w:val="21"/>
                <w:szCs w:val="24"/>
                <w:highlight w:val="none"/>
                <w:u w:val="none"/>
                <w:shd w:val="clear"/>
                <w:lang w:eastAsia="zh-CN"/>
              </w:rPr>
              <w:t xml:space="preserve"> </w:t>
            </w:r>
            <w:r>
              <w:rPr>
                <w:rFonts w:hint="default" w:ascii="Times New Roman" w:hAnsi="Times New Roman" w:eastAsia="宋体" w:cs="Segoe UI"/>
                <w:b w:val="0"/>
                <w:i w:val="0"/>
                <w:iCs w:val="0"/>
                <w:caps w:val="0"/>
                <w:strike w:val="0"/>
                <w:color w:val="auto"/>
                <w:spacing w:val="0"/>
                <w:sz w:val="21"/>
                <w:szCs w:val="24"/>
                <w:highlight w:val="none"/>
                <w:u w:val="none"/>
                <w:shd w:val="clear"/>
              </w:rPr>
              <w:t>2017）中</w:t>
            </w:r>
            <w:r>
              <w:rPr>
                <w:rFonts w:hint="eastAsia" w:ascii="Times New Roman" w:hAnsi="Times New Roman" w:cs="var(--dsw-font-markdown-table)"/>
                <w:color w:val="auto"/>
                <w:kern w:val="0"/>
                <w:sz w:val="21"/>
                <w:szCs w:val="24"/>
                <w:highlight w:val="none"/>
                <w:shd w:val="clear"/>
                <w:lang w:val="en-US" w:eastAsia="zh-CN" w:bidi="ar"/>
              </w:rPr>
              <w:t>C1959其他制鞋业、C1951纺织面料鞋制造、C1953塑料鞋制造</w:t>
            </w:r>
            <w:r>
              <w:rPr>
                <w:rFonts w:hint="default" w:ascii="Times New Roman" w:hAnsi="Times New Roman" w:eastAsia="宋体" w:cs="Segoe UI"/>
                <w:b w:val="0"/>
                <w:i w:val="0"/>
                <w:iCs w:val="0"/>
                <w:caps w:val="0"/>
                <w:strike w:val="0"/>
                <w:color w:val="auto"/>
                <w:spacing w:val="0"/>
                <w:sz w:val="21"/>
                <w:szCs w:val="24"/>
                <w:highlight w:val="none"/>
                <w:u w:val="none"/>
                <w:shd w:val="clear"/>
              </w:rPr>
              <w:t>，</w:t>
            </w:r>
            <w:r>
              <w:rPr>
                <w:rFonts w:hint="default" w:ascii="Times New Roman" w:hAnsi="Times New Roman" w:eastAsia="宋体" w:cs="Segoe UI"/>
                <w:b w:val="0"/>
                <w:i w:val="0"/>
                <w:iCs w:val="0"/>
                <w:caps w:val="0"/>
                <w:strike w:val="0"/>
                <w:color w:val="auto"/>
                <w:spacing w:val="0"/>
                <w:sz w:val="21"/>
                <w:szCs w:val="24"/>
                <w:u w:val="none"/>
              </w:rPr>
              <w:t>不属于《产业结构调整指导目录（2024年本）》中的限制类和淘汰类，符合国家、广东省及中山市相关产业政策和环保政策的要求。项目使用的水性胶粘剂、水性处理剂、水性油墨等原辅材料均属于低VOCs含量原辅材料，符合</w:t>
            </w:r>
            <w:r>
              <w:rPr>
                <w:rFonts w:hint="eastAsia" w:ascii="Times New Roman" w:hAnsi="Times New Roman" w:cs="Segoe UI"/>
                <w:b w:val="0"/>
                <w:i w:val="0"/>
                <w:iCs w:val="0"/>
                <w:caps w:val="0"/>
                <w:strike w:val="0"/>
                <w:color w:val="auto"/>
                <w:spacing w:val="0"/>
                <w:sz w:val="21"/>
                <w:szCs w:val="24"/>
                <w:u w:val="none"/>
                <w:lang w:eastAsia="zh-CN"/>
              </w:rPr>
              <w:t>《中山市涉挥发性有机物项目环保管理规定(2026年修订版)》（中环规字(2026)2号）</w:t>
            </w:r>
            <w:r>
              <w:rPr>
                <w:rFonts w:hint="default" w:ascii="Times New Roman" w:hAnsi="Times New Roman" w:eastAsia="宋体" w:cs="Segoe UI"/>
                <w:b w:val="0"/>
                <w:i w:val="0"/>
                <w:iCs w:val="0"/>
                <w:caps w:val="0"/>
                <w:strike w:val="0"/>
                <w:color w:val="auto"/>
                <w:spacing w:val="0"/>
                <w:sz w:val="21"/>
                <w:szCs w:val="24"/>
                <w:u w:val="none"/>
              </w:rPr>
              <w:t>的相关要求。</w:t>
            </w:r>
          </w:p>
          <w:p w14:paraId="65A29B88">
            <w:pPr>
              <w:pStyle w:val="44"/>
              <w:keepNext w:val="0"/>
              <w:keepLines w:val="0"/>
              <w:widowControl/>
              <w:suppressLineNumbers w:val="0"/>
              <w:spacing w:before="0" w:beforeAutospacing="0" w:after="120" w:afterAutospacing="0" w:line="360" w:lineRule="auto"/>
              <w:ind w:left="0" w:leftChars="0" w:right="0" w:firstLine="420" w:firstLineChars="200"/>
              <w:jc w:val="both"/>
              <w:rPr>
                <w:rFonts w:hint="default" w:ascii="Times New Roman" w:hAnsi="Times New Roman" w:eastAsia="宋体" w:cs="Segoe UI"/>
                <w:b w:val="0"/>
                <w:i w:val="0"/>
                <w:iCs w:val="0"/>
                <w:caps w:val="0"/>
                <w:strike w:val="0"/>
                <w:color w:val="auto"/>
                <w:spacing w:val="0"/>
                <w:sz w:val="21"/>
                <w:szCs w:val="24"/>
                <w:u w:val="none"/>
              </w:rPr>
            </w:pPr>
            <w:r>
              <w:rPr>
                <w:rFonts w:hint="default" w:ascii="Times New Roman" w:hAnsi="Times New Roman" w:eastAsia="宋体" w:cs="Segoe UI"/>
                <w:b w:val="0"/>
                <w:i w:val="0"/>
                <w:iCs w:val="0"/>
                <w:caps w:val="0"/>
                <w:strike w:val="0"/>
                <w:color w:val="auto"/>
                <w:spacing w:val="0"/>
                <w:sz w:val="21"/>
                <w:szCs w:val="24"/>
                <w:u w:val="none"/>
              </w:rPr>
              <w:t>项目运营期产生的废气（非甲烷总烃、总VOCs、颗粒物、臭气浓度等）经收集处理后可达标排放；生活污水经三级化粪池预处理后排入市政污水管网；噪声经隔声、减振等措施后厂界可达标；固体废物分类收集、妥善处置，危险废物交由有资质单位处理；在落实分区防渗和风险防范措施的前提下，对土壤、地下水及环境风险的影响可控。</w:t>
            </w:r>
          </w:p>
          <w:p w14:paraId="4409FB0C">
            <w:pPr>
              <w:pStyle w:val="44"/>
              <w:keepNext w:val="0"/>
              <w:keepLines w:val="0"/>
              <w:widowControl/>
              <w:suppressLineNumbers w:val="0"/>
              <w:spacing w:before="0" w:beforeAutospacing="0" w:after="120" w:afterAutospacing="0" w:line="360" w:lineRule="auto"/>
              <w:ind w:left="0" w:leftChars="0" w:right="0" w:firstLine="420" w:firstLineChars="200"/>
              <w:jc w:val="both"/>
              <w:rPr>
                <w:rFonts w:hint="default" w:ascii="Times New Roman" w:hAnsi="Times New Roman" w:eastAsia="宋体" w:cs="Segoe UI"/>
                <w:b w:val="0"/>
                <w:i w:val="0"/>
                <w:iCs w:val="0"/>
                <w:caps w:val="0"/>
                <w:strike w:val="0"/>
                <w:color w:val="auto"/>
                <w:spacing w:val="0"/>
                <w:sz w:val="21"/>
                <w:szCs w:val="24"/>
                <w:u w:val="none"/>
              </w:rPr>
            </w:pPr>
            <w:r>
              <w:rPr>
                <w:rFonts w:hint="default" w:ascii="Times New Roman" w:hAnsi="Times New Roman" w:eastAsia="宋体" w:cs="Segoe UI"/>
                <w:b w:val="0"/>
                <w:i w:val="0"/>
                <w:iCs w:val="0"/>
                <w:caps w:val="0"/>
                <w:strike w:val="0"/>
                <w:color w:val="auto"/>
                <w:spacing w:val="0"/>
                <w:sz w:val="21"/>
                <w:szCs w:val="24"/>
                <w:u w:val="none"/>
              </w:rPr>
              <w:t>综上所述，只要建设单位严格执行环保“三同时”制度，认真落实本报告表提出的各项污染防治措施，确保各类污染物稳定达标排放，将污染物对周围环境的影响降到最低，则本项目的建设从环境保护角度而言是可行的。</w:t>
            </w:r>
          </w:p>
          <w:p w14:paraId="4D4A1AEC">
            <w:pPr>
              <w:pStyle w:val="204"/>
              <w:keepNext w:val="0"/>
              <w:keepLines w:val="0"/>
              <w:suppressLineNumbers w:val="0"/>
              <w:spacing w:before="0" w:beforeAutospacing="0" w:after="0" w:afterAutospacing="0"/>
              <w:ind w:left="0" w:right="0"/>
              <w:jc w:val="both"/>
              <w:rPr>
                <w:rFonts w:hint="default"/>
                <w:color w:val="auto"/>
                <w:highlight w:val="none"/>
              </w:rPr>
            </w:pPr>
          </w:p>
        </w:tc>
      </w:tr>
    </w:tbl>
    <w:p w14:paraId="716A38F4">
      <w:pPr>
        <w:ind w:firstLine="480"/>
        <w:rPr>
          <w:snapToGrid w:val="0"/>
          <w:color w:val="auto"/>
          <w:highlight w:val="none"/>
        </w:rPr>
      </w:pPr>
    </w:p>
    <w:p w14:paraId="1317EEEA">
      <w:pPr>
        <w:ind w:firstLine="480"/>
        <w:rPr>
          <w:color w:val="auto"/>
          <w:highlight w:val="none"/>
        </w:rPr>
      </w:pPr>
    </w:p>
    <w:p w14:paraId="18354DAB">
      <w:pPr>
        <w:pStyle w:val="45"/>
        <w:ind w:firstLine="600"/>
        <w:jc w:val="left"/>
        <w:rPr>
          <w:snapToGrid w:val="0"/>
          <w:color w:val="auto"/>
          <w:highlight w:val="none"/>
        </w:rPr>
        <w:sectPr>
          <w:pgSz w:w="11907" w:h="16839"/>
          <w:pgMar w:top="720" w:right="720" w:bottom="720" w:left="720" w:header="851" w:footer="567" w:gutter="0"/>
          <w:pgNumType w:fmt="decimal"/>
          <w:cols w:space="0" w:num="1"/>
          <w:docGrid w:linePitch="312" w:charSpace="0"/>
        </w:sectPr>
      </w:pPr>
    </w:p>
    <w:p w14:paraId="4FF1579C">
      <w:pPr>
        <w:pStyle w:val="45"/>
        <w:keepNext w:val="0"/>
        <w:keepLines w:val="0"/>
        <w:pageBreakBefore w:val="0"/>
        <w:widowControl w:val="0"/>
        <w:kinsoku/>
        <w:wordWrap/>
        <w:overflowPunct/>
        <w:topLinePunct w:val="0"/>
        <w:autoSpaceDE/>
        <w:autoSpaceDN/>
        <w:bidi w:val="0"/>
        <w:adjustRightInd/>
        <w:snapToGrid/>
        <w:spacing w:before="0" w:after="0"/>
        <w:ind w:firstLine="0"/>
        <w:jc w:val="left"/>
        <w:textAlignment w:val="auto"/>
        <w:rPr>
          <w:snapToGrid w:val="0"/>
          <w:color w:val="auto"/>
          <w:highlight w:val="none"/>
        </w:rPr>
      </w:pPr>
      <w:bookmarkStart w:id="88" w:name="_Toc22213"/>
      <w:bookmarkStart w:id="89" w:name="_Toc20258"/>
      <w:r>
        <w:rPr>
          <w:snapToGrid w:val="0"/>
          <w:color w:val="auto"/>
          <w:highlight w:val="none"/>
        </w:rPr>
        <w:t>附表：</w:t>
      </w:r>
      <w:bookmarkEnd w:id="88"/>
      <w:bookmarkEnd w:id="89"/>
    </w:p>
    <w:p w14:paraId="78BAE83D">
      <w:pPr>
        <w:pStyle w:val="176"/>
        <w:keepNext w:val="0"/>
        <w:keepLines w:val="0"/>
        <w:pageBreakBefore w:val="0"/>
        <w:widowControl w:val="0"/>
        <w:kinsoku/>
        <w:wordWrap/>
        <w:overflowPunct/>
        <w:topLinePunct w:val="0"/>
        <w:autoSpaceDE/>
        <w:autoSpaceDN/>
        <w:bidi w:val="0"/>
        <w:adjustRightInd/>
        <w:snapToGrid/>
        <w:spacing w:afterLines="0"/>
        <w:ind w:firstLine="0"/>
        <w:jc w:val="center"/>
        <w:textAlignment w:val="auto"/>
        <w:rPr>
          <w:snapToGrid w:val="0"/>
          <w:color w:val="auto"/>
          <w:highlight w:val="none"/>
        </w:rPr>
      </w:pPr>
      <w:r>
        <w:rPr>
          <w:snapToGrid w:val="0"/>
          <w:color w:val="auto"/>
          <w:highlight w:val="none"/>
        </w:rPr>
        <w:t>建设项目污染物排放量汇总表</w:t>
      </w:r>
    </w:p>
    <w:tbl>
      <w:tblPr>
        <w:tblStyle w:val="48"/>
        <w:tblW w:w="15475" w:type="dxa"/>
        <w:tblInd w:w="-4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90"/>
        <w:gridCol w:w="2582"/>
        <w:gridCol w:w="1633"/>
        <w:gridCol w:w="1291"/>
        <w:gridCol w:w="1809"/>
        <w:gridCol w:w="1684"/>
        <w:gridCol w:w="1852"/>
        <w:gridCol w:w="2217"/>
        <w:gridCol w:w="1617"/>
      </w:tblGrid>
      <w:tr w14:paraId="1256B6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tcBorders>
              <w:tl2br w:val="single" w:color="auto" w:sz="4" w:space="0"/>
            </w:tcBorders>
            <w:tcMar>
              <w:left w:w="28" w:type="dxa"/>
              <w:right w:w="28" w:type="dxa"/>
            </w:tcMar>
            <w:vAlign w:val="center"/>
          </w:tcPr>
          <w:p w14:paraId="1FC14A3A">
            <w:pPr>
              <w:pStyle w:val="197"/>
              <w:keepNext w:val="0"/>
              <w:keepLines w:val="0"/>
              <w:suppressLineNumbers w:val="0"/>
              <w:spacing w:before="0" w:beforeLines="0" w:beforeAutospacing="0" w:after="0" w:afterLines="0" w:afterAutospacing="0" w:line="240" w:lineRule="auto"/>
              <w:ind w:left="0" w:right="0" w:firstLine="456"/>
              <w:jc w:val="right"/>
              <w:rPr>
                <w:rFonts w:hint="default" w:ascii="Times New Roman" w:eastAsia="黑体"/>
                <w:snapToGrid w:val="0"/>
                <w:color w:val="auto"/>
                <w:spacing w:val="-6"/>
                <w:kern w:val="21"/>
                <w:szCs w:val="21"/>
                <w:highlight w:val="none"/>
              </w:rPr>
            </w:pPr>
            <w:r>
              <w:rPr>
                <w:rFonts w:hint="default" w:ascii="Times New Roman" w:eastAsia="黑体"/>
                <w:snapToGrid w:val="0"/>
                <w:color w:val="auto"/>
                <w:spacing w:val="-6"/>
                <w:kern w:val="21"/>
                <w:szCs w:val="21"/>
                <w:highlight w:val="none"/>
              </w:rPr>
              <w:t>项目</w:t>
            </w:r>
          </w:p>
          <w:p w14:paraId="1CA85066">
            <w:pPr>
              <w:pStyle w:val="197"/>
              <w:keepNext w:val="0"/>
              <w:keepLines w:val="0"/>
              <w:suppressLineNumbers w:val="0"/>
              <w:spacing w:before="0" w:beforeLines="0" w:beforeAutospacing="0" w:after="0" w:afterLines="0" w:afterAutospacing="0" w:line="240" w:lineRule="auto"/>
              <w:ind w:left="0" w:right="0"/>
              <w:jc w:val="both"/>
              <w:rPr>
                <w:rFonts w:hint="default" w:ascii="Times New Roman" w:eastAsia="黑体"/>
                <w:snapToGrid w:val="0"/>
                <w:color w:val="auto"/>
                <w:spacing w:val="-6"/>
                <w:kern w:val="21"/>
                <w:szCs w:val="21"/>
                <w:highlight w:val="none"/>
              </w:rPr>
            </w:pPr>
            <w:r>
              <w:rPr>
                <w:rFonts w:hint="default" w:ascii="Times New Roman" w:eastAsia="黑体"/>
                <w:snapToGrid w:val="0"/>
                <w:color w:val="auto"/>
                <w:spacing w:val="-6"/>
                <w:kern w:val="21"/>
                <w:szCs w:val="21"/>
                <w:highlight w:val="none"/>
              </w:rPr>
              <w:t>分类</w:t>
            </w:r>
          </w:p>
        </w:tc>
        <w:tc>
          <w:tcPr>
            <w:tcW w:w="2582" w:type="dxa"/>
            <w:tcMar>
              <w:left w:w="28" w:type="dxa"/>
              <w:right w:w="28" w:type="dxa"/>
            </w:tcMar>
            <w:vAlign w:val="center"/>
          </w:tcPr>
          <w:p w14:paraId="002111DB">
            <w:pPr>
              <w:pStyle w:val="197"/>
              <w:keepNext w:val="0"/>
              <w:keepLines w:val="0"/>
              <w:suppressLineNumbers w:val="0"/>
              <w:spacing w:before="0" w:beforeLines="0" w:beforeAutospacing="0" w:after="0" w:afterLines="0" w:afterAutospacing="0" w:line="240" w:lineRule="auto"/>
              <w:ind w:left="0" w:right="0"/>
              <w:rPr>
                <w:rFonts w:hint="default" w:ascii="Times New Roman" w:eastAsia="黑体"/>
                <w:snapToGrid w:val="0"/>
                <w:color w:val="auto"/>
                <w:spacing w:val="-6"/>
                <w:kern w:val="21"/>
                <w:szCs w:val="21"/>
                <w:highlight w:val="none"/>
              </w:rPr>
            </w:pPr>
            <w:r>
              <w:rPr>
                <w:rFonts w:hint="default" w:ascii="Times New Roman" w:eastAsia="黑体"/>
                <w:snapToGrid w:val="0"/>
                <w:color w:val="auto"/>
                <w:spacing w:val="-6"/>
                <w:kern w:val="21"/>
                <w:szCs w:val="21"/>
                <w:highlight w:val="none"/>
              </w:rPr>
              <w:t>污染物名称</w:t>
            </w:r>
          </w:p>
        </w:tc>
        <w:tc>
          <w:tcPr>
            <w:tcW w:w="1633" w:type="dxa"/>
            <w:tcMar>
              <w:left w:w="28" w:type="dxa"/>
              <w:right w:w="28" w:type="dxa"/>
            </w:tcMar>
            <w:vAlign w:val="center"/>
          </w:tcPr>
          <w:p w14:paraId="0FB6A5E6">
            <w:pPr>
              <w:pStyle w:val="197"/>
              <w:keepNext w:val="0"/>
              <w:keepLines w:val="0"/>
              <w:suppressLineNumbers w:val="0"/>
              <w:spacing w:before="0" w:beforeLines="0" w:beforeAutospacing="0" w:after="0" w:afterLines="0" w:afterAutospacing="0" w:line="240" w:lineRule="auto"/>
              <w:ind w:left="0" w:right="0"/>
              <w:rPr>
                <w:rFonts w:hint="default" w:ascii="Times New Roman" w:eastAsia="黑体"/>
                <w:snapToGrid w:val="0"/>
                <w:color w:val="auto"/>
                <w:spacing w:val="-6"/>
                <w:kern w:val="21"/>
                <w:szCs w:val="21"/>
                <w:highlight w:val="none"/>
              </w:rPr>
            </w:pPr>
            <w:r>
              <w:rPr>
                <w:rFonts w:hint="default" w:ascii="Times New Roman" w:eastAsia="黑体"/>
                <w:snapToGrid w:val="0"/>
                <w:color w:val="auto"/>
                <w:spacing w:val="-6"/>
                <w:kern w:val="21"/>
                <w:szCs w:val="21"/>
                <w:highlight w:val="none"/>
              </w:rPr>
              <w:t>现有工程</w:t>
            </w:r>
          </w:p>
          <w:p w14:paraId="6D0729E4">
            <w:pPr>
              <w:pStyle w:val="197"/>
              <w:keepNext w:val="0"/>
              <w:keepLines w:val="0"/>
              <w:suppressLineNumbers w:val="0"/>
              <w:spacing w:before="0" w:beforeLines="0" w:beforeAutospacing="0" w:after="0" w:afterLines="0" w:afterAutospacing="0" w:line="240" w:lineRule="auto"/>
              <w:ind w:left="0" w:right="0"/>
              <w:rPr>
                <w:rFonts w:hint="default" w:ascii="Times New Roman" w:eastAsia="黑体"/>
                <w:snapToGrid w:val="0"/>
                <w:color w:val="auto"/>
                <w:spacing w:val="-6"/>
                <w:kern w:val="21"/>
                <w:szCs w:val="21"/>
                <w:highlight w:val="none"/>
              </w:rPr>
            </w:pPr>
            <w:r>
              <w:rPr>
                <w:rFonts w:hint="default" w:ascii="Times New Roman" w:eastAsia="黑体"/>
                <w:snapToGrid w:val="0"/>
                <w:color w:val="auto"/>
                <w:spacing w:val="-6"/>
                <w:kern w:val="21"/>
                <w:szCs w:val="21"/>
                <w:highlight w:val="none"/>
              </w:rPr>
              <w:t>排放量（固体废物产生量）</w:t>
            </w:r>
            <w:r>
              <w:rPr>
                <w:rFonts w:hint="default" w:ascii="Times New Roman" w:eastAsia="黑体"/>
                <w:snapToGrid w:val="0"/>
                <w:color w:val="auto"/>
                <w:spacing w:val="-6"/>
                <w:kern w:val="21"/>
                <w:szCs w:val="21"/>
                <w:highlight w:val="none"/>
              </w:rPr>
              <w:fldChar w:fldCharType="begin"/>
            </w:r>
            <w:r>
              <w:rPr>
                <w:rFonts w:hint="default" w:ascii="Times New Roman" w:eastAsia="黑体"/>
                <w:snapToGrid w:val="0"/>
                <w:color w:val="auto"/>
                <w:spacing w:val="-6"/>
                <w:kern w:val="21"/>
                <w:szCs w:val="21"/>
                <w:highlight w:val="none"/>
              </w:rPr>
              <w:instrText xml:space="preserve">=1\*GB3\*MERGEFORMAT</w:instrText>
            </w:r>
            <w:r>
              <w:rPr>
                <w:rFonts w:hint="default" w:ascii="Times New Roman" w:eastAsia="黑体"/>
                <w:snapToGrid w:val="0"/>
                <w:color w:val="auto"/>
                <w:spacing w:val="-6"/>
                <w:kern w:val="21"/>
                <w:szCs w:val="21"/>
                <w:highlight w:val="none"/>
              </w:rPr>
              <w:fldChar w:fldCharType="separate"/>
            </w:r>
            <w:r>
              <w:rPr>
                <w:rFonts w:hint="default" w:ascii="Cambria Math" w:hAnsi="Cambria Math" w:eastAsia="黑体" w:cs="Cambria Math"/>
                <w:snapToGrid w:val="0"/>
                <w:color w:val="auto"/>
                <w:spacing w:val="-6"/>
                <w:kern w:val="21"/>
                <w:szCs w:val="21"/>
                <w:highlight w:val="none"/>
              </w:rPr>
              <w:t>①</w:t>
            </w:r>
            <w:r>
              <w:rPr>
                <w:rFonts w:hint="default" w:ascii="Times New Roman" w:eastAsia="黑体"/>
                <w:snapToGrid w:val="0"/>
                <w:color w:val="auto"/>
                <w:spacing w:val="-6"/>
                <w:kern w:val="21"/>
                <w:szCs w:val="21"/>
                <w:highlight w:val="none"/>
              </w:rPr>
              <w:fldChar w:fldCharType="end"/>
            </w:r>
          </w:p>
        </w:tc>
        <w:tc>
          <w:tcPr>
            <w:tcW w:w="1291" w:type="dxa"/>
            <w:tcMar>
              <w:left w:w="28" w:type="dxa"/>
              <w:right w:w="28" w:type="dxa"/>
            </w:tcMar>
            <w:vAlign w:val="center"/>
          </w:tcPr>
          <w:p w14:paraId="46DF0705">
            <w:pPr>
              <w:pStyle w:val="197"/>
              <w:keepNext w:val="0"/>
              <w:keepLines w:val="0"/>
              <w:suppressLineNumbers w:val="0"/>
              <w:spacing w:before="0" w:beforeLines="0" w:beforeAutospacing="0" w:after="0" w:afterLines="0" w:afterAutospacing="0" w:line="240" w:lineRule="auto"/>
              <w:ind w:left="0" w:right="0"/>
              <w:rPr>
                <w:rFonts w:hint="default" w:ascii="Times New Roman" w:eastAsia="黑体"/>
                <w:snapToGrid w:val="0"/>
                <w:color w:val="auto"/>
                <w:spacing w:val="-6"/>
                <w:kern w:val="21"/>
                <w:szCs w:val="21"/>
                <w:highlight w:val="none"/>
              </w:rPr>
            </w:pPr>
            <w:r>
              <w:rPr>
                <w:rFonts w:hint="default" w:ascii="Times New Roman" w:eastAsia="黑体"/>
                <w:snapToGrid w:val="0"/>
                <w:color w:val="auto"/>
                <w:spacing w:val="-6"/>
                <w:kern w:val="21"/>
                <w:szCs w:val="21"/>
                <w:highlight w:val="none"/>
              </w:rPr>
              <w:t>现有工程</w:t>
            </w:r>
          </w:p>
          <w:p w14:paraId="751D2C25">
            <w:pPr>
              <w:pStyle w:val="197"/>
              <w:keepNext w:val="0"/>
              <w:keepLines w:val="0"/>
              <w:suppressLineNumbers w:val="0"/>
              <w:spacing w:before="0" w:beforeLines="0" w:beforeAutospacing="0" w:after="0" w:afterLines="0" w:afterAutospacing="0" w:line="240" w:lineRule="auto"/>
              <w:ind w:left="0" w:right="0"/>
              <w:rPr>
                <w:rFonts w:hint="default" w:ascii="Times New Roman" w:eastAsia="黑体"/>
                <w:snapToGrid w:val="0"/>
                <w:color w:val="auto"/>
                <w:spacing w:val="-6"/>
                <w:kern w:val="21"/>
                <w:szCs w:val="21"/>
                <w:highlight w:val="none"/>
              </w:rPr>
            </w:pPr>
            <w:r>
              <w:rPr>
                <w:rFonts w:hint="default" w:ascii="Times New Roman" w:eastAsia="黑体"/>
                <w:snapToGrid w:val="0"/>
                <w:color w:val="auto"/>
                <w:spacing w:val="-6"/>
                <w:kern w:val="21"/>
                <w:szCs w:val="21"/>
                <w:highlight w:val="none"/>
              </w:rPr>
              <w:t>许可排放量</w:t>
            </w:r>
          </w:p>
          <w:p w14:paraId="7B3385C4">
            <w:pPr>
              <w:pStyle w:val="197"/>
              <w:keepNext w:val="0"/>
              <w:keepLines w:val="0"/>
              <w:suppressLineNumbers w:val="0"/>
              <w:spacing w:before="0" w:beforeLines="0" w:beforeAutospacing="0" w:after="0" w:afterLines="0" w:afterAutospacing="0" w:line="240" w:lineRule="auto"/>
              <w:ind w:left="0" w:right="0"/>
              <w:rPr>
                <w:rFonts w:hint="default" w:ascii="Times New Roman" w:eastAsia="黑体"/>
                <w:snapToGrid w:val="0"/>
                <w:color w:val="auto"/>
                <w:spacing w:val="-6"/>
                <w:kern w:val="21"/>
                <w:szCs w:val="21"/>
                <w:highlight w:val="none"/>
              </w:rPr>
            </w:pPr>
            <w:r>
              <w:rPr>
                <w:rFonts w:hint="default" w:ascii="Times New Roman" w:eastAsia="黑体"/>
                <w:snapToGrid w:val="0"/>
                <w:color w:val="auto"/>
                <w:spacing w:val="-6"/>
                <w:kern w:val="21"/>
                <w:szCs w:val="21"/>
                <w:highlight w:val="none"/>
              </w:rPr>
              <w:fldChar w:fldCharType="begin"/>
            </w:r>
            <w:r>
              <w:rPr>
                <w:rFonts w:hint="default" w:ascii="Times New Roman" w:eastAsia="黑体"/>
                <w:snapToGrid w:val="0"/>
                <w:color w:val="auto"/>
                <w:spacing w:val="-6"/>
                <w:kern w:val="21"/>
                <w:szCs w:val="21"/>
                <w:highlight w:val="none"/>
              </w:rPr>
              <w:instrText xml:space="preserve">=2\*GB3\*MERGEFORMAT</w:instrText>
            </w:r>
            <w:r>
              <w:rPr>
                <w:rFonts w:hint="default" w:ascii="Times New Roman" w:eastAsia="黑体"/>
                <w:snapToGrid w:val="0"/>
                <w:color w:val="auto"/>
                <w:spacing w:val="-6"/>
                <w:kern w:val="21"/>
                <w:szCs w:val="21"/>
                <w:highlight w:val="none"/>
              </w:rPr>
              <w:fldChar w:fldCharType="separate"/>
            </w:r>
            <w:r>
              <w:rPr>
                <w:rFonts w:hint="default" w:ascii="Cambria Math" w:hAnsi="Cambria Math" w:eastAsia="黑体" w:cs="Cambria Math"/>
                <w:snapToGrid w:val="0"/>
                <w:color w:val="auto"/>
                <w:spacing w:val="-6"/>
                <w:kern w:val="21"/>
                <w:szCs w:val="21"/>
                <w:highlight w:val="none"/>
              </w:rPr>
              <w:t>②</w:t>
            </w:r>
            <w:r>
              <w:rPr>
                <w:rFonts w:hint="default" w:ascii="Times New Roman" w:eastAsia="黑体"/>
                <w:snapToGrid w:val="0"/>
                <w:color w:val="auto"/>
                <w:spacing w:val="-6"/>
                <w:kern w:val="21"/>
                <w:szCs w:val="21"/>
                <w:highlight w:val="none"/>
              </w:rPr>
              <w:fldChar w:fldCharType="end"/>
            </w:r>
          </w:p>
        </w:tc>
        <w:tc>
          <w:tcPr>
            <w:tcW w:w="1809" w:type="dxa"/>
            <w:tcMar>
              <w:left w:w="28" w:type="dxa"/>
              <w:right w:w="28" w:type="dxa"/>
            </w:tcMar>
            <w:vAlign w:val="center"/>
          </w:tcPr>
          <w:p w14:paraId="029FBA00">
            <w:pPr>
              <w:pStyle w:val="197"/>
              <w:keepNext w:val="0"/>
              <w:keepLines w:val="0"/>
              <w:suppressLineNumbers w:val="0"/>
              <w:spacing w:before="0" w:beforeLines="0" w:beforeAutospacing="0" w:after="0" w:afterLines="0" w:afterAutospacing="0" w:line="240" w:lineRule="auto"/>
              <w:ind w:left="0" w:right="0"/>
              <w:rPr>
                <w:rFonts w:hint="default" w:ascii="Times New Roman" w:eastAsia="黑体"/>
                <w:snapToGrid w:val="0"/>
                <w:color w:val="auto"/>
                <w:spacing w:val="-6"/>
                <w:kern w:val="21"/>
                <w:szCs w:val="21"/>
                <w:highlight w:val="none"/>
              </w:rPr>
            </w:pPr>
            <w:r>
              <w:rPr>
                <w:rFonts w:hint="default" w:ascii="Times New Roman" w:eastAsia="黑体"/>
                <w:snapToGrid w:val="0"/>
                <w:color w:val="auto"/>
                <w:spacing w:val="-6"/>
                <w:kern w:val="21"/>
                <w:szCs w:val="21"/>
                <w:highlight w:val="none"/>
              </w:rPr>
              <w:t>在建工程</w:t>
            </w:r>
          </w:p>
          <w:p w14:paraId="44AF46F9">
            <w:pPr>
              <w:pStyle w:val="197"/>
              <w:keepNext w:val="0"/>
              <w:keepLines w:val="0"/>
              <w:suppressLineNumbers w:val="0"/>
              <w:spacing w:before="0" w:beforeLines="0" w:beforeAutospacing="0" w:after="0" w:afterLines="0" w:afterAutospacing="0" w:line="240" w:lineRule="auto"/>
              <w:ind w:left="0" w:right="0"/>
              <w:rPr>
                <w:rFonts w:hint="default" w:ascii="Times New Roman" w:eastAsia="黑体"/>
                <w:snapToGrid w:val="0"/>
                <w:color w:val="auto"/>
                <w:spacing w:val="-6"/>
                <w:kern w:val="21"/>
                <w:szCs w:val="21"/>
                <w:highlight w:val="none"/>
              </w:rPr>
            </w:pPr>
            <w:r>
              <w:rPr>
                <w:rFonts w:hint="default" w:ascii="Times New Roman" w:eastAsia="黑体"/>
                <w:snapToGrid w:val="0"/>
                <w:color w:val="auto"/>
                <w:spacing w:val="-6"/>
                <w:kern w:val="21"/>
                <w:szCs w:val="21"/>
                <w:highlight w:val="none"/>
              </w:rPr>
              <w:t>排放量（固体废物产生量）</w:t>
            </w:r>
            <w:r>
              <w:rPr>
                <w:rFonts w:hint="default" w:ascii="Times New Roman" w:eastAsia="黑体"/>
                <w:snapToGrid w:val="0"/>
                <w:color w:val="auto"/>
                <w:spacing w:val="-6"/>
                <w:kern w:val="21"/>
                <w:szCs w:val="21"/>
                <w:highlight w:val="none"/>
              </w:rPr>
              <w:fldChar w:fldCharType="begin"/>
            </w:r>
            <w:r>
              <w:rPr>
                <w:rFonts w:hint="default" w:ascii="Times New Roman" w:eastAsia="黑体"/>
                <w:snapToGrid w:val="0"/>
                <w:color w:val="auto"/>
                <w:spacing w:val="-6"/>
                <w:kern w:val="21"/>
                <w:szCs w:val="21"/>
                <w:highlight w:val="none"/>
              </w:rPr>
              <w:instrText xml:space="preserve">=3\*GB3\*MERGEFORMAT</w:instrText>
            </w:r>
            <w:r>
              <w:rPr>
                <w:rFonts w:hint="default" w:ascii="Times New Roman" w:eastAsia="黑体"/>
                <w:snapToGrid w:val="0"/>
                <w:color w:val="auto"/>
                <w:spacing w:val="-6"/>
                <w:kern w:val="21"/>
                <w:szCs w:val="21"/>
                <w:highlight w:val="none"/>
              </w:rPr>
              <w:fldChar w:fldCharType="separate"/>
            </w:r>
            <w:r>
              <w:rPr>
                <w:rFonts w:hint="default" w:ascii="Cambria Math" w:hAnsi="Cambria Math" w:eastAsia="黑体" w:cs="Cambria Math"/>
                <w:snapToGrid w:val="0"/>
                <w:color w:val="auto"/>
                <w:spacing w:val="-6"/>
                <w:kern w:val="21"/>
                <w:szCs w:val="21"/>
                <w:highlight w:val="none"/>
              </w:rPr>
              <w:t>③</w:t>
            </w:r>
            <w:r>
              <w:rPr>
                <w:rFonts w:hint="default" w:ascii="Times New Roman" w:eastAsia="黑体"/>
                <w:snapToGrid w:val="0"/>
                <w:color w:val="auto"/>
                <w:spacing w:val="-6"/>
                <w:kern w:val="21"/>
                <w:szCs w:val="21"/>
                <w:highlight w:val="none"/>
              </w:rPr>
              <w:fldChar w:fldCharType="end"/>
            </w:r>
          </w:p>
        </w:tc>
        <w:tc>
          <w:tcPr>
            <w:tcW w:w="1684" w:type="dxa"/>
            <w:tcMar>
              <w:left w:w="28" w:type="dxa"/>
              <w:right w:w="28" w:type="dxa"/>
            </w:tcMar>
            <w:vAlign w:val="center"/>
          </w:tcPr>
          <w:p w14:paraId="1342A869">
            <w:pPr>
              <w:pStyle w:val="197"/>
              <w:keepNext w:val="0"/>
              <w:keepLines w:val="0"/>
              <w:suppressLineNumbers w:val="0"/>
              <w:spacing w:before="0" w:beforeLines="0" w:beforeAutospacing="0" w:after="0" w:afterLines="0" w:afterAutospacing="0" w:line="240" w:lineRule="auto"/>
              <w:ind w:left="0" w:right="0"/>
              <w:rPr>
                <w:rFonts w:hint="default" w:ascii="Times New Roman" w:eastAsia="黑体"/>
                <w:snapToGrid w:val="0"/>
                <w:color w:val="auto"/>
                <w:spacing w:val="-6"/>
                <w:kern w:val="21"/>
                <w:szCs w:val="21"/>
                <w:highlight w:val="none"/>
              </w:rPr>
            </w:pPr>
            <w:r>
              <w:rPr>
                <w:rFonts w:hint="default" w:ascii="Times New Roman" w:eastAsia="黑体"/>
                <w:snapToGrid w:val="0"/>
                <w:color w:val="auto"/>
                <w:spacing w:val="-6"/>
                <w:kern w:val="21"/>
                <w:szCs w:val="21"/>
                <w:highlight w:val="none"/>
              </w:rPr>
              <w:t>本项目</w:t>
            </w:r>
          </w:p>
          <w:p w14:paraId="7F43887A">
            <w:pPr>
              <w:pStyle w:val="197"/>
              <w:keepNext w:val="0"/>
              <w:keepLines w:val="0"/>
              <w:suppressLineNumbers w:val="0"/>
              <w:spacing w:before="0" w:beforeLines="0" w:beforeAutospacing="0" w:after="0" w:afterLines="0" w:afterAutospacing="0" w:line="240" w:lineRule="auto"/>
              <w:ind w:left="0" w:right="0"/>
              <w:rPr>
                <w:rFonts w:hint="default" w:ascii="Times New Roman" w:eastAsia="黑体"/>
                <w:snapToGrid w:val="0"/>
                <w:color w:val="auto"/>
                <w:spacing w:val="-6"/>
                <w:kern w:val="21"/>
                <w:szCs w:val="21"/>
                <w:highlight w:val="none"/>
              </w:rPr>
            </w:pPr>
            <w:r>
              <w:rPr>
                <w:rFonts w:hint="default" w:ascii="Times New Roman" w:eastAsia="黑体"/>
                <w:snapToGrid w:val="0"/>
                <w:color w:val="auto"/>
                <w:spacing w:val="-6"/>
                <w:kern w:val="21"/>
                <w:szCs w:val="21"/>
                <w:highlight w:val="none"/>
              </w:rPr>
              <w:t>排放量（固体废物产生量）</w:t>
            </w:r>
            <w:r>
              <w:rPr>
                <w:rFonts w:hint="default" w:ascii="Times New Roman" w:eastAsia="黑体"/>
                <w:snapToGrid w:val="0"/>
                <w:color w:val="auto"/>
                <w:spacing w:val="-6"/>
                <w:kern w:val="21"/>
                <w:szCs w:val="21"/>
                <w:highlight w:val="none"/>
              </w:rPr>
              <w:fldChar w:fldCharType="begin"/>
            </w:r>
            <w:r>
              <w:rPr>
                <w:rFonts w:hint="default" w:ascii="Times New Roman" w:eastAsia="黑体"/>
                <w:snapToGrid w:val="0"/>
                <w:color w:val="auto"/>
                <w:spacing w:val="-6"/>
                <w:kern w:val="21"/>
                <w:szCs w:val="21"/>
                <w:highlight w:val="none"/>
              </w:rPr>
              <w:instrText xml:space="preserve">=4\*GB3\*MERGEFORMAT</w:instrText>
            </w:r>
            <w:r>
              <w:rPr>
                <w:rFonts w:hint="default" w:ascii="Times New Roman" w:eastAsia="黑体"/>
                <w:snapToGrid w:val="0"/>
                <w:color w:val="auto"/>
                <w:spacing w:val="-6"/>
                <w:kern w:val="21"/>
                <w:szCs w:val="21"/>
                <w:highlight w:val="none"/>
              </w:rPr>
              <w:fldChar w:fldCharType="separate"/>
            </w:r>
            <w:r>
              <w:rPr>
                <w:rFonts w:hint="default" w:ascii="Cambria Math" w:hAnsi="Cambria Math" w:eastAsia="黑体" w:cs="Cambria Math"/>
                <w:snapToGrid w:val="0"/>
                <w:color w:val="auto"/>
                <w:spacing w:val="-6"/>
                <w:kern w:val="21"/>
                <w:szCs w:val="21"/>
                <w:highlight w:val="none"/>
              </w:rPr>
              <w:t>④</w:t>
            </w:r>
            <w:r>
              <w:rPr>
                <w:rFonts w:hint="default" w:ascii="Times New Roman" w:eastAsia="黑体"/>
                <w:snapToGrid w:val="0"/>
                <w:color w:val="auto"/>
                <w:spacing w:val="-6"/>
                <w:kern w:val="21"/>
                <w:szCs w:val="21"/>
                <w:highlight w:val="none"/>
              </w:rPr>
              <w:fldChar w:fldCharType="end"/>
            </w:r>
          </w:p>
        </w:tc>
        <w:tc>
          <w:tcPr>
            <w:tcW w:w="1852" w:type="dxa"/>
            <w:tcMar>
              <w:left w:w="28" w:type="dxa"/>
              <w:right w:w="28" w:type="dxa"/>
            </w:tcMar>
            <w:vAlign w:val="center"/>
          </w:tcPr>
          <w:p w14:paraId="5CD7A355">
            <w:pPr>
              <w:pStyle w:val="197"/>
              <w:keepNext w:val="0"/>
              <w:keepLines w:val="0"/>
              <w:suppressLineNumbers w:val="0"/>
              <w:spacing w:before="0" w:beforeLines="0" w:beforeAutospacing="0" w:after="0" w:afterLines="0" w:afterAutospacing="0" w:line="240" w:lineRule="auto"/>
              <w:ind w:left="0" w:right="0"/>
              <w:rPr>
                <w:rFonts w:hint="default" w:ascii="Times New Roman" w:eastAsia="黑体"/>
                <w:snapToGrid w:val="0"/>
                <w:color w:val="auto"/>
                <w:spacing w:val="-6"/>
                <w:kern w:val="21"/>
                <w:szCs w:val="21"/>
                <w:highlight w:val="none"/>
              </w:rPr>
            </w:pPr>
            <w:r>
              <w:rPr>
                <w:rFonts w:hint="default" w:ascii="Times New Roman" w:eastAsia="黑体"/>
                <w:snapToGrid w:val="0"/>
                <w:color w:val="auto"/>
                <w:spacing w:val="-6"/>
                <w:kern w:val="21"/>
                <w:szCs w:val="21"/>
                <w:highlight w:val="none"/>
              </w:rPr>
              <w:t>以新带老削减量</w:t>
            </w:r>
          </w:p>
          <w:p w14:paraId="57A1ED30">
            <w:pPr>
              <w:pStyle w:val="197"/>
              <w:keepNext w:val="0"/>
              <w:keepLines w:val="0"/>
              <w:suppressLineNumbers w:val="0"/>
              <w:spacing w:before="0" w:beforeLines="0" w:beforeAutospacing="0" w:after="0" w:afterLines="0" w:afterAutospacing="0" w:line="240" w:lineRule="auto"/>
              <w:ind w:left="0" w:right="0"/>
              <w:rPr>
                <w:rFonts w:hint="default" w:ascii="Times New Roman" w:eastAsia="黑体"/>
                <w:snapToGrid w:val="0"/>
                <w:color w:val="auto"/>
                <w:spacing w:val="-6"/>
                <w:kern w:val="21"/>
                <w:szCs w:val="21"/>
                <w:highlight w:val="none"/>
              </w:rPr>
            </w:pPr>
            <w:r>
              <w:rPr>
                <w:rFonts w:hint="default" w:ascii="Times New Roman" w:eastAsia="黑体"/>
                <w:snapToGrid w:val="0"/>
                <w:color w:val="auto"/>
                <w:spacing w:val="-6"/>
                <w:kern w:val="21"/>
                <w:szCs w:val="21"/>
                <w:highlight w:val="none"/>
              </w:rPr>
              <w:t>（新建项目不填）</w:t>
            </w:r>
            <w:r>
              <w:rPr>
                <w:rFonts w:hint="default" w:ascii="Times New Roman" w:eastAsia="黑体"/>
                <w:snapToGrid w:val="0"/>
                <w:color w:val="auto"/>
                <w:spacing w:val="-6"/>
                <w:kern w:val="21"/>
                <w:szCs w:val="21"/>
                <w:highlight w:val="none"/>
              </w:rPr>
              <w:fldChar w:fldCharType="begin"/>
            </w:r>
            <w:r>
              <w:rPr>
                <w:rFonts w:hint="default" w:ascii="Times New Roman" w:eastAsia="黑体"/>
                <w:snapToGrid w:val="0"/>
                <w:color w:val="auto"/>
                <w:spacing w:val="-6"/>
                <w:kern w:val="21"/>
                <w:szCs w:val="21"/>
                <w:highlight w:val="none"/>
              </w:rPr>
              <w:instrText xml:space="preserve">=5\*GB3\*MERGEFORMAT</w:instrText>
            </w:r>
            <w:r>
              <w:rPr>
                <w:rFonts w:hint="default" w:ascii="Times New Roman" w:eastAsia="黑体"/>
                <w:snapToGrid w:val="0"/>
                <w:color w:val="auto"/>
                <w:spacing w:val="-6"/>
                <w:kern w:val="21"/>
                <w:szCs w:val="21"/>
                <w:highlight w:val="none"/>
              </w:rPr>
              <w:fldChar w:fldCharType="separate"/>
            </w:r>
            <w:r>
              <w:rPr>
                <w:rFonts w:hint="default" w:ascii="Cambria Math" w:hAnsi="Cambria Math" w:eastAsia="黑体" w:cs="Cambria Math"/>
                <w:snapToGrid w:val="0"/>
                <w:color w:val="auto"/>
                <w:spacing w:val="-6"/>
                <w:kern w:val="21"/>
                <w:szCs w:val="21"/>
                <w:highlight w:val="none"/>
              </w:rPr>
              <w:t>⑤</w:t>
            </w:r>
            <w:r>
              <w:rPr>
                <w:rFonts w:hint="default" w:ascii="Times New Roman" w:eastAsia="黑体"/>
                <w:snapToGrid w:val="0"/>
                <w:color w:val="auto"/>
                <w:spacing w:val="-6"/>
                <w:kern w:val="21"/>
                <w:szCs w:val="21"/>
                <w:highlight w:val="none"/>
              </w:rPr>
              <w:fldChar w:fldCharType="end"/>
            </w:r>
          </w:p>
        </w:tc>
        <w:tc>
          <w:tcPr>
            <w:tcW w:w="2217" w:type="dxa"/>
            <w:tcMar>
              <w:left w:w="28" w:type="dxa"/>
              <w:right w:w="28" w:type="dxa"/>
            </w:tcMar>
            <w:vAlign w:val="center"/>
          </w:tcPr>
          <w:p w14:paraId="7A152732">
            <w:pPr>
              <w:pStyle w:val="197"/>
              <w:keepNext w:val="0"/>
              <w:keepLines w:val="0"/>
              <w:suppressLineNumbers w:val="0"/>
              <w:spacing w:before="0" w:beforeLines="0" w:beforeAutospacing="0" w:after="0" w:afterLines="0" w:afterAutospacing="0" w:line="240" w:lineRule="auto"/>
              <w:ind w:left="0" w:right="0"/>
              <w:rPr>
                <w:rFonts w:hint="default" w:ascii="Times New Roman" w:eastAsia="黑体"/>
                <w:snapToGrid w:val="0"/>
                <w:color w:val="auto"/>
                <w:spacing w:val="-6"/>
                <w:kern w:val="21"/>
                <w:szCs w:val="21"/>
                <w:highlight w:val="none"/>
              </w:rPr>
            </w:pPr>
            <w:r>
              <w:rPr>
                <w:rFonts w:hint="default" w:ascii="Times New Roman" w:eastAsia="黑体"/>
                <w:snapToGrid w:val="0"/>
                <w:color w:val="auto"/>
                <w:spacing w:val="-6"/>
                <w:kern w:val="21"/>
                <w:szCs w:val="21"/>
                <w:highlight w:val="none"/>
              </w:rPr>
              <w:t>本项目建成后</w:t>
            </w:r>
          </w:p>
          <w:p w14:paraId="188DA46D">
            <w:pPr>
              <w:pStyle w:val="197"/>
              <w:keepNext w:val="0"/>
              <w:keepLines w:val="0"/>
              <w:suppressLineNumbers w:val="0"/>
              <w:spacing w:before="0" w:beforeLines="0" w:beforeAutospacing="0" w:after="0" w:afterLines="0" w:afterAutospacing="0" w:line="240" w:lineRule="auto"/>
              <w:ind w:left="0" w:right="0"/>
              <w:rPr>
                <w:rFonts w:hint="default" w:ascii="Times New Roman" w:eastAsia="黑体"/>
                <w:snapToGrid w:val="0"/>
                <w:color w:val="auto"/>
                <w:spacing w:val="-6"/>
                <w:kern w:val="21"/>
                <w:szCs w:val="21"/>
                <w:highlight w:val="none"/>
              </w:rPr>
            </w:pPr>
            <w:r>
              <w:rPr>
                <w:rFonts w:hint="default" w:ascii="Times New Roman" w:eastAsia="黑体"/>
                <w:snapToGrid w:val="0"/>
                <w:color w:val="auto"/>
                <w:spacing w:val="-6"/>
                <w:kern w:val="21"/>
                <w:szCs w:val="21"/>
                <w:highlight w:val="none"/>
              </w:rPr>
              <w:t>全厂排放量（固体废物产生量）</w:t>
            </w:r>
            <w:r>
              <w:rPr>
                <w:rFonts w:hint="default" w:ascii="Times New Roman" w:eastAsia="黑体"/>
                <w:snapToGrid w:val="0"/>
                <w:color w:val="auto"/>
                <w:spacing w:val="-6"/>
                <w:kern w:val="21"/>
                <w:szCs w:val="21"/>
                <w:highlight w:val="none"/>
              </w:rPr>
              <w:fldChar w:fldCharType="begin"/>
            </w:r>
            <w:r>
              <w:rPr>
                <w:rFonts w:hint="default" w:ascii="Times New Roman" w:eastAsia="黑体"/>
                <w:snapToGrid w:val="0"/>
                <w:color w:val="auto"/>
                <w:spacing w:val="-6"/>
                <w:kern w:val="21"/>
                <w:szCs w:val="21"/>
                <w:highlight w:val="none"/>
              </w:rPr>
              <w:instrText xml:space="preserve">=6\*GB3\*MERGEFORMAT</w:instrText>
            </w:r>
            <w:r>
              <w:rPr>
                <w:rFonts w:hint="default" w:ascii="Times New Roman" w:eastAsia="黑体"/>
                <w:snapToGrid w:val="0"/>
                <w:color w:val="auto"/>
                <w:spacing w:val="-6"/>
                <w:kern w:val="21"/>
                <w:szCs w:val="21"/>
                <w:highlight w:val="none"/>
              </w:rPr>
              <w:fldChar w:fldCharType="separate"/>
            </w:r>
            <w:r>
              <w:rPr>
                <w:rFonts w:hint="default" w:ascii="Cambria Math" w:hAnsi="Cambria Math" w:eastAsia="黑体" w:cs="Cambria Math"/>
                <w:snapToGrid w:val="0"/>
                <w:color w:val="auto"/>
                <w:spacing w:val="-6"/>
                <w:kern w:val="21"/>
                <w:szCs w:val="21"/>
                <w:highlight w:val="none"/>
              </w:rPr>
              <w:t>⑥</w:t>
            </w:r>
            <w:r>
              <w:rPr>
                <w:rFonts w:hint="default" w:ascii="Times New Roman" w:eastAsia="黑体"/>
                <w:snapToGrid w:val="0"/>
                <w:color w:val="auto"/>
                <w:spacing w:val="-6"/>
                <w:kern w:val="21"/>
                <w:szCs w:val="21"/>
                <w:highlight w:val="none"/>
              </w:rPr>
              <w:fldChar w:fldCharType="end"/>
            </w:r>
          </w:p>
        </w:tc>
        <w:tc>
          <w:tcPr>
            <w:tcW w:w="1617" w:type="dxa"/>
            <w:tcMar>
              <w:left w:w="28" w:type="dxa"/>
              <w:right w:w="28" w:type="dxa"/>
            </w:tcMar>
            <w:vAlign w:val="center"/>
          </w:tcPr>
          <w:p w14:paraId="0CE9956F">
            <w:pPr>
              <w:pStyle w:val="197"/>
              <w:keepNext w:val="0"/>
              <w:keepLines w:val="0"/>
              <w:suppressLineNumbers w:val="0"/>
              <w:spacing w:before="0" w:beforeLines="0" w:beforeAutospacing="0" w:after="0" w:afterLines="0" w:afterAutospacing="0" w:line="240" w:lineRule="auto"/>
              <w:ind w:left="0" w:right="0"/>
              <w:rPr>
                <w:rFonts w:hint="default" w:ascii="Times New Roman" w:eastAsia="黑体"/>
                <w:snapToGrid w:val="0"/>
                <w:color w:val="auto"/>
                <w:spacing w:val="-6"/>
                <w:kern w:val="21"/>
                <w:szCs w:val="21"/>
                <w:highlight w:val="none"/>
              </w:rPr>
            </w:pPr>
            <w:r>
              <w:rPr>
                <w:rFonts w:hint="default" w:ascii="Times New Roman" w:eastAsia="黑体"/>
                <w:snapToGrid w:val="0"/>
                <w:color w:val="auto"/>
                <w:spacing w:val="-6"/>
                <w:kern w:val="21"/>
                <w:szCs w:val="21"/>
                <w:highlight w:val="none"/>
              </w:rPr>
              <w:t>变化量</w:t>
            </w:r>
          </w:p>
          <w:p w14:paraId="781680C3">
            <w:pPr>
              <w:pStyle w:val="197"/>
              <w:keepNext w:val="0"/>
              <w:keepLines w:val="0"/>
              <w:suppressLineNumbers w:val="0"/>
              <w:spacing w:before="0" w:beforeLines="0" w:beforeAutospacing="0" w:after="0" w:afterLines="0" w:afterAutospacing="0" w:line="240" w:lineRule="auto"/>
              <w:ind w:left="0" w:right="0"/>
              <w:rPr>
                <w:rFonts w:hint="default" w:ascii="Times New Roman" w:eastAsia="黑体"/>
                <w:snapToGrid w:val="0"/>
                <w:color w:val="auto"/>
                <w:spacing w:val="-6"/>
                <w:kern w:val="21"/>
                <w:szCs w:val="21"/>
                <w:highlight w:val="none"/>
              </w:rPr>
            </w:pPr>
            <w:r>
              <w:rPr>
                <w:rFonts w:hint="default" w:ascii="Times New Roman" w:eastAsia="黑体"/>
                <w:snapToGrid w:val="0"/>
                <w:color w:val="auto"/>
                <w:spacing w:val="-6"/>
                <w:kern w:val="21"/>
                <w:szCs w:val="21"/>
                <w:highlight w:val="none"/>
              </w:rPr>
              <w:fldChar w:fldCharType="begin"/>
            </w:r>
            <w:r>
              <w:rPr>
                <w:rFonts w:hint="default" w:ascii="Times New Roman" w:eastAsia="黑体"/>
                <w:snapToGrid w:val="0"/>
                <w:color w:val="auto"/>
                <w:spacing w:val="-6"/>
                <w:kern w:val="21"/>
                <w:szCs w:val="21"/>
                <w:highlight w:val="none"/>
              </w:rPr>
              <w:instrText xml:space="preserve">=7\*GB3\*MERGEFORMAT</w:instrText>
            </w:r>
            <w:r>
              <w:rPr>
                <w:rFonts w:hint="default" w:ascii="Times New Roman" w:eastAsia="黑体"/>
                <w:snapToGrid w:val="0"/>
                <w:color w:val="auto"/>
                <w:spacing w:val="-6"/>
                <w:kern w:val="21"/>
                <w:szCs w:val="21"/>
                <w:highlight w:val="none"/>
              </w:rPr>
              <w:fldChar w:fldCharType="separate"/>
            </w:r>
            <w:r>
              <w:rPr>
                <w:rFonts w:hint="default" w:ascii="Cambria Math" w:hAnsi="Cambria Math" w:eastAsia="黑体" w:cs="Cambria Math"/>
                <w:snapToGrid w:val="0"/>
                <w:color w:val="auto"/>
                <w:spacing w:val="-6"/>
                <w:kern w:val="21"/>
                <w:szCs w:val="21"/>
                <w:highlight w:val="none"/>
              </w:rPr>
              <w:t>⑦</w:t>
            </w:r>
            <w:r>
              <w:rPr>
                <w:rFonts w:hint="default" w:ascii="Times New Roman" w:eastAsia="黑体"/>
                <w:snapToGrid w:val="0"/>
                <w:color w:val="auto"/>
                <w:spacing w:val="-6"/>
                <w:kern w:val="21"/>
                <w:szCs w:val="21"/>
                <w:highlight w:val="none"/>
              </w:rPr>
              <w:fldChar w:fldCharType="end"/>
            </w:r>
          </w:p>
        </w:tc>
      </w:tr>
      <w:tr w14:paraId="44B571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90" w:type="dxa"/>
            <w:vMerge w:val="restart"/>
            <w:vAlign w:val="center"/>
          </w:tcPr>
          <w:p w14:paraId="23B530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废气</w:t>
            </w:r>
          </w:p>
        </w:tc>
        <w:tc>
          <w:tcPr>
            <w:tcW w:w="2582" w:type="dxa"/>
            <w:vAlign w:val="center"/>
          </w:tcPr>
          <w:p w14:paraId="43F77344">
            <w:pPr>
              <w:keepNext w:val="0"/>
              <w:keepLines w:val="0"/>
              <w:widowControl/>
              <w:suppressLineNumbers w:val="0"/>
              <w:spacing w:before="0" w:beforeAutospacing="0" w:after="0" w:afterAutospacing="0"/>
              <w:ind w:left="0" w:right="0"/>
              <w:jc w:val="left"/>
              <w:rPr>
                <w:rFonts w:hint="default"/>
                <w:color w:val="auto"/>
              </w:rPr>
            </w:pPr>
            <w:r>
              <w:rPr>
                <w:rFonts w:hint="eastAsia" w:ascii="宋体" w:hAnsi="宋体" w:eastAsia="宋体" w:cs="宋体"/>
                <w:color w:val="auto"/>
                <w:kern w:val="0"/>
                <w:sz w:val="21"/>
                <w:szCs w:val="21"/>
                <w:lang w:val="en-US" w:eastAsia="zh-CN" w:bidi="ar"/>
              </w:rPr>
              <w:t>挥发性有机物（非甲</w:t>
            </w:r>
          </w:p>
          <w:p w14:paraId="790D4071">
            <w:pPr>
              <w:keepNext w:val="0"/>
              <w:keepLines w:val="0"/>
              <w:widowControl/>
              <w:suppressLineNumbers w:val="0"/>
              <w:spacing w:before="0" w:beforeAutospacing="0" w:after="0" w:afterAutospacing="0"/>
              <w:ind w:left="0" w:right="0"/>
              <w:jc w:val="left"/>
              <w:rPr>
                <w:rFonts w:hint="default" w:ascii="Times New Roman"/>
                <w:snapToGrid w:val="0"/>
                <w:color w:val="auto"/>
                <w:kern w:val="21"/>
                <w:szCs w:val="21"/>
                <w:highlight w:val="none"/>
              </w:rPr>
            </w:pPr>
            <w:r>
              <w:rPr>
                <w:rFonts w:hint="eastAsia" w:ascii="宋体" w:hAnsi="宋体" w:eastAsia="宋体" w:cs="宋体"/>
                <w:color w:val="auto"/>
                <w:kern w:val="0"/>
                <w:sz w:val="21"/>
                <w:szCs w:val="21"/>
                <w:lang w:val="en-US" w:eastAsia="zh-CN" w:bidi="ar"/>
              </w:rPr>
              <w:t>烷总烃、</w:t>
            </w:r>
            <w:r>
              <w:rPr>
                <w:rFonts w:hint="default" w:ascii="Times New Roman" w:hAnsi="Times New Roman" w:eastAsia="宋体" w:cs="var(--dsw-font-markdown-table)"/>
                <w:color w:val="auto"/>
                <w:kern w:val="0"/>
                <w:sz w:val="21"/>
                <w:szCs w:val="24"/>
                <w:lang w:val="en-US" w:eastAsia="zh-CN" w:bidi="ar"/>
              </w:rPr>
              <w:t>总VOCs</w:t>
            </w:r>
            <w:r>
              <w:rPr>
                <w:rFonts w:hint="eastAsia" w:ascii="宋体" w:hAnsi="宋体" w:eastAsia="宋体" w:cs="宋体"/>
                <w:color w:val="auto"/>
                <w:kern w:val="0"/>
                <w:sz w:val="21"/>
                <w:szCs w:val="21"/>
                <w:lang w:val="en-US" w:eastAsia="zh-CN" w:bidi="ar"/>
              </w:rPr>
              <w:t>）</w:t>
            </w:r>
          </w:p>
        </w:tc>
        <w:tc>
          <w:tcPr>
            <w:tcW w:w="1633" w:type="dxa"/>
            <w:vAlign w:val="center"/>
          </w:tcPr>
          <w:p w14:paraId="0C6E15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76298F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3377BE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13C2B2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b w:val="0"/>
                <w:bCs w:val="0"/>
                <w:snapToGrid w:val="0"/>
                <w:color w:val="auto"/>
                <w:kern w:val="21"/>
                <w:szCs w:val="21"/>
                <w:highlight w:val="none"/>
                <w:lang w:val="en-US"/>
              </w:rPr>
            </w:pPr>
            <w:r>
              <w:rPr>
                <w:rFonts w:hint="eastAsia" w:cs="var(--dsw-font-markdown-table)"/>
                <w:b w:val="0"/>
                <w:bCs w:val="0"/>
                <w:color w:val="auto"/>
                <w:kern w:val="0"/>
                <w:sz w:val="21"/>
                <w:szCs w:val="24"/>
                <w:lang w:val="en-US" w:eastAsia="zh-CN" w:bidi="ar"/>
              </w:rPr>
              <w:t>0.696</w:t>
            </w:r>
          </w:p>
        </w:tc>
        <w:tc>
          <w:tcPr>
            <w:tcW w:w="1852" w:type="dxa"/>
            <w:vAlign w:val="center"/>
          </w:tcPr>
          <w:p w14:paraId="2F51E6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7410CE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snapToGrid w:val="0"/>
                <w:color w:val="auto"/>
                <w:kern w:val="21"/>
                <w:szCs w:val="21"/>
                <w:highlight w:val="none"/>
                <w:lang w:val="en-US"/>
              </w:rPr>
            </w:pPr>
            <w:r>
              <w:rPr>
                <w:rFonts w:hint="eastAsia" w:cs="var(--dsw-font-markdown-table)"/>
                <w:b w:val="0"/>
                <w:bCs w:val="0"/>
                <w:color w:val="auto"/>
                <w:kern w:val="0"/>
                <w:sz w:val="21"/>
                <w:szCs w:val="24"/>
                <w:lang w:val="en-US" w:eastAsia="zh-CN" w:bidi="ar"/>
              </w:rPr>
              <w:t>0.696</w:t>
            </w:r>
          </w:p>
        </w:tc>
        <w:tc>
          <w:tcPr>
            <w:tcW w:w="1617" w:type="dxa"/>
            <w:vAlign w:val="center"/>
          </w:tcPr>
          <w:p w14:paraId="43C702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snapToGrid w:val="0"/>
                <w:color w:val="auto"/>
                <w:kern w:val="21"/>
                <w:szCs w:val="21"/>
                <w:highlight w:val="none"/>
                <w:lang w:val="en-US"/>
              </w:rPr>
            </w:pPr>
            <w:r>
              <w:rPr>
                <w:rFonts w:hint="eastAsia" w:cs="var(--dsw-font-markdown-table)"/>
                <w:b w:val="0"/>
                <w:bCs w:val="0"/>
                <w:color w:val="auto"/>
                <w:kern w:val="0"/>
                <w:sz w:val="21"/>
                <w:szCs w:val="24"/>
                <w:lang w:val="en-US" w:eastAsia="zh-CN" w:bidi="ar"/>
              </w:rPr>
              <w:t>+0.696</w:t>
            </w:r>
          </w:p>
        </w:tc>
      </w:tr>
      <w:tr w14:paraId="0DC4C1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6ED5EB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6287A2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颗粒物</w:t>
            </w:r>
          </w:p>
        </w:tc>
        <w:tc>
          <w:tcPr>
            <w:tcW w:w="1633" w:type="dxa"/>
            <w:vAlign w:val="center"/>
          </w:tcPr>
          <w:p w14:paraId="796393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48A883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3D46E2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791288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b w:val="0"/>
                <w:bCs w:val="0"/>
                <w:snapToGrid w:val="0"/>
                <w:color w:val="auto"/>
                <w:kern w:val="21"/>
                <w:szCs w:val="21"/>
                <w:highlight w:val="none"/>
                <w:lang w:val="en-US"/>
              </w:rPr>
            </w:pPr>
            <w:r>
              <w:rPr>
                <w:rFonts w:hint="eastAsia" w:cs="var(--dsw-font-markdown-table)"/>
                <w:b w:val="0"/>
                <w:bCs w:val="0"/>
                <w:color w:val="auto"/>
                <w:kern w:val="0"/>
                <w:sz w:val="21"/>
                <w:szCs w:val="24"/>
                <w:lang w:val="en-US" w:eastAsia="zh-CN" w:bidi="ar"/>
              </w:rPr>
              <w:t>0.708</w:t>
            </w:r>
          </w:p>
        </w:tc>
        <w:tc>
          <w:tcPr>
            <w:tcW w:w="1852" w:type="dxa"/>
            <w:vAlign w:val="center"/>
          </w:tcPr>
          <w:p w14:paraId="66E54F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08B56A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snapToGrid w:val="0"/>
                <w:color w:val="auto"/>
                <w:kern w:val="21"/>
                <w:szCs w:val="21"/>
                <w:highlight w:val="none"/>
                <w:lang w:val="en-US"/>
              </w:rPr>
            </w:pPr>
            <w:r>
              <w:rPr>
                <w:rFonts w:hint="eastAsia" w:cs="var(--dsw-font-markdown-table)"/>
                <w:b w:val="0"/>
                <w:bCs w:val="0"/>
                <w:color w:val="auto"/>
                <w:kern w:val="0"/>
                <w:sz w:val="21"/>
                <w:szCs w:val="24"/>
                <w:lang w:val="en-US" w:eastAsia="zh-CN" w:bidi="ar"/>
              </w:rPr>
              <w:t>0.708</w:t>
            </w:r>
          </w:p>
        </w:tc>
        <w:tc>
          <w:tcPr>
            <w:tcW w:w="1617" w:type="dxa"/>
            <w:vAlign w:val="center"/>
          </w:tcPr>
          <w:p w14:paraId="381B8D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snapToGrid w:val="0"/>
                <w:color w:val="auto"/>
                <w:kern w:val="21"/>
                <w:szCs w:val="21"/>
                <w:highlight w:val="none"/>
                <w:lang w:val="en-US"/>
              </w:rPr>
            </w:pPr>
            <w:r>
              <w:rPr>
                <w:rFonts w:hint="eastAsia" w:cs="var(--dsw-font-markdown-table)"/>
                <w:b w:val="0"/>
                <w:bCs w:val="0"/>
                <w:color w:val="auto"/>
                <w:kern w:val="0"/>
                <w:sz w:val="21"/>
                <w:szCs w:val="24"/>
                <w:lang w:val="en-US" w:eastAsia="zh-CN" w:bidi="ar"/>
              </w:rPr>
              <w:t>+0.708</w:t>
            </w:r>
          </w:p>
        </w:tc>
      </w:tr>
      <w:tr w14:paraId="413A0C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0754AB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50ED5A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油烟</w:t>
            </w:r>
          </w:p>
        </w:tc>
        <w:tc>
          <w:tcPr>
            <w:tcW w:w="1633" w:type="dxa"/>
            <w:vAlign w:val="center"/>
          </w:tcPr>
          <w:p w14:paraId="4F8BA3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177F22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2E9530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4BD3D2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b w:val="0"/>
                <w:bCs w:val="0"/>
                <w:snapToGrid w:val="0"/>
                <w:color w:val="auto"/>
                <w:kern w:val="21"/>
                <w:szCs w:val="21"/>
                <w:highlight w:val="none"/>
              </w:rPr>
            </w:pPr>
            <w:r>
              <w:rPr>
                <w:rFonts w:hint="default" w:ascii="Times New Roman" w:hAnsi="Times New Roman" w:eastAsia="宋体" w:cs="var(--dsw-font-markdown-table)"/>
                <w:b w:val="0"/>
                <w:bCs w:val="0"/>
                <w:color w:val="auto"/>
                <w:kern w:val="0"/>
                <w:sz w:val="21"/>
                <w:szCs w:val="24"/>
                <w:lang w:val="en-US" w:eastAsia="zh-CN" w:bidi="ar"/>
              </w:rPr>
              <w:t>0.052</w:t>
            </w:r>
          </w:p>
        </w:tc>
        <w:tc>
          <w:tcPr>
            <w:tcW w:w="1852" w:type="dxa"/>
            <w:vAlign w:val="center"/>
          </w:tcPr>
          <w:p w14:paraId="19548B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2BE03A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default" w:ascii="Times New Roman" w:hAnsi="Times New Roman" w:eastAsia="宋体" w:cs="var(--dsw-font-markdown-table)"/>
                <w:b w:val="0"/>
                <w:bCs w:val="0"/>
                <w:color w:val="auto"/>
                <w:kern w:val="0"/>
                <w:sz w:val="21"/>
                <w:szCs w:val="24"/>
                <w:lang w:val="en-US" w:eastAsia="zh-CN" w:bidi="ar"/>
              </w:rPr>
              <w:t>0.052</w:t>
            </w:r>
          </w:p>
        </w:tc>
        <w:tc>
          <w:tcPr>
            <w:tcW w:w="1617" w:type="dxa"/>
            <w:vAlign w:val="center"/>
          </w:tcPr>
          <w:p w14:paraId="6E7265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0.052</w:t>
            </w:r>
          </w:p>
        </w:tc>
      </w:tr>
      <w:tr w14:paraId="092740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restart"/>
            <w:vAlign w:val="center"/>
          </w:tcPr>
          <w:p w14:paraId="524E1A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废水</w:t>
            </w:r>
          </w:p>
        </w:tc>
        <w:tc>
          <w:tcPr>
            <w:tcW w:w="2582" w:type="dxa"/>
            <w:vAlign w:val="center"/>
          </w:tcPr>
          <w:p w14:paraId="155756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生活污水</w:t>
            </w:r>
          </w:p>
        </w:tc>
        <w:tc>
          <w:tcPr>
            <w:tcW w:w="1633" w:type="dxa"/>
            <w:vAlign w:val="center"/>
          </w:tcPr>
          <w:p w14:paraId="58B08B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04873B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2E9CF4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05275E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b w:val="0"/>
                <w:bCs w:val="0"/>
                <w:snapToGrid w:val="0"/>
                <w:color w:val="auto"/>
                <w:kern w:val="21"/>
                <w:szCs w:val="21"/>
                <w:highlight w:val="none"/>
              </w:rPr>
            </w:pPr>
            <w:r>
              <w:rPr>
                <w:rFonts w:hint="default" w:ascii="Times New Roman" w:hAnsi="Times New Roman" w:eastAsia="宋体" w:cs="var(--dsw-font-markdown-table)"/>
                <w:b w:val="0"/>
                <w:bCs w:val="0"/>
                <w:color w:val="auto"/>
                <w:kern w:val="0"/>
                <w:sz w:val="21"/>
                <w:szCs w:val="24"/>
                <w:lang w:val="en-US" w:eastAsia="zh-CN" w:bidi="ar"/>
              </w:rPr>
              <w:t>6750</w:t>
            </w:r>
          </w:p>
        </w:tc>
        <w:tc>
          <w:tcPr>
            <w:tcW w:w="1852" w:type="dxa"/>
            <w:vAlign w:val="center"/>
          </w:tcPr>
          <w:p w14:paraId="0C175C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7CD57A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default" w:ascii="Times New Roman" w:hAnsi="Times New Roman" w:eastAsia="宋体" w:cs="var(--dsw-font-markdown-table)"/>
                <w:b w:val="0"/>
                <w:bCs w:val="0"/>
                <w:color w:val="auto"/>
                <w:kern w:val="0"/>
                <w:sz w:val="21"/>
                <w:szCs w:val="24"/>
                <w:lang w:val="en-US" w:eastAsia="zh-CN" w:bidi="ar"/>
              </w:rPr>
              <w:t>6750</w:t>
            </w:r>
          </w:p>
        </w:tc>
        <w:tc>
          <w:tcPr>
            <w:tcW w:w="1617" w:type="dxa"/>
            <w:vAlign w:val="center"/>
          </w:tcPr>
          <w:p w14:paraId="25937C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6750</w:t>
            </w:r>
          </w:p>
        </w:tc>
      </w:tr>
      <w:tr w14:paraId="313C2B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4E909C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292D5E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CODcr</w:t>
            </w:r>
          </w:p>
        </w:tc>
        <w:tc>
          <w:tcPr>
            <w:tcW w:w="1633" w:type="dxa"/>
            <w:vAlign w:val="center"/>
          </w:tcPr>
          <w:p w14:paraId="39B916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0134C8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1ACB52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7F74714F">
            <w:pPr>
              <w:keepNext w:val="0"/>
              <w:keepLines w:val="0"/>
              <w:widowControl/>
              <w:suppressLineNumbers w:val="0"/>
              <w:spacing w:before="0" w:beforeAutospacing="0" w:after="0" w:afterAutospacing="0"/>
              <w:ind w:left="0" w:right="0"/>
              <w:jc w:val="center"/>
              <w:textAlignment w:val="center"/>
              <w:rPr>
                <w:rFonts w:hint="eastAsia" w:ascii="Times New Roman"/>
                <w:b w:val="0"/>
                <w:bCs w:val="0"/>
                <w:snapToGrid w:val="0"/>
                <w:color w:val="auto"/>
                <w:kern w:val="21"/>
                <w:szCs w:val="21"/>
                <w:highlight w:val="none"/>
              </w:rPr>
            </w:pPr>
            <w:r>
              <w:rPr>
                <w:rFonts w:hint="default" w:ascii="Times New Roman" w:hAnsi="Times New Roman" w:eastAsia="宋体" w:cs="Times New Roman"/>
                <w:b w:val="0"/>
                <w:bCs w:val="0"/>
                <w:i w:val="0"/>
                <w:iCs w:val="0"/>
                <w:color w:val="000000"/>
                <w:kern w:val="0"/>
                <w:sz w:val="21"/>
                <w:szCs w:val="21"/>
                <w:u w:val="none"/>
                <w:lang w:val="en-US" w:eastAsia="zh-CN" w:bidi="ar"/>
              </w:rPr>
              <w:t>1.688</w:t>
            </w:r>
          </w:p>
        </w:tc>
        <w:tc>
          <w:tcPr>
            <w:tcW w:w="1852" w:type="dxa"/>
            <w:vAlign w:val="center"/>
          </w:tcPr>
          <w:p w14:paraId="187A19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7A21DE33">
            <w:pPr>
              <w:keepNext w:val="0"/>
              <w:keepLines w:val="0"/>
              <w:widowControl/>
              <w:suppressLineNumbers w:val="0"/>
              <w:spacing w:before="0" w:beforeAutospacing="0" w:after="0" w:afterAutospacing="0"/>
              <w:ind w:left="0" w:right="0"/>
              <w:jc w:val="center"/>
              <w:textAlignment w:val="center"/>
              <w:rPr>
                <w:rFonts w:hint="eastAsia" w:ascii="Times New Roman"/>
                <w:snapToGrid w:val="0"/>
                <w:color w:val="auto"/>
                <w:kern w:val="21"/>
                <w:szCs w:val="21"/>
                <w:highlight w:val="none"/>
              </w:rPr>
            </w:pPr>
            <w:r>
              <w:rPr>
                <w:rFonts w:hint="default" w:ascii="Times New Roman" w:hAnsi="Times New Roman" w:eastAsia="宋体" w:cs="Times New Roman"/>
                <w:b w:val="0"/>
                <w:bCs w:val="0"/>
                <w:i w:val="0"/>
                <w:iCs w:val="0"/>
                <w:color w:val="000000"/>
                <w:kern w:val="0"/>
                <w:sz w:val="21"/>
                <w:szCs w:val="21"/>
                <w:u w:val="none"/>
                <w:lang w:val="en-US" w:eastAsia="zh-CN" w:bidi="ar"/>
              </w:rPr>
              <w:t>1.688</w:t>
            </w:r>
          </w:p>
        </w:tc>
        <w:tc>
          <w:tcPr>
            <w:tcW w:w="1617" w:type="dxa"/>
            <w:vAlign w:val="center"/>
          </w:tcPr>
          <w:p w14:paraId="46079330">
            <w:pPr>
              <w:keepNext w:val="0"/>
              <w:keepLines w:val="0"/>
              <w:widowControl/>
              <w:suppressLineNumbers w:val="0"/>
              <w:spacing w:before="0" w:beforeAutospacing="0" w:after="0" w:afterAutospacing="0"/>
              <w:ind w:left="0" w:right="0"/>
              <w:jc w:val="center"/>
              <w:textAlignment w:val="center"/>
              <w:rPr>
                <w:rFonts w:hint="eastAsia" w:ascii="Times New Roman"/>
                <w:snapToGrid w:val="0"/>
                <w:color w:val="auto"/>
                <w:kern w:val="21"/>
                <w:szCs w:val="21"/>
                <w:highlight w:val="none"/>
              </w:rPr>
            </w:pPr>
            <w:r>
              <w:rPr>
                <w:rFonts w:hint="eastAsia" w:cs="Times New Roman"/>
                <w:b w:val="0"/>
                <w:bCs w:val="0"/>
                <w:i w:val="0"/>
                <w:iCs w:val="0"/>
                <w:color w:val="000000"/>
                <w:kern w:val="0"/>
                <w:sz w:val="21"/>
                <w:szCs w:val="21"/>
                <w:u w:val="none"/>
                <w:lang w:val="en-US" w:eastAsia="zh-CN" w:bidi="ar"/>
              </w:rPr>
              <w:t>+</w:t>
            </w:r>
            <w:r>
              <w:rPr>
                <w:rFonts w:hint="default" w:ascii="Times New Roman" w:hAnsi="Times New Roman" w:eastAsia="宋体" w:cs="Times New Roman"/>
                <w:b w:val="0"/>
                <w:bCs w:val="0"/>
                <w:i w:val="0"/>
                <w:iCs w:val="0"/>
                <w:color w:val="000000"/>
                <w:kern w:val="0"/>
                <w:sz w:val="21"/>
                <w:szCs w:val="21"/>
                <w:u w:val="none"/>
                <w:lang w:val="en-US" w:eastAsia="zh-CN" w:bidi="ar"/>
              </w:rPr>
              <w:t>1.688</w:t>
            </w:r>
          </w:p>
        </w:tc>
      </w:tr>
      <w:tr w14:paraId="6D3B58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54B907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1A920E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BOD5</w:t>
            </w:r>
          </w:p>
        </w:tc>
        <w:tc>
          <w:tcPr>
            <w:tcW w:w="1633" w:type="dxa"/>
            <w:vAlign w:val="center"/>
          </w:tcPr>
          <w:p w14:paraId="33DE84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2A8F47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5DD551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0356547C">
            <w:pPr>
              <w:keepNext w:val="0"/>
              <w:keepLines w:val="0"/>
              <w:widowControl/>
              <w:suppressLineNumbers w:val="0"/>
              <w:spacing w:before="0" w:beforeAutospacing="0" w:after="0" w:afterAutospacing="0"/>
              <w:ind w:left="0" w:right="0"/>
              <w:jc w:val="center"/>
              <w:textAlignment w:val="center"/>
              <w:rPr>
                <w:rFonts w:hint="eastAsia" w:ascii="Times New Roman"/>
                <w:b w:val="0"/>
                <w:bCs w:val="0"/>
                <w:snapToGrid w:val="0"/>
                <w:color w:val="auto"/>
                <w:kern w:val="21"/>
                <w:szCs w:val="21"/>
                <w:highlight w:val="none"/>
              </w:rPr>
            </w:pPr>
            <w:r>
              <w:rPr>
                <w:rFonts w:hint="default" w:ascii="Times New Roman" w:hAnsi="Times New Roman" w:eastAsia="宋体" w:cs="Times New Roman"/>
                <w:b w:val="0"/>
                <w:bCs w:val="0"/>
                <w:i w:val="0"/>
                <w:iCs w:val="0"/>
                <w:color w:val="000000"/>
                <w:kern w:val="0"/>
                <w:sz w:val="21"/>
                <w:szCs w:val="21"/>
                <w:u w:val="none"/>
                <w:lang w:val="en-US" w:eastAsia="zh-CN" w:bidi="ar"/>
              </w:rPr>
              <w:t>1.013</w:t>
            </w:r>
          </w:p>
        </w:tc>
        <w:tc>
          <w:tcPr>
            <w:tcW w:w="1852" w:type="dxa"/>
            <w:vAlign w:val="center"/>
          </w:tcPr>
          <w:p w14:paraId="0F7ABF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7CD80E80">
            <w:pPr>
              <w:keepNext w:val="0"/>
              <w:keepLines w:val="0"/>
              <w:widowControl/>
              <w:suppressLineNumbers w:val="0"/>
              <w:spacing w:before="0" w:beforeAutospacing="0" w:after="0" w:afterAutospacing="0"/>
              <w:ind w:left="0" w:right="0"/>
              <w:jc w:val="center"/>
              <w:textAlignment w:val="center"/>
              <w:rPr>
                <w:rFonts w:hint="eastAsia" w:ascii="Times New Roman"/>
                <w:snapToGrid w:val="0"/>
                <w:color w:val="auto"/>
                <w:kern w:val="21"/>
                <w:szCs w:val="21"/>
                <w:highlight w:val="none"/>
              </w:rPr>
            </w:pPr>
            <w:r>
              <w:rPr>
                <w:rFonts w:hint="default" w:ascii="Times New Roman" w:hAnsi="Times New Roman" w:eastAsia="宋体" w:cs="Times New Roman"/>
                <w:b w:val="0"/>
                <w:bCs w:val="0"/>
                <w:i w:val="0"/>
                <w:iCs w:val="0"/>
                <w:color w:val="000000"/>
                <w:kern w:val="0"/>
                <w:sz w:val="21"/>
                <w:szCs w:val="21"/>
                <w:u w:val="none"/>
                <w:lang w:val="en-US" w:eastAsia="zh-CN" w:bidi="ar"/>
              </w:rPr>
              <w:t>1.013</w:t>
            </w:r>
          </w:p>
        </w:tc>
        <w:tc>
          <w:tcPr>
            <w:tcW w:w="1617" w:type="dxa"/>
            <w:vAlign w:val="center"/>
          </w:tcPr>
          <w:p w14:paraId="7EF30B7F">
            <w:pPr>
              <w:keepNext w:val="0"/>
              <w:keepLines w:val="0"/>
              <w:widowControl/>
              <w:suppressLineNumbers w:val="0"/>
              <w:spacing w:before="0" w:beforeAutospacing="0" w:after="0" w:afterAutospacing="0"/>
              <w:ind w:left="0" w:right="0"/>
              <w:jc w:val="center"/>
              <w:textAlignment w:val="center"/>
              <w:rPr>
                <w:rFonts w:hint="eastAsia" w:ascii="Times New Roman"/>
                <w:snapToGrid w:val="0"/>
                <w:color w:val="auto"/>
                <w:kern w:val="21"/>
                <w:szCs w:val="21"/>
                <w:highlight w:val="none"/>
              </w:rPr>
            </w:pPr>
            <w:r>
              <w:rPr>
                <w:rFonts w:hint="eastAsia" w:cs="Times New Roman"/>
                <w:b w:val="0"/>
                <w:bCs w:val="0"/>
                <w:i w:val="0"/>
                <w:iCs w:val="0"/>
                <w:color w:val="000000"/>
                <w:kern w:val="0"/>
                <w:sz w:val="21"/>
                <w:szCs w:val="21"/>
                <w:u w:val="none"/>
                <w:lang w:val="en-US" w:eastAsia="zh-CN" w:bidi="ar"/>
              </w:rPr>
              <w:t>+</w:t>
            </w:r>
            <w:r>
              <w:rPr>
                <w:rFonts w:hint="default" w:ascii="Times New Roman" w:hAnsi="Times New Roman" w:eastAsia="宋体" w:cs="Times New Roman"/>
                <w:b w:val="0"/>
                <w:bCs w:val="0"/>
                <w:i w:val="0"/>
                <w:iCs w:val="0"/>
                <w:color w:val="000000"/>
                <w:kern w:val="0"/>
                <w:sz w:val="21"/>
                <w:szCs w:val="21"/>
                <w:u w:val="none"/>
                <w:lang w:val="en-US" w:eastAsia="zh-CN" w:bidi="ar"/>
              </w:rPr>
              <w:t>1.013</w:t>
            </w:r>
          </w:p>
        </w:tc>
      </w:tr>
      <w:tr w14:paraId="1A9D1A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1B7806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12B3DC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SS</w:t>
            </w:r>
          </w:p>
        </w:tc>
        <w:tc>
          <w:tcPr>
            <w:tcW w:w="1633" w:type="dxa"/>
            <w:vAlign w:val="center"/>
          </w:tcPr>
          <w:p w14:paraId="12F1DA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2CED99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5D71A5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4104F110">
            <w:pPr>
              <w:keepNext w:val="0"/>
              <w:keepLines w:val="0"/>
              <w:widowControl/>
              <w:suppressLineNumbers w:val="0"/>
              <w:spacing w:before="0" w:beforeAutospacing="0" w:after="0" w:afterAutospacing="0"/>
              <w:ind w:left="0" w:right="0"/>
              <w:jc w:val="center"/>
              <w:textAlignment w:val="center"/>
              <w:rPr>
                <w:rFonts w:hint="eastAsia" w:ascii="Times New Roman"/>
                <w:b w:val="0"/>
                <w:bCs w:val="0"/>
                <w:snapToGrid w:val="0"/>
                <w:color w:val="auto"/>
                <w:kern w:val="21"/>
                <w:szCs w:val="21"/>
                <w:highlight w:val="none"/>
              </w:rPr>
            </w:pPr>
            <w:r>
              <w:rPr>
                <w:rFonts w:hint="default" w:ascii="Times New Roman" w:hAnsi="Times New Roman" w:eastAsia="宋体" w:cs="Times New Roman"/>
                <w:b w:val="0"/>
                <w:bCs w:val="0"/>
                <w:i w:val="0"/>
                <w:iCs w:val="0"/>
                <w:color w:val="000000"/>
                <w:kern w:val="0"/>
                <w:sz w:val="21"/>
                <w:szCs w:val="21"/>
                <w:u w:val="none"/>
                <w:lang w:val="en-US" w:eastAsia="zh-CN" w:bidi="ar"/>
              </w:rPr>
              <w:t>1.350</w:t>
            </w:r>
          </w:p>
        </w:tc>
        <w:tc>
          <w:tcPr>
            <w:tcW w:w="1852" w:type="dxa"/>
            <w:vAlign w:val="center"/>
          </w:tcPr>
          <w:p w14:paraId="447F70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537B0488">
            <w:pPr>
              <w:keepNext w:val="0"/>
              <w:keepLines w:val="0"/>
              <w:widowControl/>
              <w:suppressLineNumbers w:val="0"/>
              <w:spacing w:before="0" w:beforeAutospacing="0" w:after="0" w:afterAutospacing="0"/>
              <w:ind w:left="0" w:right="0"/>
              <w:jc w:val="center"/>
              <w:textAlignment w:val="center"/>
              <w:rPr>
                <w:rFonts w:hint="eastAsia" w:ascii="Times New Roman"/>
                <w:snapToGrid w:val="0"/>
                <w:color w:val="auto"/>
                <w:kern w:val="21"/>
                <w:szCs w:val="21"/>
                <w:highlight w:val="none"/>
              </w:rPr>
            </w:pPr>
            <w:r>
              <w:rPr>
                <w:rFonts w:hint="default" w:ascii="Times New Roman" w:hAnsi="Times New Roman" w:eastAsia="宋体" w:cs="Times New Roman"/>
                <w:b w:val="0"/>
                <w:bCs w:val="0"/>
                <w:i w:val="0"/>
                <w:iCs w:val="0"/>
                <w:color w:val="000000"/>
                <w:kern w:val="0"/>
                <w:sz w:val="21"/>
                <w:szCs w:val="21"/>
                <w:u w:val="none"/>
                <w:lang w:val="en-US" w:eastAsia="zh-CN" w:bidi="ar"/>
              </w:rPr>
              <w:t>1.350</w:t>
            </w:r>
          </w:p>
        </w:tc>
        <w:tc>
          <w:tcPr>
            <w:tcW w:w="1617" w:type="dxa"/>
            <w:vAlign w:val="center"/>
          </w:tcPr>
          <w:p w14:paraId="4D2EA9F2">
            <w:pPr>
              <w:keepNext w:val="0"/>
              <w:keepLines w:val="0"/>
              <w:widowControl/>
              <w:suppressLineNumbers w:val="0"/>
              <w:spacing w:before="0" w:beforeAutospacing="0" w:after="0" w:afterAutospacing="0"/>
              <w:ind w:left="0" w:right="0"/>
              <w:jc w:val="center"/>
              <w:textAlignment w:val="center"/>
              <w:rPr>
                <w:rFonts w:hint="eastAsia" w:ascii="Times New Roman"/>
                <w:snapToGrid w:val="0"/>
                <w:color w:val="auto"/>
                <w:kern w:val="21"/>
                <w:szCs w:val="21"/>
                <w:highlight w:val="none"/>
              </w:rPr>
            </w:pPr>
            <w:r>
              <w:rPr>
                <w:rFonts w:hint="eastAsia" w:cs="Times New Roman"/>
                <w:b w:val="0"/>
                <w:bCs w:val="0"/>
                <w:i w:val="0"/>
                <w:iCs w:val="0"/>
                <w:color w:val="000000"/>
                <w:kern w:val="0"/>
                <w:sz w:val="21"/>
                <w:szCs w:val="21"/>
                <w:u w:val="none"/>
                <w:lang w:val="en-US" w:eastAsia="zh-CN" w:bidi="ar"/>
              </w:rPr>
              <w:t>+</w:t>
            </w:r>
            <w:r>
              <w:rPr>
                <w:rFonts w:hint="default" w:ascii="Times New Roman" w:hAnsi="Times New Roman" w:eastAsia="宋体" w:cs="Times New Roman"/>
                <w:b w:val="0"/>
                <w:bCs w:val="0"/>
                <w:i w:val="0"/>
                <w:iCs w:val="0"/>
                <w:color w:val="000000"/>
                <w:kern w:val="0"/>
                <w:sz w:val="21"/>
                <w:szCs w:val="21"/>
                <w:u w:val="none"/>
                <w:lang w:val="en-US" w:eastAsia="zh-CN" w:bidi="ar"/>
              </w:rPr>
              <w:t>1.350</w:t>
            </w:r>
          </w:p>
        </w:tc>
      </w:tr>
      <w:tr w14:paraId="4925A8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145DBC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5A5391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NH3</w:t>
            </w:r>
            <w:r>
              <w:rPr>
                <w:rFonts w:hint="eastAsia" w:cs="var(--dsw-font-markdown-table)"/>
                <w:color w:val="auto"/>
                <w:kern w:val="0"/>
                <w:sz w:val="21"/>
                <w:szCs w:val="24"/>
                <w:lang w:val="en-US" w:eastAsia="zh-CN" w:bidi="ar"/>
              </w:rPr>
              <w:t xml:space="preserve"> </w:t>
            </w:r>
            <w:r>
              <w:rPr>
                <w:rFonts w:hint="default" w:ascii="Times New Roman" w:hAnsi="Times New Roman" w:eastAsia="宋体" w:cs="var(--dsw-font-markdown-table)"/>
                <w:color w:val="auto"/>
                <w:kern w:val="0"/>
                <w:sz w:val="21"/>
                <w:szCs w:val="24"/>
                <w:lang w:val="en-US" w:eastAsia="zh-CN" w:bidi="ar"/>
              </w:rPr>
              <w:t>N</w:t>
            </w:r>
          </w:p>
        </w:tc>
        <w:tc>
          <w:tcPr>
            <w:tcW w:w="1633" w:type="dxa"/>
            <w:vAlign w:val="center"/>
          </w:tcPr>
          <w:p w14:paraId="4B8D1A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6D1F30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609CFE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2D90A5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0.169</w:t>
            </w:r>
          </w:p>
        </w:tc>
        <w:tc>
          <w:tcPr>
            <w:tcW w:w="1852" w:type="dxa"/>
            <w:vAlign w:val="center"/>
          </w:tcPr>
          <w:p w14:paraId="514399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104097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0.169</w:t>
            </w:r>
          </w:p>
        </w:tc>
        <w:tc>
          <w:tcPr>
            <w:tcW w:w="1617" w:type="dxa"/>
            <w:vAlign w:val="center"/>
          </w:tcPr>
          <w:p w14:paraId="5E731D5C">
            <w:pPr>
              <w:keepNext w:val="0"/>
              <w:keepLines w:val="0"/>
              <w:widowControl/>
              <w:suppressLineNumbers w:val="0"/>
              <w:spacing w:before="0" w:beforeAutospacing="0" w:after="0" w:afterAutospacing="0"/>
              <w:ind w:left="0" w:leftChars="0" w:right="0" w:rightChars="0"/>
              <w:jc w:val="center"/>
              <w:textAlignment w:val="center"/>
              <w:rPr>
                <w:rFonts w:hint="eastAsia" w:cs="Times New Roman"/>
                <w:b w:val="0"/>
                <w:bCs w:val="0"/>
                <w:i w:val="0"/>
                <w:iCs w:val="0"/>
                <w:color w:val="000000"/>
                <w:kern w:val="0"/>
                <w:sz w:val="21"/>
                <w:szCs w:val="21"/>
                <w:u w:val="none"/>
                <w:lang w:val="en-US" w:eastAsia="zh-CN" w:bidi="ar"/>
              </w:rPr>
            </w:pPr>
            <w:r>
              <w:rPr>
                <w:rFonts w:hint="eastAsia" w:cs="Times New Roman"/>
                <w:b w:val="0"/>
                <w:bCs w:val="0"/>
                <w:i w:val="0"/>
                <w:iCs w:val="0"/>
                <w:color w:val="000000"/>
                <w:kern w:val="0"/>
                <w:sz w:val="21"/>
                <w:szCs w:val="21"/>
                <w:u w:val="none"/>
                <w:lang w:val="en-US" w:eastAsia="zh-CN" w:bidi="ar"/>
              </w:rPr>
              <w:t>+</w:t>
            </w:r>
            <w:r>
              <w:rPr>
                <w:rFonts w:hint="default" w:ascii="Times New Roman" w:hAnsi="Times New Roman" w:eastAsia="宋体" w:cs="Times New Roman"/>
                <w:b w:val="0"/>
                <w:bCs w:val="0"/>
                <w:i w:val="0"/>
                <w:iCs w:val="0"/>
                <w:color w:val="000000"/>
                <w:kern w:val="0"/>
                <w:sz w:val="21"/>
                <w:szCs w:val="21"/>
                <w:u w:val="none"/>
                <w:lang w:val="en-US" w:eastAsia="zh-CN" w:bidi="ar"/>
              </w:rPr>
              <w:t>0.169</w:t>
            </w:r>
          </w:p>
        </w:tc>
      </w:tr>
      <w:tr w14:paraId="172482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066905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137D59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总磷</w:t>
            </w:r>
          </w:p>
        </w:tc>
        <w:tc>
          <w:tcPr>
            <w:tcW w:w="1633" w:type="dxa"/>
            <w:vAlign w:val="center"/>
          </w:tcPr>
          <w:p w14:paraId="615C8D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6C4285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12970A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589E34A1">
            <w:pPr>
              <w:keepNext w:val="0"/>
              <w:keepLines w:val="0"/>
              <w:widowControl/>
              <w:suppressLineNumbers w:val="0"/>
              <w:spacing w:before="0" w:beforeAutospacing="0" w:after="0" w:afterAutospacing="0"/>
              <w:ind w:left="0" w:right="0"/>
              <w:jc w:val="center"/>
              <w:textAlignment w:val="center"/>
              <w:rPr>
                <w:rFonts w:hint="default" w:ascii="Times New Roman" w:eastAsia="宋体"/>
                <w:b w:val="0"/>
                <w:bCs w:val="0"/>
                <w:snapToGrid w:val="0"/>
                <w:color w:val="auto"/>
                <w:kern w:val="21"/>
                <w:szCs w:val="21"/>
                <w:highlight w:val="none"/>
                <w:lang w:val="en-US" w:eastAsia="zh-CN"/>
              </w:rPr>
            </w:pPr>
            <w:r>
              <w:rPr>
                <w:rFonts w:hint="eastAsia"/>
                <w:b w:val="0"/>
                <w:bCs w:val="0"/>
                <w:snapToGrid w:val="0"/>
                <w:color w:val="auto"/>
                <w:kern w:val="21"/>
                <w:szCs w:val="21"/>
                <w:highlight w:val="none"/>
                <w:lang w:val="en-US" w:eastAsia="zh-CN"/>
              </w:rPr>
              <w:t>0.027</w:t>
            </w:r>
          </w:p>
        </w:tc>
        <w:tc>
          <w:tcPr>
            <w:tcW w:w="1852" w:type="dxa"/>
            <w:vAlign w:val="center"/>
          </w:tcPr>
          <w:p w14:paraId="620F9C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Times New Roman"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c>
          <w:tcPr>
            <w:tcW w:w="2217" w:type="dxa"/>
            <w:vAlign w:val="center"/>
          </w:tcPr>
          <w:p w14:paraId="34C2A048">
            <w:pPr>
              <w:keepNext w:val="0"/>
              <w:keepLines w:val="0"/>
              <w:widowControl/>
              <w:suppressLineNumbers w:val="0"/>
              <w:spacing w:before="0" w:beforeAutospacing="0" w:after="0" w:afterAutospacing="0"/>
              <w:ind w:left="0" w:right="0"/>
              <w:jc w:val="center"/>
              <w:textAlignment w:val="center"/>
              <w:rPr>
                <w:rFonts w:hint="default" w:ascii="Times New Roman"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0.027</w:t>
            </w:r>
          </w:p>
        </w:tc>
        <w:tc>
          <w:tcPr>
            <w:tcW w:w="1617" w:type="dxa"/>
            <w:vAlign w:val="center"/>
          </w:tcPr>
          <w:p w14:paraId="5769AB15">
            <w:pPr>
              <w:keepNext w:val="0"/>
              <w:keepLines w:val="0"/>
              <w:widowControl/>
              <w:suppressLineNumbers w:val="0"/>
              <w:spacing w:before="0" w:beforeAutospacing="0" w:after="0" w:afterAutospacing="0"/>
              <w:ind w:left="0" w:right="0"/>
              <w:jc w:val="center"/>
              <w:textAlignment w:val="center"/>
              <w:rPr>
                <w:rFonts w:hint="default" w:ascii="Times New Roman"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+0.027</w:t>
            </w:r>
          </w:p>
        </w:tc>
      </w:tr>
      <w:tr w14:paraId="602753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restart"/>
            <w:vAlign w:val="center"/>
          </w:tcPr>
          <w:p w14:paraId="632B0F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一般工业固体废物</w:t>
            </w:r>
          </w:p>
        </w:tc>
        <w:tc>
          <w:tcPr>
            <w:tcW w:w="2582" w:type="dxa"/>
            <w:vAlign w:val="center"/>
          </w:tcPr>
          <w:p w14:paraId="6F1241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Segoe UI"/>
                <w:i w:val="0"/>
                <w:iCs w:val="0"/>
                <w:caps w:val="0"/>
                <w:color w:val="0F1115"/>
                <w:spacing w:val="0"/>
                <w:sz w:val="21"/>
                <w:szCs w:val="24"/>
                <w:shd w:val="clear" w:fill="FFFFFF"/>
              </w:rPr>
              <w:t>EVA边角料及不合格品</w:t>
            </w:r>
          </w:p>
        </w:tc>
        <w:tc>
          <w:tcPr>
            <w:tcW w:w="1633" w:type="dxa"/>
            <w:vAlign w:val="center"/>
          </w:tcPr>
          <w:p w14:paraId="61A735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35381F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245436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14CC01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b w:val="0"/>
                <w:bCs w:val="0"/>
                <w:snapToGrid w:val="0"/>
                <w:color w:val="auto"/>
                <w:kern w:val="21"/>
                <w:szCs w:val="21"/>
                <w:highlight w:val="none"/>
                <w:lang w:val="en-US"/>
              </w:rPr>
            </w:pPr>
            <w:r>
              <w:rPr>
                <w:rFonts w:hint="eastAsia" w:cs="var(--dsw-font-markdown-table)"/>
                <w:b w:val="0"/>
                <w:bCs w:val="0"/>
                <w:color w:val="auto"/>
                <w:kern w:val="0"/>
                <w:sz w:val="21"/>
                <w:szCs w:val="24"/>
                <w:lang w:val="en-US" w:eastAsia="zh-CN" w:bidi="ar"/>
              </w:rPr>
              <w:t>4.11</w:t>
            </w:r>
          </w:p>
        </w:tc>
        <w:tc>
          <w:tcPr>
            <w:tcW w:w="1852" w:type="dxa"/>
            <w:vAlign w:val="center"/>
          </w:tcPr>
          <w:p w14:paraId="03E63E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6A9E4E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snapToGrid w:val="0"/>
                <w:color w:val="auto"/>
                <w:kern w:val="21"/>
                <w:szCs w:val="21"/>
                <w:highlight w:val="none"/>
                <w:lang w:val="en-US"/>
              </w:rPr>
            </w:pPr>
            <w:r>
              <w:rPr>
                <w:rFonts w:hint="eastAsia" w:cs="var(--dsw-font-markdown-table)"/>
                <w:b w:val="0"/>
                <w:bCs w:val="0"/>
                <w:color w:val="auto"/>
                <w:kern w:val="0"/>
                <w:sz w:val="21"/>
                <w:szCs w:val="24"/>
                <w:lang w:val="en-US" w:eastAsia="zh-CN" w:bidi="ar"/>
              </w:rPr>
              <w:t>4.11</w:t>
            </w:r>
          </w:p>
        </w:tc>
        <w:tc>
          <w:tcPr>
            <w:tcW w:w="1617" w:type="dxa"/>
            <w:vAlign w:val="center"/>
          </w:tcPr>
          <w:p w14:paraId="71BA52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snapToGrid w:val="0"/>
                <w:color w:val="auto"/>
                <w:kern w:val="21"/>
                <w:szCs w:val="21"/>
                <w:highlight w:val="none"/>
                <w:lang w:val="en-US"/>
              </w:rPr>
            </w:pPr>
            <w:r>
              <w:rPr>
                <w:rFonts w:hint="eastAsia" w:cs="var(--dsw-font-markdown-table)"/>
                <w:b w:val="0"/>
                <w:bCs w:val="0"/>
                <w:color w:val="auto"/>
                <w:kern w:val="0"/>
                <w:sz w:val="21"/>
                <w:szCs w:val="24"/>
                <w:lang w:val="en-US" w:eastAsia="zh-CN" w:bidi="ar"/>
              </w:rPr>
              <w:t>+4.11</w:t>
            </w:r>
          </w:p>
        </w:tc>
      </w:tr>
      <w:tr w14:paraId="6AA613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2D3445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3A4E94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一般包装废物</w:t>
            </w:r>
          </w:p>
        </w:tc>
        <w:tc>
          <w:tcPr>
            <w:tcW w:w="1633" w:type="dxa"/>
            <w:vAlign w:val="center"/>
          </w:tcPr>
          <w:p w14:paraId="7833CE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7B8185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0F67CF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5B7E0F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0.233</w:t>
            </w:r>
          </w:p>
        </w:tc>
        <w:tc>
          <w:tcPr>
            <w:tcW w:w="1852" w:type="dxa"/>
            <w:vAlign w:val="center"/>
          </w:tcPr>
          <w:p w14:paraId="6E3735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58FCFF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0.233</w:t>
            </w:r>
          </w:p>
        </w:tc>
        <w:tc>
          <w:tcPr>
            <w:tcW w:w="1617" w:type="dxa"/>
            <w:vAlign w:val="center"/>
          </w:tcPr>
          <w:p w14:paraId="2D9113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+0.233</w:t>
            </w:r>
          </w:p>
        </w:tc>
      </w:tr>
      <w:tr w14:paraId="6E7A03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106CA8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0000B2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Segoe UI"/>
                <w:i w:val="0"/>
                <w:iCs w:val="0"/>
                <w:caps w:val="0"/>
                <w:color w:val="0F1115"/>
                <w:spacing w:val="0"/>
                <w:sz w:val="21"/>
                <w:szCs w:val="24"/>
                <w:shd w:val="clear" w:fill="FFFFFF"/>
              </w:rPr>
              <w:t>皮革/网布边角料</w:t>
            </w:r>
          </w:p>
        </w:tc>
        <w:tc>
          <w:tcPr>
            <w:tcW w:w="1633" w:type="dxa"/>
            <w:vAlign w:val="center"/>
          </w:tcPr>
          <w:p w14:paraId="33FAA6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6F44C3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787DF2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052EB3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23.4</w:t>
            </w:r>
          </w:p>
        </w:tc>
        <w:tc>
          <w:tcPr>
            <w:tcW w:w="1852" w:type="dxa"/>
            <w:vAlign w:val="center"/>
          </w:tcPr>
          <w:p w14:paraId="7732D6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1C2A5D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23.4</w:t>
            </w:r>
          </w:p>
        </w:tc>
        <w:tc>
          <w:tcPr>
            <w:tcW w:w="1617" w:type="dxa"/>
            <w:vAlign w:val="center"/>
          </w:tcPr>
          <w:p w14:paraId="1B5957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+23.4</w:t>
            </w:r>
          </w:p>
        </w:tc>
      </w:tr>
      <w:tr w14:paraId="2093CE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2BD85C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7FE9AC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Segoe UI"/>
                <w:i w:val="0"/>
                <w:iCs w:val="0"/>
                <w:caps w:val="0"/>
                <w:color w:val="0F1115"/>
                <w:spacing w:val="0"/>
                <w:sz w:val="21"/>
                <w:szCs w:val="24"/>
                <w:shd w:val="clear" w:fill="FFFFFF"/>
              </w:rPr>
              <w:t>废线头</w:t>
            </w:r>
          </w:p>
        </w:tc>
        <w:tc>
          <w:tcPr>
            <w:tcW w:w="1633" w:type="dxa"/>
            <w:vAlign w:val="center"/>
          </w:tcPr>
          <w:p w14:paraId="0EC301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7E00B3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5E193B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7ED668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0.5</w:t>
            </w:r>
          </w:p>
        </w:tc>
        <w:tc>
          <w:tcPr>
            <w:tcW w:w="1852" w:type="dxa"/>
            <w:vAlign w:val="center"/>
          </w:tcPr>
          <w:p w14:paraId="4C669B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506E6F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0.5</w:t>
            </w:r>
          </w:p>
        </w:tc>
        <w:tc>
          <w:tcPr>
            <w:tcW w:w="1617" w:type="dxa"/>
            <w:vAlign w:val="center"/>
          </w:tcPr>
          <w:p w14:paraId="4A81A9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+0.5</w:t>
            </w:r>
          </w:p>
        </w:tc>
      </w:tr>
      <w:tr w14:paraId="6C8349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48166B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00BC95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Segoe UI"/>
                <w:i w:val="0"/>
                <w:iCs w:val="0"/>
                <w:caps w:val="0"/>
                <w:color w:val="0F1115"/>
                <w:spacing w:val="0"/>
                <w:sz w:val="21"/>
                <w:szCs w:val="24"/>
                <w:shd w:val="clear" w:fill="FFFFFF"/>
              </w:rPr>
              <w:t>废织带边角料</w:t>
            </w:r>
          </w:p>
        </w:tc>
        <w:tc>
          <w:tcPr>
            <w:tcW w:w="1633" w:type="dxa"/>
            <w:vAlign w:val="center"/>
          </w:tcPr>
          <w:p w14:paraId="52AB63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2E8EAE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54D789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7AC3C3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0.5</w:t>
            </w:r>
          </w:p>
        </w:tc>
        <w:tc>
          <w:tcPr>
            <w:tcW w:w="1852" w:type="dxa"/>
            <w:vAlign w:val="center"/>
          </w:tcPr>
          <w:p w14:paraId="4F854D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var(--dsw-font-markdown-table)"/>
                <w:color w:val="auto"/>
                <w:kern w:val="0"/>
                <w:sz w:val="21"/>
                <w:szCs w:val="24"/>
                <w:lang w:val="en-US" w:eastAsia="zh-CN" w:bidi="ar"/>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657C85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0.5</w:t>
            </w:r>
          </w:p>
        </w:tc>
        <w:tc>
          <w:tcPr>
            <w:tcW w:w="1617" w:type="dxa"/>
            <w:vAlign w:val="center"/>
          </w:tcPr>
          <w:p w14:paraId="0E4A3B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var(--dsw-font-markdown-table)"/>
                <w:b w:val="0"/>
                <w:bCs w:val="0"/>
                <w:color w:val="auto"/>
                <w:kern w:val="0"/>
                <w:sz w:val="21"/>
                <w:szCs w:val="24"/>
                <w:lang w:val="en-US" w:eastAsia="zh-CN" w:bidi="ar"/>
              </w:rPr>
            </w:pPr>
            <w:r>
              <w:rPr>
                <w:rFonts w:hint="eastAsia" w:cs="var(--dsw-font-markdown-table)"/>
                <w:b w:val="0"/>
                <w:bCs w:val="0"/>
                <w:color w:val="auto"/>
                <w:kern w:val="0"/>
                <w:sz w:val="21"/>
                <w:szCs w:val="24"/>
                <w:lang w:val="en-US" w:eastAsia="zh-CN" w:bidi="ar"/>
              </w:rPr>
              <w:t>+0.5</w:t>
            </w:r>
          </w:p>
        </w:tc>
      </w:tr>
      <w:tr w14:paraId="4A4A91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34B798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608DE4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Segoe UI"/>
                <w:i w:val="0"/>
                <w:iCs w:val="0"/>
                <w:caps w:val="0"/>
                <w:color w:val="0F1115"/>
                <w:spacing w:val="0"/>
                <w:sz w:val="21"/>
                <w:szCs w:val="24"/>
                <w:shd w:val="clear" w:fill="FFFFFF"/>
              </w:rPr>
              <w:t>废包装材料</w:t>
            </w:r>
          </w:p>
        </w:tc>
        <w:tc>
          <w:tcPr>
            <w:tcW w:w="1633" w:type="dxa"/>
            <w:vAlign w:val="center"/>
          </w:tcPr>
          <w:p w14:paraId="5E8B36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0A8B8C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761589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4C6381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eastAsia="宋体"/>
                <w:b w:val="0"/>
                <w:bCs w:val="0"/>
                <w:snapToGrid w:val="0"/>
                <w:color w:val="auto"/>
                <w:kern w:val="21"/>
                <w:szCs w:val="21"/>
                <w:highlight w:val="none"/>
                <w:lang w:val="en-US" w:eastAsia="zh-CN"/>
              </w:rPr>
            </w:pPr>
            <w:r>
              <w:rPr>
                <w:rFonts w:hint="eastAsia"/>
                <w:b w:val="0"/>
                <w:bCs w:val="0"/>
                <w:snapToGrid w:val="0"/>
                <w:color w:val="auto"/>
                <w:kern w:val="21"/>
                <w:szCs w:val="21"/>
                <w:highlight w:val="none"/>
                <w:lang w:val="en-US" w:eastAsia="zh-CN"/>
              </w:rPr>
              <w:t>5.0</w:t>
            </w:r>
          </w:p>
        </w:tc>
        <w:tc>
          <w:tcPr>
            <w:tcW w:w="1852" w:type="dxa"/>
            <w:vAlign w:val="center"/>
          </w:tcPr>
          <w:p w14:paraId="65E72D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76FBDB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eastAsia"/>
                <w:b w:val="0"/>
                <w:bCs w:val="0"/>
                <w:snapToGrid w:val="0"/>
                <w:color w:val="auto"/>
                <w:kern w:val="21"/>
                <w:szCs w:val="21"/>
                <w:highlight w:val="none"/>
                <w:lang w:val="en-US" w:eastAsia="zh-CN"/>
              </w:rPr>
              <w:t>5.0</w:t>
            </w:r>
          </w:p>
        </w:tc>
        <w:tc>
          <w:tcPr>
            <w:tcW w:w="1617" w:type="dxa"/>
            <w:vAlign w:val="center"/>
          </w:tcPr>
          <w:p w14:paraId="6788BF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eastAsia"/>
                <w:b w:val="0"/>
                <w:bCs w:val="0"/>
                <w:snapToGrid w:val="0"/>
                <w:color w:val="auto"/>
                <w:kern w:val="21"/>
                <w:szCs w:val="21"/>
                <w:highlight w:val="none"/>
                <w:lang w:val="en-US" w:eastAsia="zh-CN"/>
              </w:rPr>
              <w:t>+5.0</w:t>
            </w:r>
          </w:p>
        </w:tc>
      </w:tr>
      <w:tr w14:paraId="7AAC44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21F453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7B9919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沉降粉尘</w:t>
            </w:r>
          </w:p>
        </w:tc>
        <w:tc>
          <w:tcPr>
            <w:tcW w:w="1633" w:type="dxa"/>
            <w:vAlign w:val="center"/>
          </w:tcPr>
          <w:p w14:paraId="251000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2F5485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083784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289096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b w:val="0"/>
                <w:bCs w:val="0"/>
                <w:snapToGrid w:val="0"/>
                <w:color w:val="auto"/>
                <w:kern w:val="21"/>
                <w:szCs w:val="21"/>
                <w:highlight w:val="none"/>
                <w:lang w:val="en-US"/>
              </w:rPr>
            </w:pPr>
            <w:r>
              <w:rPr>
                <w:rFonts w:hint="eastAsia" w:cs="var(--dsw-font-markdown-table)"/>
                <w:b w:val="0"/>
                <w:bCs w:val="0"/>
                <w:color w:val="auto"/>
                <w:kern w:val="0"/>
                <w:sz w:val="21"/>
                <w:szCs w:val="24"/>
                <w:lang w:val="en-US" w:eastAsia="zh-CN" w:bidi="ar"/>
              </w:rPr>
              <w:t>0.679</w:t>
            </w:r>
          </w:p>
        </w:tc>
        <w:tc>
          <w:tcPr>
            <w:tcW w:w="1852" w:type="dxa"/>
            <w:vAlign w:val="center"/>
          </w:tcPr>
          <w:p w14:paraId="2A7DB9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02F989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eastAsia" w:cs="var(--dsw-font-markdown-table)"/>
                <w:b w:val="0"/>
                <w:bCs w:val="0"/>
                <w:color w:val="auto"/>
                <w:kern w:val="0"/>
                <w:sz w:val="21"/>
                <w:szCs w:val="24"/>
                <w:lang w:val="en-US" w:eastAsia="zh-CN" w:bidi="ar"/>
              </w:rPr>
              <w:t>0.679</w:t>
            </w:r>
          </w:p>
        </w:tc>
        <w:tc>
          <w:tcPr>
            <w:tcW w:w="1617" w:type="dxa"/>
            <w:vAlign w:val="center"/>
          </w:tcPr>
          <w:p w14:paraId="251BBE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eastAsia" w:cs="var(--dsw-font-markdown-table)"/>
                <w:b w:val="0"/>
                <w:bCs w:val="0"/>
                <w:color w:val="auto"/>
                <w:kern w:val="0"/>
                <w:sz w:val="21"/>
                <w:szCs w:val="24"/>
                <w:lang w:val="en-US" w:eastAsia="zh-CN" w:bidi="ar"/>
              </w:rPr>
              <w:t>+0.679</w:t>
            </w:r>
          </w:p>
        </w:tc>
      </w:tr>
      <w:tr w14:paraId="08CC4C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52F7AF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04D392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滤筒除尘器收集粉尘</w:t>
            </w:r>
          </w:p>
        </w:tc>
        <w:tc>
          <w:tcPr>
            <w:tcW w:w="1633" w:type="dxa"/>
            <w:vAlign w:val="center"/>
          </w:tcPr>
          <w:p w14:paraId="564E11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06040D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261F90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191827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b w:val="0"/>
                <w:bCs w:val="0"/>
                <w:snapToGrid w:val="0"/>
                <w:color w:val="auto"/>
                <w:kern w:val="21"/>
                <w:szCs w:val="21"/>
                <w:highlight w:val="none"/>
                <w:lang w:val="en-US"/>
              </w:rPr>
            </w:pPr>
            <w:r>
              <w:rPr>
                <w:rFonts w:hint="eastAsia" w:ascii="Times New Roman" w:hAnsi="Times New Roman" w:cs="Segoe UI"/>
                <w:i w:val="0"/>
                <w:iCs w:val="0"/>
                <w:caps w:val="0"/>
                <w:color w:val="0F1115"/>
                <w:spacing w:val="0"/>
                <w:sz w:val="21"/>
                <w:szCs w:val="24"/>
                <w:shd w:val="clear" w:fill="FFFFFF"/>
                <w:lang w:eastAsia="zh-CN"/>
              </w:rPr>
              <w:t>0.262</w:t>
            </w:r>
          </w:p>
        </w:tc>
        <w:tc>
          <w:tcPr>
            <w:tcW w:w="1852" w:type="dxa"/>
            <w:vAlign w:val="center"/>
          </w:tcPr>
          <w:p w14:paraId="7A5F18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788BA8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eastAsia" w:ascii="Times New Roman" w:hAnsi="Times New Roman" w:cs="Segoe UI"/>
                <w:i w:val="0"/>
                <w:iCs w:val="0"/>
                <w:caps w:val="0"/>
                <w:color w:val="0F1115"/>
                <w:spacing w:val="0"/>
                <w:sz w:val="21"/>
                <w:szCs w:val="24"/>
                <w:shd w:val="clear" w:fill="FFFFFF"/>
                <w:lang w:eastAsia="zh-CN"/>
              </w:rPr>
              <w:t>0.262</w:t>
            </w:r>
          </w:p>
        </w:tc>
        <w:tc>
          <w:tcPr>
            <w:tcW w:w="1617" w:type="dxa"/>
            <w:vAlign w:val="center"/>
          </w:tcPr>
          <w:p w14:paraId="0E8A7B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eastAsia" w:cs="var(--dsw-font-markdown-table)"/>
                <w:b w:val="0"/>
                <w:bCs w:val="0"/>
                <w:color w:val="auto"/>
                <w:kern w:val="0"/>
                <w:sz w:val="21"/>
                <w:szCs w:val="24"/>
                <w:lang w:val="en-US" w:eastAsia="zh-CN" w:bidi="ar"/>
              </w:rPr>
              <w:t>+</w:t>
            </w:r>
            <w:r>
              <w:rPr>
                <w:rFonts w:hint="eastAsia" w:ascii="Times New Roman" w:hAnsi="Times New Roman" w:cs="Segoe UI"/>
                <w:i w:val="0"/>
                <w:iCs w:val="0"/>
                <w:caps w:val="0"/>
                <w:color w:val="0F1115"/>
                <w:spacing w:val="0"/>
                <w:sz w:val="21"/>
                <w:szCs w:val="24"/>
                <w:shd w:val="clear" w:fill="FFFFFF"/>
                <w:lang w:eastAsia="zh-CN"/>
              </w:rPr>
              <w:t>0.262</w:t>
            </w:r>
          </w:p>
        </w:tc>
      </w:tr>
      <w:tr w14:paraId="363FD9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59D1A6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60ADA1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废滤筒</w:t>
            </w:r>
          </w:p>
        </w:tc>
        <w:tc>
          <w:tcPr>
            <w:tcW w:w="1633" w:type="dxa"/>
            <w:vAlign w:val="center"/>
          </w:tcPr>
          <w:p w14:paraId="54D21A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07DBD8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119567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15E838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b w:val="0"/>
                <w:bCs w:val="0"/>
                <w:snapToGrid w:val="0"/>
                <w:color w:val="auto"/>
                <w:kern w:val="21"/>
                <w:szCs w:val="21"/>
                <w:highlight w:val="none"/>
                <w:lang w:val="en-US"/>
              </w:rPr>
            </w:pPr>
            <w:r>
              <w:rPr>
                <w:rFonts w:hint="default" w:ascii="Times New Roman" w:hAnsi="Times New Roman" w:eastAsia="宋体" w:cs="var(--dsw-font-markdown-table)"/>
                <w:b w:val="0"/>
                <w:bCs w:val="0"/>
                <w:color w:val="auto"/>
                <w:kern w:val="0"/>
                <w:sz w:val="21"/>
                <w:szCs w:val="24"/>
                <w:lang w:val="en-US" w:eastAsia="zh-CN" w:bidi="ar"/>
              </w:rPr>
              <w:t>0.075</w:t>
            </w:r>
          </w:p>
        </w:tc>
        <w:tc>
          <w:tcPr>
            <w:tcW w:w="1852" w:type="dxa"/>
            <w:vAlign w:val="center"/>
          </w:tcPr>
          <w:p w14:paraId="392678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2E18C9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default" w:ascii="Times New Roman" w:hAnsi="Times New Roman" w:eastAsia="宋体" w:cs="var(--dsw-font-markdown-table)"/>
                <w:b w:val="0"/>
                <w:bCs w:val="0"/>
                <w:color w:val="auto"/>
                <w:kern w:val="0"/>
                <w:sz w:val="21"/>
                <w:szCs w:val="24"/>
                <w:lang w:val="en-US" w:eastAsia="zh-CN" w:bidi="ar"/>
              </w:rPr>
              <w:t>0.075</w:t>
            </w:r>
          </w:p>
        </w:tc>
        <w:tc>
          <w:tcPr>
            <w:tcW w:w="1617" w:type="dxa"/>
            <w:vAlign w:val="center"/>
          </w:tcPr>
          <w:p w14:paraId="2AE04F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0.075</w:t>
            </w:r>
          </w:p>
        </w:tc>
      </w:tr>
      <w:tr w14:paraId="54C10C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restart"/>
            <w:vAlign w:val="center"/>
          </w:tcPr>
          <w:p w14:paraId="459721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危险废物</w:t>
            </w:r>
          </w:p>
        </w:tc>
        <w:tc>
          <w:tcPr>
            <w:tcW w:w="2582" w:type="dxa"/>
            <w:vAlign w:val="center"/>
          </w:tcPr>
          <w:p w14:paraId="0DBFFA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eastAsia" w:cs="var(--dsw-font-markdown-table)"/>
                <w:color w:val="auto"/>
                <w:kern w:val="0"/>
                <w:sz w:val="21"/>
                <w:szCs w:val="24"/>
                <w:lang w:val="en-US" w:eastAsia="zh-CN" w:bidi="ar"/>
              </w:rPr>
              <w:t>废处理剂/清洁剂/胶粘剂包装桶</w:t>
            </w:r>
          </w:p>
        </w:tc>
        <w:tc>
          <w:tcPr>
            <w:tcW w:w="1633" w:type="dxa"/>
            <w:vAlign w:val="center"/>
          </w:tcPr>
          <w:p w14:paraId="30B535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02FF8E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47CAF3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781928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b w:val="0"/>
                <w:bCs w:val="0"/>
                <w:snapToGrid w:val="0"/>
                <w:color w:val="auto"/>
                <w:kern w:val="21"/>
                <w:szCs w:val="21"/>
                <w:highlight w:val="none"/>
                <w:lang w:val="en-US"/>
              </w:rPr>
            </w:pPr>
            <w:r>
              <w:rPr>
                <w:rFonts w:hint="eastAsia" w:cs="var(--dsw-font-markdown-table)"/>
                <w:b w:val="0"/>
                <w:bCs w:val="0"/>
                <w:color w:val="auto"/>
                <w:kern w:val="0"/>
                <w:sz w:val="21"/>
                <w:szCs w:val="24"/>
                <w:lang w:val="en-US" w:eastAsia="zh-CN" w:bidi="ar"/>
              </w:rPr>
              <w:t>2.147</w:t>
            </w:r>
          </w:p>
        </w:tc>
        <w:tc>
          <w:tcPr>
            <w:tcW w:w="1852" w:type="dxa"/>
            <w:vAlign w:val="center"/>
          </w:tcPr>
          <w:p w14:paraId="4B35F4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124EDF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snapToGrid w:val="0"/>
                <w:color w:val="auto"/>
                <w:kern w:val="21"/>
                <w:szCs w:val="21"/>
                <w:highlight w:val="none"/>
                <w:lang w:val="en-US"/>
              </w:rPr>
            </w:pPr>
            <w:r>
              <w:rPr>
                <w:rFonts w:hint="eastAsia" w:cs="var(--dsw-font-markdown-table)"/>
                <w:b w:val="0"/>
                <w:bCs w:val="0"/>
                <w:color w:val="auto"/>
                <w:kern w:val="0"/>
                <w:sz w:val="21"/>
                <w:szCs w:val="24"/>
                <w:lang w:val="en-US" w:eastAsia="zh-CN" w:bidi="ar"/>
              </w:rPr>
              <w:t>2.147</w:t>
            </w:r>
          </w:p>
        </w:tc>
        <w:tc>
          <w:tcPr>
            <w:tcW w:w="1617" w:type="dxa"/>
            <w:vAlign w:val="center"/>
          </w:tcPr>
          <w:p w14:paraId="70453E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snapToGrid w:val="0"/>
                <w:color w:val="auto"/>
                <w:kern w:val="21"/>
                <w:szCs w:val="21"/>
                <w:highlight w:val="none"/>
                <w:lang w:val="en-US"/>
              </w:rPr>
            </w:pPr>
            <w:r>
              <w:rPr>
                <w:rFonts w:hint="eastAsia" w:cs="var(--dsw-font-markdown-table)"/>
                <w:b w:val="0"/>
                <w:bCs w:val="0"/>
                <w:color w:val="auto"/>
                <w:kern w:val="0"/>
                <w:sz w:val="21"/>
                <w:szCs w:val="24"/>
                <w:lang w:val="en-US" w:eastAsia="zh-CN" w:bidi="ar"/>
              </w:rPr>
              <w:t>+2.147</w:t>
            </w:r>
          </w:p>
        </w:tc>
      </w:tr>
      <w:tr w14:paraId="6DD071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7E0030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0A03DE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废机油</w:t>
            </w:r>
          </w:p>
        </w:tc>
        <w:tc>
          <w:tcPr>
            <w:tcW w:w="1633" w:type="dxa"/>
            <w:vAlign w:val="center"/>
          </w:tcPr>
          <w:p w14:paraId="2D653C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1E8C10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776EA9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1562DB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b w:val="0"/>
                <w:bCs w:val="0"/>
                <w:snapToGrid w:val="0"/>
                <w:color w:val="auto"/>
                <w:kern w:val="21"/>
                <w:szCs w:val="21"/>
                <w:highlight w:val="none"/>
              </w:rPr>
            </w:pPr>
            <w:r>
              <w:rPr>
                <w:rFonts w:hint="default" w:ascii="Times New Roman" w:hAnsi="Times New Roman" w:eastAsia="宋体" w:cs="var(--dsw-font-markdown-table)"/>
                <w:b w:val="0"/>
                <w:bCs w:val="0"/>
                <w:color w:val="auto"/>
                <w:kern w:val="0"/>
                <w:sz w:val="21"/>
                <w:szCs w:val="24"/>
                <w:lang w:val="en-US" w:eastAsia="zh-CN" w:bidi="ar"/>
              </w:rPr>
              <w:t>0.05</w:t>
            </w:r>
          </w:p>
        </w:tc>
        <w:tc>
          <w:tcPr>
            <w:tcW w:w="1852" w:type="dxa"/>
            <w:vAlign w:val="center"/>
          </w:tcPr>
          <w:p w14:paraId="6C993A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1DDE02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default" w:ascii="Times New Roman" w:hAnsi="Times New Roman" w:eastAsia="宋体" w:cs="var(--dsw-font-markdown-table)"/>
                <w:b w:val="0"/>
                <w:bCs w:val="0"/>
                <w:color w:val="auto"/>
                <w:kern w:val="0"/>
                <w:sz w:val="21"/>
                <w:szCs w:val="24"/>
                <w:lang w:val="en-US" w:eastAsia="zh-CN" w:bidi="ar"/>
              </w:rPr>
              <w:t>0.05</w:t>
            </w:r>
          </w:p>
        </w:tc>
        <w:tc>
          <w:tcPr>
            <w:tcW w:w="1617" w:type="dxa"/>
            <w:vAlign w:val="center"/>
          </w:tcPr>
          <w:p w14:paraId="314F1E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0.05</w:t>
            </w:r>
          </w:p>
        </w:tc>
      </w:tr>
      <w:tr w14:paraId="070EF7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4A1B7A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6A151D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含油废包装桶</w:t>
            </w:r>
          </w:p>
        </w:tc>
        <w:tc>
          <w:tcPr>
            <w:tcW w:w="1633" w:type="dxa"/>
            <w:vAlign w:val="center"/>
          </w:tcPr>
          <w:p w14:paraId="40BB62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591882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52E9D5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405EDF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b w:val="0"/>
                <w:bCs w:val="0"/>
                <w:snapToGrid w:val="0"/>
                <w:color w:val="auto"/>
                <w:kern w:val="21"/>
                <w:szCs w:val="21"/>
                <w:highlight w:val="none"/>
              </w:rPr>
            </w:pPr>
            <w:r>
              <w:rPr>
                <w:rFonts w:hint="default" w:ascii="Times New Roman" w:hAnsi="Times New Roman" w:eastAsia="宋体" w:cs="var(--dsw-font-markdown-table)"/>
                <w:b w:val="0"/>
                <w:bCs w:val="0"/>
                <w:color w:val="auto"/>
                <w:kern w:val="0"/>
                <w:sz w:val="21"/>
                <w:szCs w:val="24"/>
                <w:lang w:val="en-US" w:eastAsia="zh-CN" w:bidi="ar"/>
              </w:rPr>
              <w:t>0.05</w:t>
            </w:r>
          </w:p>
        </w:tc>
        <w:tc>
          <w:tcPr>
            <w:tcW w:w="1852" w:type="dxa"/>
            <w:vAlign w:val="center"/>
          </w:tcPr>
          <w:p w14:paraId="25196F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39BE93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default" w:ascii="Times New Roman" w:hAnsi="Times New Roman" w:eastAsia="宋体" w:cs="var(--dsw-font-markdown-table)"/>
                <w:b w:val="0"/>
                <w:bCs w:val="0"/>
                <w:color w:val="auto"/>
                <w:kern w:val="0"/>
                <w:sz w:val="21"/>
                <w:szCs w:val="24"/>
                <w:lang w:val="en-US" w:eastAsia="zh-CN" w:bidi="ar"/>
              </w:rPr>
              <w:t>0.05</w:t>
            </w:r>
          </w:p>
        </w:tc>
        <w:tc>
          <w:tcPr>
            <w:tcW w:w="1617" w:type="dxa"/>
            <w:vAlign w:val="center"/>
          </w:tcPr>
          <w:p w14:paraId="4CBC33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0.05</w:t>
            </w:r>
          </w:p>
        </w:tc>
      </w:tr>
      <w:tr w14:paraId="05BE6F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052D6E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5C5732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含油废抹布、手套</w:t>
            </w:r>
          </w:p>
        </w:tc>
        <w:tc>
          <w:tcPr>
            <w:tcW w:w="1633" w:type="dxa"/>
            <w:vAlign w:val="center"/>
          </w:tcPr>
          <w:p w14:paraId="77EC99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320153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70EFB8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79F0E0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b w:val="0"/>
                <w:bCs w:val="0"/>
                <w:snapToGrid w:val="0"/>
                <w:color w:val="auto"/>
                <w:kern w:val="21"/>
                <w:szCs w:val="21"/>
                <w:highlight w:val="none"/>
              </w:rPr>
            </w:pPr>
            <w:r>
              <w:rPr>
                <w:rFonts w:hint="default" w:ascii="Times New Roman" w:hAnsi="Times New Roman" w:eastAsia="宋体" w:cs="var(--dsw-font-markdown-table)"/>
                <w:b w:val="0"/>
                <w:bCs w:val="0"/>
                <w:color w:val="auto"/>
                <w:kern w:val="0"/>
                <w:sz w:val="21"/>
                <w:szCs w:val="24"/>
                <w:lang w:val="en-US" w:eastAsia="zh-CN" w:bidi="ar"/>
              </w:rPr>
              <w:t>0.07</w:t>
            </w:r>
          </w:p>
        </w:tc>
        <w:tc>
          <w:tcPr>
            <w:tcW w:w="1852" w:type="dxa"/>
            <w:vAlign w:val="center"/>
          </w:tcPr>
          <w:p w14:paraId="0EAA5A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2E0A7D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default" w:ascii="Times New Roman" w:hAnsi="Times New Roman" w:eastAsia="宋体" w:cs="var(--dsw-font-markdown-table)"/>
                <w:b w:val="0"/>
                <w:bCs w:val="0"/>
                <w:color w:val="auto"/>
                <w:kern w:val="0"/>
                <w:sz w:val="21"/>
                <w:szCs w:val="24"/>
                <w:lang w:val="en-US" w:eastAsia="zh-CN" w:bidi="ar"/>
              </w:rPr>
              <w:t>0.07</w:t>
            </w:r>
          </w:p>
        </w:tc>
        <w:tc>
          <w:tcPr>
            <w:tcW w:w="1617" w:type="dxa"/>
            <w:vAlign w:val="center"/>
          </w:tcPr>
          <w:p w14:paraId="4DBFAB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0.07</w:t>
            </w:r>
          </w:p>
        </w:tc>
      </w:tr>
      <w:tr w14:paraId="37A911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68F385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27F585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废活性炭</w:t>
            </w:r>
          </w:p>
        </w:tc>
        <w:tc>
          <w:tcPr>
            <w:tcW w:w="1633" w:type="dxa"/>
            <w:vAlign w:val="center"/>
          </w:tcPr>
          <w:p w14:paraId="573BB8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13BA74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7E1B0C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16B82F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b w:val="0"/>
                <w:bCs w:val="0"/>
                <w:snapToGrid w:val="0"/>
                <w:color w:val="auto"/>
                <w:kern w:val="21"/>
                <w:szCs w:val="21"/>
                <w:highlight w:val="none"/>
                <w:lang w:val="en-US"/>
              </w:rPr>
            </w:pPr>
            <w:r>
              <w:rPr>
                <w:rFonts w:hint="eastAsia" w:cs="var(--dsw-font-markdown-table)"/>
                <w:b w:val="0"/>
                <w:bCs w:val="0"/>
                <w:color w:val="auto"/>
                <w:kern w:val="0"/>
                <w:sz w:val="21"/>
                <w:szCs w:val="24"/>
                <w:lang w:val="en-US" w:eastAsia="zh-CN" w:bidi="ar"/>
              </w:rPr>
              <w:t>89.579</w:t>
            </w:r>
          </w:p>
        </w:tc>
        <w:tc>
          <w:tcPr>
            <w:tcW w:w="1852" w:type="dxa"/>
            <w:vAlign w:val="center"/>
          </w:tcPr>
          <w:p w14:paraId="771CE0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0E2D13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snapToGrid w:val="0"/>
                <w:color w:val="auto"/>
                <w:kern w:val="21"/>
                <w:szCs w:val="21"/>
                <w:highlight w:val="none"/>
                <w:lang w:val="en-US"/>
              </w:rPr>
            </w:pPr>
            <w:r>
              <w:rPr>
                <w:rFonts w:hint="eastAsia" w:cs="var(--dsw-font-markdown-table)"/>
                <w:b w:val="0"/>
                <w:bCs w:val="0"/>
                <w:color w:val="auto"/>
                <w:kern w:val="0"/>
                <w:sz w:val="21"/>
                <w:szCs w:val="24"/>
                <w:lang w:val="en-US" w:eastAsia="zh-CN" w:bidi="ar"/>
              </w:rPr>
              <w:t>89.579</w:t>
            </w:r>
          </w:p>
        </w:tc>
        <w:tc>
          <w:tcPr>
            <w:tcW w:w="1617" w:type="dxa"/>
            <w:vAlign w:val="center"/>
          </w:tcPr>
          <w:p w14:paraId="68B880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snapToGrid w:val="0"/>
                <w:color w:val="auto"/>
                <w:kern w:val="21"/>
                <w:szCs w:val="21"/>
                <w:highlight w:val="none"/>
                <w:lang w:val="en-US"/>
              </w:rPr>
            </w:pPr>
            <w:r>
              <w:rPr>
                <w:rFonts w:hint="eastAsia" w:cs="var(--dsw-font-markdown-table)"/>
                <w:b w:val="0"/>
                <w:bCs w:val="0"/>
                <w:color w:val="auto"/>
                <w:kern w:val="0"/>
                <w:sz w:val="21"/>
                <w:szCs w:val="24"/>
                <w:lang w:val="en-US" w:eastAsia="zh-CN" w:bidi="ar"/>
              </w:rPr>
              <w:t>+89.579</w:t>
            </w:r>
          </w:p>
        </w:tc>
      </w:tr>
      <w:tr w14:paraId="18C0CE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466BA6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33B9C6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废油墨桶</w:t>
            </w:r>
          </w:p>
        </w:tc>
        <w:tc>
          <w:tcPr>
            <w:tcW w:w="1633" w:type="dxa"/>
            <w:vAlign w:val="center"/>
          </w:tcPr>
          <w:p w14:paraId="103C0C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17542F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0C6FFA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70C3C6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b w:val="0"/>
                <w:bCs w:val="0"/>
                <w:snapToGrid w:val="0"/>
                <w:color w:val="auto"/>
                <w:kern w:val="21"/>
                <w:szCs w:val="21"/>
                <w:highlight w:val="none"/>
                <w:lang w:val="en-US"/>
              </w:rPr>
            </w:pPr>
            <w:r>
              <w:rPr>
                <w:rFonts w:hint="default" w:ascii="Times New Roman" w:hAnsi="Times New Roman" w:eastAsia="宋体" w:cs="var(--dsw-font-markdown-table)"/>
                <w:b w:val="0"/>
                <w:bCs w:val="0"/>
                <w:color w:val="auto"/>
                <w:kern w:val="0"/>
                <w:sz w:val="21"/>
                <w:szCs w:val="24"/>
                <w:lang w:val="en-US" w:eastAsia="zh-CN" w:bidi="ar"/>
              </w:rPr>
              <w:t>0.</w:t>
            </w:r>
            <w:r>
              <w:rPr>
                <w:rFonts w:hint="eastAsia" w:cs="var(--dsw-font-markdown-table)"/>
                <w:b w:val="0"/>
                <w:bCs w:val="0"/>
                <w:color w:val="auto"/>
                <w:kern w:val="0"/>
                <w:sz w:val="21"/>
                <w:szCs w:val="24"/>
                <w:lang w:val="en-US" w:eastAsia="zh-CN" w:bidi="ar"/>
              </w:rPr>
              <w:t>132</w:t>
            </w:r>
          </w:p>
        </w:tc>
        <w:tc>
          <w:tcPr>
            <w:tcW w:w="1852" w:type="dxa"/>
            <w:vAlign w:val="center"/>
          </w:tcPr>
          <w:p w14:paraId="1D686D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68BBAF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default" w:ascii="Times New Roman" w:hAnsi="Times New Roman" w:eastAsia="宋体" w:cs="var(--dsw-font-markdown-table)"/>
                <w:b w:val="0"/>
                <w:bCs w:val="0"/>
                <w:color w:val="auto"/>
                <w:kern w:val="0"/>
                <w:sz w:val="21"/>
                <w:szCs w:val="24"/>
                <w:lang w:val="en-US" w:eastAsia="zh-CN" w:bidi="ar"/>
              </w:rPr>
              <w:t>0.</w:t>
            </w:r>
            <w:r>
              <w:rPr>
                <w:rFonts w:hint="eastAsia" w:cs="var(--dsw-font-markdown-table)"/>
                <w:b w:val="0"/>
                <w:bCs w:val="0"/>
                <w:color w:val="auto"/>
                <w:kern w:val="0"/>
                <w:sz w:val="21"/>
                <w:szCs w:val="24"/>
                <w:lang w:val="en-US" w:eastAsia="zh-CN" w:bidi="ar"/>
              </w:rPr>
              <w:t>132</w:t>
            </w:r>
          </w:p>
        </w:tc>
        <w:tc>
          <w:tcPr>
            <w:tcW w:w="1617" w:type="dxa"/>
            <w:vAlign w:val="center"/>
          </w:tcPr>
          <w:p w14:paraId="7D66DB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w:t>
            </w:r>
            <w:r>
              <w:rPr>
                <w:rFonts w:hint="eastAsia" w:cs="var(--dsw-font-markdown-table)"/>
                <w:b w:val="0"/>
                <w:bCs w:val="0"/>
                <w:color w:val="auto"/>
                <w:kern w:val="0"/>
                <w:sz w:val="21"/>
                <w:szCs w:val="24"/>
                <w:lang w:val="en-US" w:eastAsia="zh-CN" w:bidi="ar"/>
              </w:rPr>
              <w:t>132</w:t>
            </w:r>
          </w:p>
        </w:tc>
      </w:tr>
      <w:tr w14:paraId="66B470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467B78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280D51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废网版</w:t>
            </w:r>
          </w:p>
        </w:tc>
        <w:tc>
          <w:tcPr>
            <w:tcW w:w="1633" w:type="dxa"/>
            <w:vAlign w:val="center"/>
          </w:tcPr>
          <w:p w14:paraId="0D8FA4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12401E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59066A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6480E2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b w:val="0"/>
                <w:bCs w:val="0"/>
                <w:snapToGrid w:val="0"/>
                <w:color w:val="auto"/>
                <w:kern w:val="21"/>
                <w:szCs w:val="21"/>
                <w:highlight w:val="none"/>
              </w:rPr>
            </w:pPr>
            <w:r>
              <w:rPr>
                <w:rFonts w:hint="default" w:ascii="Times New Roman" w:hAnsi="Times New Roman" w:eastAsia="宋体" w:cs="var(--dsw-font-markdown-table)"/>
                <w:b w:val="0"/>
                <w:bCs w:val="0"/>
                <w:color w:val="auto"/>
                <w:kern w:val="0"/>
                <w:sz w:val="21"/>
                <w:szCs w:val="24"/>
                <w:lang w:val="en-US" w:eastAsia="zh-CN" w:bidi="ar"/>
              </w:rPr>
              <w:t>0.05</w:t>
            </w:r>
          </w:p>
        </w:tc>
        <w:tc>
          <w:tcPr>
            <w:tcW w:w="1852" w:type="dxa"/>
            <w:vAlign w:val="center"/>
          </w:tcPr>
          <w:p w14:paraId="1D7BDE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3420FD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default" w:ascii="Times New Roman" w:hAnsi="Times New Roman" w:eastAsia="宋体" w:cs="var(--dsw-font-markdown-table)"/>
                <w:b w:val="0"/>
                <w:bCs w:val="0"/>
                <w:color w:val="auto"/>
                <w:kern w:val="0"/>
                <w:sz w:val="21"/>
                <w:szCs w:val="24"/>
                <w:lang w:val="en-US" w:eastAsia="zh-CN" w:bidi="ar"/>
              </w:rPr>
              <w:t>0.05</w:t>
            </w:r>
          </w:p>
        </w:tc>
        <w:tc>
          <w:tcPr>
            <w:tcW w:w="1617" w:type="dxa"/>
            <w:vAlign w:val="center"/>
          </w:tcPr>
          <w:p w14:paraId="065B96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0.05</w:t>
            </w:r>
          </w:p>
        </w:tc>
      </w:tr>
      <w:tr w14:paraId="4805E7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61DBCE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371C20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废感光胶包装物</w:t>
            </w:r>
          </w:p>
        </w:tc>
        <w:tc>
          <w:tcPr>
            <w:tcW w:w="1633" w:type="dxa"/>
            <w:vAlign w:val="center"/>
          </w:tcPr>
          <w:p w14:paraId="48C5B6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26223E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7F888B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611386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b w:val="0"/>
                <w:bCs w:val="0"/>
                <w:snapToGrid w:val="0"/>
                <w:color w:val="auto"/>
                <w:kern w:val="21"/>
                <w:szCs w:val="21"/>
                <w:highlight w:val="none"/>
              </w:rPr>
            </w:pPr>
            <w:r>
              <w:rPr>
                <w:rFonts w:hint="default" w:ascii="Times New Roman" w:hAnsi="Times New Roman" w:eastAsia="宋体" w:cs="var(--dsw-font-markdown-table)"/>
                <w:b w:val="0"/>
                <w:bCs w:val="0"/>
                <w:color w:val="auto"/>
                <w:kern w:val="0"/>
                <w:sz w:val="21"/>
                <w:szCs w:val="24"/>
                <w:lang w:val="en-US" w:eastAsia="zh-CN" w:bidi="ar"/>
              </w:rPr>
              <w:t>0.012</w:t>
            </w:r>
          </w:p>
        </w:tc>
        <w:tc>
          <w:tcPr>
            <w:tcW w:w="1852" w:type="dxa"/>
            <w:vAlign w:val="center"/>
          </w:tcPr>
          <w:p w14:paraId="7A05EE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04419A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default" w:ascii="Times New Roman" w:hAnsi="Times New Roman" w:eastAsia="宋体" w:cs="var(--dsw-font-markdown-table)"/>
                <w:b w:val="0"/>
                <w:bCs w:val="0"/>
                <w:color w:val="auto"/>
                <w:kern w:val="0"/>
                <w:sz w:val="21"/>
                <w:szCs w:val="24"/>
                <w:lang w:val="en-US" w:eastAsia="zh-CN" w:bidi="ar"/>
              </w:rPr>
              <w:t>0.012</w:t>
            </w:r>
          </w:p>
        </w:tc>
        <w:tc>
          <w:tcPr>
            <w:tcW w:w="1617" w:type="dxa"/>
            <w:vAlign w:val="center"/>
          </w:tcPr>
          <w:p w14:paraId="154636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0.012</w:t>
            </w:r>
          </w:p>
        </w:tc>
      </w:tr>
      <w:tr w14:paraId="53064F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5A7AD9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p>
        </w:tc>
        <w:tc>
          <w:tcPr>
            <w:tcW w:w="2582" w:type="dxa"/>
            <w:vAlign w:val="center"/>
          </w:tcPr>
          <w:p w14:paraId="31D4BB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废菲林片</w:t>
            </w:r>
          </w:p>
        </w:tc>
        <w:tc>
          <w:tcPr>
            <w:tcW w:w="1633" w:type="dxa"/>
            <w:vAlign w:val="center"/>
          </w:tcPr>
          <w:p w14:paraId="7AAD04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291" w:type="dxa"/>
            <w:vAlign w:val="center"/>
          </w:tcPr>
          <w:p w14:paraId="42547C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809" w:type="dxa"/>
            <w:vAlign w:val="center"/>
          </w:tcPr>
          <w:p w14:paraId="5AEC09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1684" w:type="dxa"/>
            <w:vAlign w:val="center"/>
          </w:tcPr>
          <w:p w14:paraId="5F6633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b w:val="0"/>
                <w:bCs w:val="0"/>
                <w:snapToGrid w:val="0"/>
                <w:color w:val="auto"/>
                <w:kern w:val="21"/>
                <w:szCs w:val="21"/>
                <w:highlight w:val="none"/>
              </w:rPr>
            </w:pPr>
            <w:r>
              <w:rPr>
                <w:rFonts w:hint="default" w:ascii="Times New Roman" w:hAnsi="Times New Roman" w:eastAsia="宋体" w:cs="var(--dsw-font-markdown-table)"/>
                <w:b w:val="0"/>
                <w:bCs w:val="0"/>
                <w:color w:val="auto"/>
                <w:kern w:val="0"/>
                <w:sz w:val="21"/>
                <w:szCs w:val="24"/>
                <w:lang w:val="en-US" w:eastAsia="zh-CN" w:bidi="ar"/>
              </w:rPr>
              <w:t>0.18</w:t>
            </w:r>
          </w:p>
        </w:tc>
        <w:tc>
          <w:tcPr>
            <w:tcW w:w="1852" w:type="dxa"/>
            <w:vAlign w:val="center"/>
          </w:tcPr>
          <w:p w14:paraId="78159A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snapToGrid w:val="0"/>
                <w:color w:val="auto"/>
                <w:kern w:val="21"/>
                <w:szCs w:val="21"/>
                <w:highlight w:val="none"/>
              </w:rPr>
            </w:pPr>
            <w:r>
              <w:rPr>
                <w:rFonts w:hint="default" w:ascii="Times New Roman" w:hAnsi="Times New Roman" w:eastAsia="宋体" w:cs="var(--dsw-font-markdown-table)"/>
                <w:color w:val="auto"/>
                <w:kern w:val="0"/>
                <w:sz w:val="21"/>
                <w:szCs w:val="24"/>
                <w:lang w:val="en-US" w:eastAsia="zh-CN" w:bidi="ar"/>
              </w:rPr>
              <w:t>/</w:t>
            </w:r>
          </w:p>
        </w:tc>
        <w:tc>
          <w:tcPr>
            <w:tcW w:w="2217" w:type="dxa"/>
            <w:vAlign w:val="center"/>
          </w:tcPr>
          <w:p w14:paraId="475F34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default" w:ascii="Times New Roman" w:hAnsi="Times New Roman" w:eastAsia="宋体" w:cs="var(--dsw-font-markdown-table)"/>
                <w:b w:val="0"/>
                <w:bCs w:val="0"/>
                <w:color w:val="auto"/>
                <w:kern w:val="0"/>
                <w:sz w:val="21"/>
                <w:szCs w:val="24"/>
                <w:lang w:val="en-US" w:eastAsia="zh-CN" w:bidi="ar"/>
              </w:rPr>
              <w:t>0.18</w:t>
            </w:r>
          </w:p>
        </w:tc>
        <w:tc>
          <w:tcPr>
            <w:tcW w:w="1617" w:type="dxa"/>
            <w:vAlign w:val="center"/>
          </w:tcPr>
          <w:p w14:paraId="6893FE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snapToGrid w:val="0"/>
                <w:color w:val="auto"/>
                <w:kern w:val="21"/>
                <w:szCs w:val="21"/>
                <w:highlight w:val="none"/>
              </w:rPr>
            </w:pPr>
            <w:r>
              <w:rPr>
                <w:rFonts w:hint="eastAsia" w:cs="var(--dsw-font-markdown-table)"/>
                <w:b w:val="0"/>
                <w:bCs w:val="0"/>
                <w:color w:val="auto"/>
                <w:kern w:val="0"/>
                <w:sz w:val="21"/>
                <w:szCs w:val="24"/>
                <w:lang w:val="en-US" w:eastAsia="zh-CN" w:bidi="ar"/>
              </w:rPr>
              <w:t>+</w:t>
            </w:r>
            <w:r>
              <w:rPr>
                <w:rFonts w:hint="default" w:ascii="Times New Roman" w:hAnsi="Times New Roman" w:eastAsia="宋体" w:cs="var(--dsw-font-markdown-table)"/>
                <w:b w:val="0"/>
                <w:bCs w:val="0"/>
                <w:color w:val="auto"/>
                <w:kern w:val="0"/>
                <w:sz w:val="21"/>
                <w:szCs w:val="24"/>
                <w:lang w:val="en-US" w:eastAsia="zh-CN" w:bidi="ar"/>
              </w:rPr>
              <w:t>0.18</w:t>
            </w:r>
          </w:p>
        </w:tc>
      </w:tr>
    </w:tbl>
    <w:p w14:paraId="7089C077">
      <w:pPr>
        <w:spacing w:before="70"/>
        <w:ind w:left="151" w:firstLine="480"/>
        <w:jc w:val="left"/>
        <w:rPr>
          <w:color w:val="auto"/>
          <w:highlight w:val="none"/>
        </w:rPr>
      </w:pPr>
      <w:r>
        <w:rPr>
          <w:color w:val="auto"/>
          <w:highlight w:val="none"/>
        </w:rPr>
        <w:t>注：⑥=①+③+④</w:t>
      </w:r>
      <w:r>
        <w:rPr>
          <w:rFonts w:hint="eastAsia"/>
          <w:color w:val="auto"/>
          <w:highlight w:val="none"/>
          <w:lang w:eastAsia="zh-CN"/>
        </w:rPr>
        <w:t xml:space="preserve"> </w:t>
      </w:r>
      <w:r>
        <w:rPr>
          <w:color w:val="auto"/>
          <w:highlight w:val="none"/>
        </w:rPr>
        <w:t>⑤；⑦=⑥</w:t>
      </w:r>
      <w:r>
        <w:rPr>
          <w:rFonts w:hint="eastAsia"/>
          <w:color w:val="auto"/>
          <w:highlight w:val="none"/>
          <w:lang w:eastAsia="zh-CN"/>
        </w:rPr>
        <w:t xml:space="preserve"> </w:t>
      </w:r>
      <w:r>
        <w:rPr>
          <w:color w:val="auto"/>
          <w:highlight w:val="none"/>
        </w:rPr>
        <w:t>①</w:t>
      </w:r>
    </w:p>
    <w:p w14:paraId="6FA99608">
      <w:pPr>
        <w:spacing w:line="360" w:lineRule="auto"/>
        <w:ind w:firstLine="480" w:firstLineChars="200"/>
        <w:rPr>
          <w:color w:val="auto"/>
          <w:sz w:val="24"/>
          <w:highlight w:val="none"/>
        </w:rPr>
        <w:sectPr>
          <w:pgSz w:w="16839" w:h="11907" w:orient="landscape"/>
          <w:pgMar w:top="720" w:right="720" w:bottom="720" w:left="720" w:header="851" w:footer="567" w:gutter="0"/>
          <w:pgNumType w:fmt="decimal"/>
          <w:cols w:space="0" w:num="1"/>
          <w:docGrid w:linePitch="312" w:charSpace="0"/>
        </w:sectPr>
      </w:pPr>
    </w:p>
    <w:p w14:paraId="6864AA26">
      <w:pPr>
        <w:spacing w:line="360" w:lineRule="auto"/>
        <w:rPr>
          <w:color w:val="auto"/>
          <w:sz w:val="24"/>
          <w:highlight w:val="none"/>
        </w:rPr>
      </w:pPr>
      <w:r>
        <w:rPr>
          <w:color w:val="auto"/>
          <w:sz w:val="24"/>
        </w:rPr>
        <mc:AlternateContent>
          <mc:Choice Requires="wps">
            <w:drawing>
              <wp:anchor distT="0" distB="0" distL="114300" distR="114300" simplePos="0" relativeHeight="251673600" behindDoc="0" locked="0" layoutInCell="1" allowOverlap="1">
                <wp:simplePos x="0" y="0"/>
                <wp:positionH relativeFrom="column">
                  <wp:posOffset>4385310</wp:posOffset>
                </wp:positionH>
                <wp:positionV relativeFrom="paragraph">
                  <wp:posOffset>1186180</wp:posOffset>
                </wp:positionV>
                <wp:extent cx="150495" cy="152400"/>
                <wp:effectExtent l="18415" t="21590" r="21590" b="35560"/>
                <wp:wrapNone/>
                <wp:docPr id="85" name="五角星 85"/>
                <wp:cNvGraphicFramePr/>
                <a:graphic xmlns:a="http://schemas.openxmlformats.org/drawingml/2006/main">
                  <a:graphicData uri="http://schemas.microsoft.com/office/word/2010/wordprocessingShape">
                    <wps:wsp>
                      <wps:cNvSpPr/>
                      <wps:spPr>
                        <a:xfrm>
                          <a:off x="5372735" y="2324735"/>
                          <a:ext cx="150495" cy="152400"/>
                        </a:xfrm>
                        <a:prstGeom prst="star5">
                          <a:avLst/>
                        </a:prstGeom>
                        <a:solidFill>
                          <a:srgbClr val="FF000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45.3pt;margin-top:93.4pt;height:12pt;width:11.85pt;z-index:251673600;v-text-anchor:middle;mso-width-relative:page;mso-height-relative:page;" fillcolor="#FF0000" filled="t" stroked="t" coordsize="150495,152400" o:gfxdata="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BFfFft2gAAAAsBAAAPAAAAAAAA&#10;AAEAIAAAACIAAABkcnMvZG93bnJldi54bWxQSwECFAAUAAAACACHTuJAQ8mC74ICAAAFBQAADgAA&#10;AAAAAAABACAAAAApAQAAZHJzL2Uyb0RvYy54bWxQSwUGAAAAAAYABgBZAQAAHQYAAAAA&#10;" path="m0,58211l57484,58211,75247,0,93010,58211,150494,58211,103988,94187,121752,152399,75247,116422,28742,152399,46506,94187xe">
                <v:path o:connectlocs="75247,0;0,58211;28742,152399;121752,152399;150494,58211" o:connectangles="247,164,82,82,0"/>
                <v:fill on="t" focussize="0,0"/>
                <v:stroke weight="1pt" color="#000000 [3213]" miterlimit="8" joinstyle="miter"/>
                <v:imagedata o:title=""/>
                <o:lock v:ext="edit" aspectratio="f"/>
              </v:shape>
            </w:pict>
          </mc:Fallback>
        </mc:AlternateContent>
      </w:r>
      <w:r>
        <w:rPr>
          <w:color w:val="auto"/>
          <w:sz w:val="24"/>
        </w:rPr>
        <mc:AlternateContent>
          <mc:Choice Requires="wps">
            <w:drawing>
              <wp:anchor distT="0" distB="0" distL="114300" distR="114300" simplePos="0" relativeHeight="251676672" behindDoc="0" locked="0" layoutInCell="1" allowOverlap="1">
                <wp:simplePos x="0" y="0"/>
                <wp:positionH relativeFrom="column">
                  <wp:posOffset>2512695</wp:posOffset>
                </wp:positionH>
                <wp:positionV relativeFrom="paragraph">
                  <wp:posOffset>546735</wp:posOffset>
                </wp:positionV>
                <wp:extent cx="1247775" cy="256540"/>
                <wp:effectExtent l="6350" t="6350" r="746125" b="499110"/>
                <wp:wrapNone/>
                <wp:docPr id="88" name="矩形标注 88"/>
                <wp:cNvGraphicFramePr/>
                <a:graphic xmlns:a="http://schemas.openxmlformats.org/drawingml/2006/main">
                  <a:graphicData uri="http://schemas.microsoft.com/office/word/2010/wordprocessingShape">
                    <wps:wsp>
                      <wps:cNvSpPr/>
                      <wps:spPr>
                        <a:xfrm>
                          <a:off x="4107815" y="1817370"/>
                          <a:ext cx="1247775" cy="256540"/>
                        </a:xfrm>
                        <a:prstGeom prst="wedgeRectCallout">
                          <a:avLst>
                            <a:gd name="adj1" fmla="val 104860"/>
                            <a:gd name="adj2" fmla="val 229702"/>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7BFB6FC">
                            <w:pPr>
                              <w:jc w:val="center"/>
                              <w:rPr>
                                <w:rFonts w:hint="default" w:eastAsia="宋体"/>
                                <w:color w:val="FF0000"/>
                                <w:lang w:val="en-US" w:eastAsia="zh-CN"/>
                              </w:rPr>
                            </w:pPr>
                            <w:r>
                              <w:rPr>
                                <w:rFonts w:hint="eastAsia"/>
                                <w:color w:val="FF0000"/>
                                <w:lang w:val="en-US" w:eastAsia="zh-CN"/>
                              </w:rPr>
                              <w:t>本项目所在地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97.85pt;margin-top:43.05pt;height:20.2pt;width:98.25pt;z-index:251676672;v-text-anchor:middle;mso-width-relative:page;mso-height-relative:page;" filled="f" stroked="t" coordsize="21600,21600" o:gfxdata="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" adj="33450,60416">
                <v:fill on="f" focussize="0,0"/>
                <v:stroke weight="1pt" color="#FF0000 [2404]" miterlimit="8" joinstyle="miter"/>
                <v:imagedata o:title=""/>
                <o:lock v:ext="edit" aspectratio="f"/>
                <v:textbox>
                  <w:txbxContent>
                    <w:p w14:paraId="77BFB6FC">
                      <w:pPr>
                        <w:jc w:val="center"/>
                        <w:rPr>
                          <w:rFonts w:hint="default" w:eastAsia="宋体"/>
                          <w:color w:val="FF0000"/>
                          <w:lang w:val="en-US" w:eastAsia="zh-CN"/>
                        </w:rPr>
                      </w:pPr>
                      <w:r>
                        <w:rPr>
                          <w:rFonts w:hint="eastAsia"/>
                          <w:color w:val="FF0000"/>
                          <w:lang w:val="en-US" w:eastAsia="zh-CN"/>
                        </w:rPr>
                        <w:t>本项目所在地</w:t>
                      </w:r>
                    </w:p>
                  </w:txbxContent>
                </v:textbox>
              </v:shape>
            </w:pict>
          </mc:Fallback>
        </mc:AlternateContent>
      </w:r>
      <w:r>
        <w:rPr>
          <w:color w:val="auto"/>
          <w:sz w:val="24"/>
        </w:rPr>
        <mc:AlternateContent>
          <mc:Choice Requires="wps">
            <w:drawing>
              <wp:anchor distT="0" distB="0" distL="114300" distR="114300" simplePos="0" relativeHeight="251675648" behindDoc="0" locked="0" layoutInCell="1" allowOverlap="1">
                <wp:simplePos x="0" y="0"/>
                <wp:positionH relativeFrom="column">
                  <wp:posOffset>2142490</wp:posOffset>
                </wp:positionH>
                <wp:positionV relativeFrom="paragraph">
                  <wp:posOffset>2159000</wp:posOffset>
                </wp:positionV>
                <wp:extent cx="1670685" cy="2136140"/>
                <wp:effectExtent l="3810" t="0" r="1905" b="16510"/>
                <wp:wrapNone/>
                <wp:docPr id="87" name="直接箭头连接符 87"/>
                <wp:cNvGraphicFramePr/>
                <a:graphic xmlns:a="http://schemas.openxmlformats.org/drawingml/2006/main">
                  <a:graphicData uri="http://schemas.microsoft.com/office/word/2010/wordprocessingShape">
                    <wps:wsp>
                      <wps:cNvCnPr>
                        <a:stCxn id="86" idx="4"/>
                        <a:endCxn id="74" idx="2"/>
                      </wps:cNvCnPr>
                      <wps:spPr>
                        <a:xfrm flipV="1">
                          <a:off x="3114675" y="5375275"/>
                          <a:ext cx="1670685" cy="2136140"/>
                        </a:xfrm>
                        <a:prstGeom prst="straightConnector1">
                          <a:avLst/>
                        </a:prstGeom>
                        <a:ln w="317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68.7pt;margin-top:170pt;height:168.2pt;width:131.55pt;z-index:251675648;mso-width-relative:page;mso-height-relative:page;" filled="f" stroked="t" coordsize="21600,21600" o:gfxdata="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U4jCk1wAAAAsBAAAPAAAAAAAAAAEAIAAAACIAAABkcnMvZG93bnJl&#10;di54bWxQSwECFAAUAAAACACHTuJAC/F7/DcCAAA+BAAADgAAAAAAAAABACAAAAAmAQAAZHJzL2Uy&#10;b0RvYy54bWxQSwUGAAAAAAYABgBZAQAAzwUAAAAA&#10;">
                <v:fill on="f" focussize="0,0"/>
                <v:stroke weight="0.25pt" color="#000000 [3213]" miterlimit="8" joinstyle="miter" endarrow="open"/>
                <v:imagedata o:title=""/>
                <o:lock v:ext="edit" aspectratio="f"/>
              </v:shape>
            </w:pict>
          </mc:Fallback>
        </mc:AlternateContent>
      </w:r>
      <w:r>
        <w:rPr>
          <w:color w:val="auto"/>
          <w:sz w:val="24"/>
        </w:rPr>
        <mc:AlternateContent>
          <mc:Choice Requires="wps">
            <w:drawing>
              <wp:anchor distT="0" distB="0" distL="114300" distR="114300" simplePos="0" relativeHeight="251674624" behindDoc="0" locked="0" layoutInCell="1" allowOverlap="1">
                <wp:simplePos x="0" y="0"/>
                <wp:positionH relativeFrom="column">
                  <wp:posOffset>1991995</wp:posOffset>
                </wp:positionH>
                <wp:positionV relativeFrom="paragraph">
                  <wp:posOffset>4236720</wp:posOffset>
                </wp:positionV>
                <wp:extent cx="150495" cy="152400"/>
                <wp:effectExtent l="18415" t="21590" r="21590" b="35560"/>
                <wp:wrapNone/>
                <wp:docPr id="86" name="五角星 86"/>
                <wp:cNvGraphicFramePr/>
                <a:graphic xmlns:a="http://schemas.openxmlformats.org/drawingml/2006/main">
                  <a:graphicData uri="http://schemas.microsoft.com/office/word/2010/wordprocessingShape">
                    <wps:wsp>
                      <wps:cNvSpPr/>
                      <wps:spPr>
                        <a:xfrm>
                          <a:off x="0" y="0"/>
                          <a:ext cx="150495" cy="152400"/>
                        </a:xfrm>
                        <a:prstGeom prst="star5">
                          <a:avLst/>
                        </a:prstGeom>
                        <a:solidFill>
                          <a:srgbClr val="FF000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56.85pt;margin-top:333.6pt;height:12pt;width:11.85pt;z-index:251674624;v-text-anchor:middle;mso-width-relative:page;mso-height-relative:page;" fillcolor="#FF0000" filled="t" stroked="t" coordsize="150495,152400" o:gfxdata="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46cgV9oAAAALAQAADwAAAAAAAAABACAAAAAiAAAA&#10;ZHJzL2Rvd25yZXYueG1sUEsBAhQAFAAAAAgAh07iQFYkjtZ3AgAA+QQAAA4AAAAAAAAAAQAgAAAA&#10;KQEAAGRycy9lMm9Eb2MueG1sUEsFBgAAAAAGAAYAWQEAABIGAAAAAA==&#10;" path="m0,58211l57484,58211,75247,0,93010,58211,150494,58211,103988,94187,121752,152399,75247,116422,28742,152399,46506,94187xe">
                <v:path o:connectlocs="75247,0;0,58211;28742,152399;121752,152399;150494,58211" o:connectangles="247,164,82,82,0"/>
                <v:fill on="t" focussize="0,0"/>
                <v:stroke weight="1pt" color="#000000 [3213]" miterlimit="8" joinstyle="miter"/>
                <v:imagedata o:title=""/>
                <o:lock v:ext="edit" aspectratio="f"/>
              </v:shape>
            </w:pict>
          </mc:Fallback>
        </mc:AlternateContent>
      </w:r>
      <w:r>
        <w:rPr>
          <w:color w:val="auto"/>
          <w:sz w:val="24"/>
        </w:rPr>
        <mc:AlternateContent>
          <mc:Choice Requires="wps">
            <w:drawing>
              <wp:anchor distT="0" distB="0" distL="114300" distR="114300" simplePos="0" relativeHeight="251672576" behindDoc="0" locked="0" layoutInCell="1" allowOverlap="1">
                <wp:simplePos x="0" y="0"/>
                <wp:positionH relativeFrom="column">
                  <wp:posOffset>2324100</wp:posOffset>
                </wp:positionH>
                <wp:positionV relativeFrom="paragraph">
                  <wp:posOffset>367665</wp:posOffset>
                </wp:positionV>
                <wp:extent cx="2978150" cy="1791335"/>
                <wp:effectExtent l="4445" t="4445" r="8255" b="13970"/>
                <wp:wrapNone/>
                <wp:docPr id="74" name="文本框 74"/>
                <wp:cNvGraphicFramePr/>
                <a:graphic xmlns:a="http://schemas.openxmlformats.org/drawingml/2006/main">
                  <a:graphicData uri="http://schemas.microsoft.com/office/word/2010/wordprocessingShape">
                    <wps:wsp>
                      <wps:cNvSpPr txBox="1"/>
                      <wps:spPr>
                        <a:xfrm>
                          <a:off x="3594735" y="1473835"/>
                          <a:ext cx="2978150" cy="17913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BF91704">
                            <w:pPr>
                              <w:keepNext w:val="0"/>
                              <w:keepLines w:val="0"/>
                              <w:pageBreakBefore w:val="0"/>
                              <w:widowControl w:val="0"/>
                              <w:kinsoku/>
                              <w:wordWrap/>
                              <w:overflowPunct/>
                              <w:topLinePunct w:val="0"/>
                              <w:bidi w:val="0"/>
                              <w:adjustRightInd/>
                              <w:snapToGrid/>
                              <w:textAlignment w:val="auto"/>
                            </w:pPr>
                            <w:r>
                              <w:drawing>
                                <wp:inline distT="0" distB="0" distL="114300" distR="114300">
                                  <wp:extent cx="2857500" cy="1659890"/>
                                  <wp:effectExtent l="0" t="0" r="0" b="16510"/>
                                  <wp:docPr id="8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0"/>
                                          <pic:cNvPicPr>
                                            <a:picLocks noChangeAspect="1"/>
                                          </pic:cNvPicPr>
                                        </pic:nvPicPr>
                                        <pic:blipFill>
                                          <a:blip r:embed="rId14"/>
                                          <a:srcRect l="362" t="6413" r="22159" b="7174"/>
                                          <a:stretch>
                                            <a:fillRect/>
                                          </a:stretch>
                                        </pic:blipFill>
                                        <pic:spPr>
                                          <a:xfrm>
                                            <a:off x="0" y="0"/>
                                            <a:ext cx="2857500" cy="16598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3pt;margin-top:28.95pt;height:141.05pt;width:234.5pt;z-index:251672576;mso-width-relative:page;mso-height-relative:page;" fillcolor="#FFFFFF [3201]" filled="t" stroked="t" coordsize="21600,21600" o:gfxdata="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DCsUNPXAAAACgEAAA8AAAAAAAAAAQAgAAAAIgAAAGRycy9kb3ducmV2LnhtbFBLAQIUABQA&#10;AAAIAIdO4kD7SYteYwIAAMYEAAAOAAAAAAAAAAEAIAAAACYBAABkcnMvZTJvRG9jLnhtbFBLBQYA&#10;AAAABgAGAFkBAAD7BQAAAAA=&#10;">
                <v:fill on="t" focussize="0,0"/>
                <v:stroke weight="0.5pt" color="#000000 [3204]" joinstyle="round"/>
                <v:imagedata o:title=""/>
                <o:lock v:ext="edit" aspectratio="f"/>
                <v:textbox>
                  <w:txbxContent>
                    <w:p w14:paraId="2BF91704">
                      <w:pPr>
                        <w:keepNext w:val="0"/>
                        <w:keepLines w:val="0"/>
                        <w:pageBreakBefore w:val="0"/>
                        <w:widowControl w:val="0"/>
                        <w:kinsoku/>
                        <w:wordWrap/>
                        <w:overflowPunct/>
                        <w:topLinePunct w:val="0"/>
                        <w:bidi w:val="0"/>
                        <w:adjustRightInd/>
                        <w:snapToGrid/>
                        <w:textAlignment w:val="auto"/>
                      </w:pPr>
                      <w:r>
                        <w:drawing>
                          <wp:inline distT="0" distB="0" distL="114300" distR="114300">
                            <wp:extent cx="2857500" cy="1659890"/>
                            <wp:effectExtent l="0" t="0" r="0" b="16510"/>
                            <wp:docPr id="8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0"/>
                                    <pic:cNvPicPr>
                                      <a:picLocks noChangeAspect="1"/>
                                    </pic:cNvPicPr>
                                  </pic:nvPicPr>
                                  <pic:blipFill>
                                    <a:blip r:embed="rId14"/>
                                    <a:srcRect l="362" t="6413" r="22159" b="7174"/>
                                    <a:stretch>
                                      <a:fillRect/>
                                    </a:stretch>
                                  </pic:blipFill>
                                  <pic:spPr>
                                    <a:xfrm>
                                      <a:off x="0" y="0"/>
                                      <a:ext cx="2857500" cy="1659890"/>
                                    </a:xfrm>
                                    <a:prstGeom prst="rect">
                                      <a:avLst/>
                                    </a:prstGeom>
                                    <a:noFill/>
                                    <a:ln>
                                      <a:noFill/>
                                    </a:ln>
                                  </pic:spPr>
                                </pic:pic>
                              </a:graphicData>
                            </a:graphic>
                          </wp:inline>
                        </w:drawing>
                      </w:r>
                    </w:p>
                  </w:txbxContent>
                </v:textbox>
              </v:shape>
            </w:pict>
          </mc:Fallback>
        </mc:AlternateContent>
      </w:r>
      <w:r>
        <w:rPr>
          <w:color w:val="auto"/>
          <w:sz w:val="24"/>
          <w:highlight w:val="none"/>
        </w:rPr>
        <w:drawing>
          <wp:inline distT="0" distB="0" distL="114300" distR="114300">
            <wp:extent cx="5605780" cy="7743190"/>
            <wp:effectExtent l="0" t="0" r="13970" b="10160"/>
            <wp:docPr id="68" name="图片 68" descr="4开中山市地图有邻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4开中山市地图有邻区"/>
                    <pic:cNvPicPr>
                      <a:picLocks noChangeAspect="1"/>
                    </pic:cNvPicPr>
                  </pic:nvPicPr>
                  <pic:blipFill>
                    <a:blip r:embed="rId15"/>
                    <a:stretch>
                      <a:fillRect/>
                    </a:stretch>
                  </pic:blipFill>
                  <pic:spPr>
                    <a:xfrm>
                      <a:off x="0" y="0"/>
                      <a:ext cx="5605780" cy="7743190"/>
                    </a:xfrm>
                    <a:prstGeom prst="rect">
                      <a:avLst/>
                    </a:prstGeom>
                  </pic:spPr>
                </pic:pic>
              </a:graphicData>
            </a:graphic>
          </wp:inline>
        </w:drawing>
      </w:r>
      <w:r>
        <w:rPr>
          <w:color w:val="auto"/>
          <w:sz w:val="24"/>
          <w:highlight w:val="none"/>
        </w:rPr>
        <w:drawing>
          <wp:anchor distT="0" distB="0" distL="114935" distR="114935" simplePos="0" relativeHeight="251660288" behindDoc="0" locked="0" layoutInCell="1" allowOverlap="1">
            <wp:simplePos x="0" y="0"/>
            <wp:positionH relativeFrom="column">
              <wp:posOffset>7706360</wp:posOffset>
            </wp:positionH>
            <wp:positionV relativeFrom="paragraph">
              <wp:posOffset>26670</wp:posOffset>
            </wp:positionV>
            <wp:extent cx="834390" cy="1127125"/>
            <wp:effectExtent l="38100" t="19050" r="22860" b="15875"/>
            <wp:wrapNone/>
            <wp:docPr id="13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 name="图片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834390" cy="1127125"/>
                    </a:xfrm>
                    <a:prstGeom prst="rect">
                      <a:avLst/>
                    </a:prstGeom>
                    <a:noFill/>
                    <a:ln w="9525">
                      <a:solidFill>
                        <a:srgbClr val="5B9BD5"/>
                      </a:solidFill>
                      <a:miter lim="800000"/>
                      <a:headEnd/>
                      <a:tailEnd/>
                    </a:ln>
                  </pic:spPr>
                </pic:pic>
              </a:graphicData>
            </a:graphic>
          </wp:anchor>
        </w:drawing>
      </w:r>
    </w:p>
    <w:p w14:paraId="2AC84C8F">
      <w:pPr>
        <w:pStyle w:val="176"/>
        <w:spacing w:after="120"/>
        <w:ind w:firstLine="482"/>
        <w:jc w:val="center"/>
        <w:outlineLvl w:val="0"/>
        <w:rPr>
          <w:rFonts w:hint="eastAsia"/>
          <w:color w:val="auto"/>
          <w:highlight w:val="none"/>
          <w:lang w:val="en-US" w:eastAsia="zh-CN"/>
        </w:rPr>
        <w:sectPr>
          <w:pgSz w:w="11907" w:h="16839"/>
          <w:pgMar w:top="1701" w:right="1531" w:bottom="1701" w:left="1531" w:header="851" w:footer="567" w:gutter="0"/>
          <w:pgNumType w:fmt="decimal"/>
          <w:cols w:space="720" w:num="1"/>
          <w:docGrid w:linePitch="312" w:charSpace="0"/>
        </w:sectPr>
      </w:pPr>
      <w:bookmarkStart w:id="90" w:name="_Toc8889"/>
      <w:bookmarkStart w:id="91" w:name="_Toc21034"/>
      <w:r>
        <w:rPr>
          <w:color w:val="auto"/>
          <w:highlight w:val="none"/>
        </w:rPr>
        <w:t>附图</w:t>
      </w:r>
      <w:r>
        <w:rPr>
          <w:rFonts w:hint="eastAsia"/>
          <w:color w:val="auto"/>
          <w:highlight w:val="none"/>
          <w:lang w:val="en-US" w:eastAsia="zh-CN"/>
        </w:rPr>
        <w:t>1</w:t>
      </w:r>
      <w:r>
        <w:rPr>
          <w:color w:val="auto"/>
          <w:highlight w:val="none"/>
        </w:rPr>
        <w:t>：建设项目地理位置</w:t>
      </w:r>
      <w:r>
        <w:rPr>
          <w:rFonts w:hint="eastAsia"/>
          <w:color w:val="auto"/>
          <w:highlight w:val="none"/>
          <w:lang w:val="en-US" w:eastAsia="zh-CN"/>
        </w:rPr>
        <w:t>图</w:t>
      </w:r>
      <w:bookmarkEnd w:id="90"/>
      <w:bookmarkEnd w:id="91"/>
    </w:p>
    <w:p w14:paraId="723BCD8A">
      <w:pPr>
        <w:pStyle w:val="176"/>
        <w:spacing w:after="120"/>
        <w:ind w:firstLine="482"/>
        <w:jc w:val="center"/>
        <w:rPr>
          <w:rFonts w:hint="eastAsia"/>
          <w:color w:val="auto"/>
          <w:highlight w:val="none"/>
          <w:lang w:val="en-US" w:eastAsia="zh-CN"/>
        </w:rPr>
      </w:pPr>
    </w:p>
    <w:p w14:paraId="7D6ADFFF">
      <w:pPr>
        <w:pStyle w:val="204"/>
        <w:ind w:firstLine="0" w:firstLineChars="0"/>
        <w:rPr>
          <w:color w:val="auto"/>
          <w:highlight w:val="none"/>
        </w:rPr>
      </w:pPr>
      <w:r>
        <w:rPr>
          <w:color w:val="auto"/>
          <w:highlight w:val="none"/>
        </w:rPr>
        <mc:AlternateContent>
          <mc:Choice Requires="wps">
            <w:drawing>
              <wp:anchor distT="0" distB="0" distL="114300" distR="114300" simplePos="0" relativeHeight="251662336" behindDoc="0" locked="0" layoutInCell="1" allowOverlap="1">
                <wp:simplePos x="0" y="0"/>
                <wp:positionH relativeFrom="column">
                  <wp:posOffset>4818380</wp:posOffset>
                </wp:positionH>
                <wp:positionV relativeFrom="paragraph">
                  <wp:posOffset>1876425</wp:posOffset>
                </wp:positionV>
                <wp:extent cx="972185" cy="278765"/>
                <wp:effectExtent l="6350" t="6350" r="12065" b="743585"/>
                <wp:wrapNone/>
                <wp:docPr id="72" name="自选图形 1035"/>
                <wp:cNvGraphicFramePr/>
                <a:graphic xmlns:a="http://schemas.openxmlformats.org/drawingml/2006/main">
                  <a:graphicData uri="http://schemas.microsoft.com/office/word/2010/wordprocessingShape">
                    <wps:wsp>
                      <wps:cNvSpPr/>
                      <wps:spPr>
                        <a:xfrm>
                          <a:off x="0" y="0"/>
                          <a:ext cx="972185" cy="278765"/>
                        </a:xfrm>
                        <a:prstGeom prst="wedgeRectCallout">
                          <a:avLst>
                            <a:gd name="adj1" fmla="val -12312"/>
                            <a:gd name="adj2" fmla="val 297152"/>
                          </a:avLst>
                        </a:prstGeom>
                        <a:solidFill>
                          <a:srgbClr val="FFFFFF"/>
                        </a:solidFill>
                        <a:ln w="12700" cap="flat" cmpd="sng">
                          <a:solidFill>
                            <a:srgbClr val="000000"/>
                          </a:solidFill>
                          <a:prstDash val="solid"/>
                          <a:miter/>
                          <a:headEnd type="none" w="med" len="med"/>
                          <a:tailEnd type="none" w="med" len="med"/>
                        </a:ln>
                      </wps:spPr>
                      <wps:txbx>
                        <w:txbxContent>
                          <w:p w14:paraId="2320335D">
                            <w:pPr>
                              <w:jc w:val="center"/>
                              <w:rPr>
                                <w:color w:val="000000"/>
                                <w:sz w:val="24"/>
                              </w:rPr>
                            </w:pPr>
                            <w:r>
                              <w:rPr>
                                <w:rFonts w:hint="eastAsia"/>
                                <w:color w:val="000000"/>
                                <w:sz w:val="24"/>
                              </w:rPr>
                              <w:t>项目所在地</w:t>
                            </w:r>
                          </w:p>
                          <w:p w14:paraId="255F308F">
                            <w:pPr>
                              <w:jc w:val="center"/>
                            </w:pPr>
                            <w:r>
                              <w:rPr>
                                <w:rFonts w:hint="eastAsia"/>
                                <w:szCs w:val="21"/>
                              </w:rPr>
                              <w:t>所在地</w:t>
                            </w:r>
                          </w:p>
                          <w:p w14:paraId="4FD69326">
                            <w:pPr>
                              <w:jc w:val="center"/>
                            </w:pPr>
                            <w:r>
                              <w:rPr>
                                <w:rFonts w:hint="eastAsia"/>
                                <w:szCs w:val="21"/>
                              </w:rPr>
                              <w:t>所在地</w:t>
                            </w:r>
                          </w:p>
                        </w:txbxContent>
                      </wps:txbx>
                      <wps:bodyPr anchor="ctr" anchorCtr="0" upright="1"/>
                    </wps:wsp>
                  </a:graphicData>
                </a:graphic>
              </wp:anchor>
            </w:drawing>
          </mc:Choice>
          <mc:Fallback>
            <w:pict>
              <v:shape id="自选图形 1035" o:spid="_x0000_s1026" o:spt="61" type="#_x0000_t61" style="position:absolute;left:0pt;margin-left:379.4pt;margin-top:147.75pt;height:21.95pt;width:76.55pt;z-index:251662336;v-text-anchor:middle;mso-width-relative:page;mso-height-relative:page;" fillcolor="#FFFFFF" filled="t" stroked="t" coordsize="21600,21600" o:gfxdata="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Up7os2QAAAAsBAAAPAAAA&#10;AAAAAAEAIAAAACIAAABkcnMvZG93bnJldi54bWxQSwECFAAUAAAACACHTuJA3e6E/U0CAACtBAAA&#10;DgAAAAAAAAABACAAAAAoAQAAZHJzL2Uyb0RvYy54bWxQSwUGAAAAAAYABgBZAQAA5wUAAAAA&#10;" adj="8141,74985">
                <v:fill on="t" focussize="0,0"/>
                <v:stroke weight="1pt" color="#000000" joinstyle="miter"/>
                <v:imagedata o:title=""/>
                <o:lock v:ext="edit" aspectratio="f"/>
                <v:textbox>
                  <w:txbxContent>
                    <w:p w14:paraId="2320335D">
                      <w:pPr>
                        <w:jc w:val="center"/>
                        <w:rPr>
                          <w:color w:val="000000"/>
                          <w:sz w:val="24"/>
                        </w:rPr>
                      </w:pPr>
                      <w:r>
                        <w:rPr>
                          <w:rFonts w:hint="eastAsia"/>
                          <w:color w:val="000000"/>
                          <w:sz w:val="24"/>
                        </w:rPr>
                        <w:t>项目所在地</w:t>
                      </w:r>
                    </w:p>
                    <w:p w14:paraId="255F308F">
                      <w:pPr>
                        <w:jc w:val="center"/>
                      </w:pPr>
                      <w:r>
                        <w:rPr>
                          <w:rFonts w:hint="eastAsia"/>
                          <w:szCs w:val="21"/>
                        </w:rPr>
                        <w:t>所在地</w:t>
                      </w:r>
                    </w:p>
                    <w:p w14:paraId="4FD69326">
                      <w:pPr>
                        <w:jc w:val="center"/>
                      </w:pPr>
                      <w:r>
                        <w:rPr>
                          <w:rFonts w:hint="eastAsia"/>
                          <w:szCs w:val="21"/>
                        </w:rPr>
                        <w:t>所在地</w:t>
                      </w:r>
                    </w:p>
                  </w:txbxContent>
                </v:textbox>
              </v:shape>
            </w:pict>
          </mc:Fallback>
        </mc:AlternateContent>
      </w:r>
      <w:r>
        <w:rPr>
          <w:color w:val="auto"/>
        </w:rPr>
        <w:drawing>
          <wp:inline distT="0" distB="0" distL="114300" distR="114300">
            <wp:extent cx="8514080" cy="4838065"/>
            <wp:effectExtent l="0" t="0" r="1270" b="635"/>
            <wp:docPr id="6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
                    <pic:cNvPicPr>
                      <a:picLocks noChangeAspect="1"/>
                    </pic:cNvPicPr>
                  </pic:nvPicPr>
                  <pic:blipFill>
                    <a:blip r:embed="rId17"/>
                    <a:srcRect l="246" t="500" r="13291" b="-500"/>
                    <a:stretch>
                      <a:fillRect/>
                    </a:stretch>
                  </pic:blipFill>
                  <pic:spPr>
                    <a:xfrm>
                      <a:off x="0" y="0"/>
                      <a:ext cx="8514080" cy="4838065"/>
                    </a:xfrm>
                    <a:prstGeom prst="rect">
                      <a:avLst/>
                    </a:prstGeom>
                    <a:noFill/>
                    <a:ln>
                      <a:noFill/>
                    </a:ln>
                  </pic:spPr>
                </pic:pic>
              </a:graphicData>
            </a:graphic>
          </wp:inline>
        </w:drawing>
      </w:r>
    </w:p>
    <w:p w14:paraId="08204635">
      <w:pPr>
        <w:pStyle w:val="204"/>
        <w:jc w:val="center"/>
        <w:outlineLvl w:val="0"/>
        <w:rPr>
          <w:color w:val="auto"/>
          <w:highlight w:val="none"/>
        </w:rPr>
        <w:sectPr>
          <w:pgSz w:w="16839" w:h="11907" w:orient="landscape"/>
          <w:pgMar w:top="1531" w:right="1701" w:bottom="1531" w:left="1701" w:header="851" w:footer="567" w:gutter="0"/>
          <w:pgNumType w:fmt="decimal"/>
          <w:cols w:space="720" w:num="1"/>
          <w:docGrid w:linePitch="312" w:charSpace="0"/>
        </w:sectPr>
      </w:pPr>
      <w:bookmarkStart w:id="92" w:name="_Toc12912"/>
      <w:bookmarkStart w:id="93" w:name="_Toc10590"/>
      <w:r>
        <w:rPr>
          <w:color w:val="auto"/>
          <w:highlight w:val="none"/>
        </w:rPr>
        <w:t>附图</w:t>
      </w:r>
      <w:r>
        <w:rPr>
          <w:rFonts w:hint="eastAsia"/>
          <w:color w:val="auto"/>
          <w:highlight w:val="none"/>
          <w:lang w:val="en-US" w:eastAsia="zh-CN"/>
        </w:rPr>
        <w:t>2</w:t>
      </w:r>
      <w:r>
        <w:rPr>
          <w:color w:val="auto"/>
          <w:highlight w:val="none"/>
        </w:rPr>
        <w:t>：中山市自然资源局一通图</w:t>
      </w:r>
      <w:bookmarkEnd w:id="92"/>
      <w:bookmarkEnd w:id="93"/>
    </w:p>
    <w:p w14:paraId="34415228">
      <w:pPr>
        <w:pStyle w:val="20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color w:val="auto"/>
        </w:rPr>
      </w:pPr>
      <w:r>
        <w:rPr>
          <w:sz w:val="24"/>
        </w:rPr>
        <mc:AlternateContent>
          <mc:Choice Requires="wps">
            <w:drawing>
              <wp:anchor distT="0" distB="0" distL="114300" distR="114300" simplePos="0" relativeHeight="251686912" behindDoc="0" locked="0" layoutInCell="1" allowOverlap="1">
                <wp:simplePos x="0" y="0"/>
                <wp:positionH relativeFrom="column">
                  <wp:posOffset>7319010</wp:posOffset>
                </wp:positionH>
                <wp:positionV relativeFrom="paragraph">
                  <wp:posOffset>4692650</wp:posOffset>
                </wp:positionV>
                <wp:extent cx="945515" cy="234315"/>
                <wp:effectExtent l="0" t="0" r="6985" b="13335"/>
                <wp:wrapNone/>
                <wp:docPr id="19" name="文本框 19"/>
                <wp:cNvGraphicFramePr/>
                <a:graphic xmlns:a="http://schemas.openxmlformats.org/drawingml/2006/main">
                  <a:graphicData uri="http://schemas.microsoft.com/office/word/2010/wordprocessingShape">
                    <wps:wsp>
                      <wps:cNvSpPr txBox="1"/>
                      <wps:spPr>
                        <a:xfrm>
                          <a:off x="7778750" y="5231765"/>
                          <a:ext cx="945515" cy="2343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BA1D9A3">
                            <w:pPr>
                              <w:spacing w:line="240" w:lineRule="auto"/>
                              <w:rPr>
                                <w:rFonts w:hint="default" w:eastAsia="宋体"/>
                                <w:lang w:val="en-US" w:eastAsia="zh-CN"/>
                              </w:rPr>
                            </w:pPr>
                            <w:r>
                              <w:rPr>
                                <w:rFonts w:hint="eastAsia"/>
                                <w:lang w:val="en-US" w:eastAsia="zh-CN"/>
                              </w:rPr>
                              <w:t>0m   50m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76.3pt;margin-top:369.5pt;height:18.45pt;width:74.45pt;z-index:251686912;mso-width-relative:page;mso-height-relative:page;" fillcolor="#FFFFFF [3201]" filled="t" stroked="f" coordsize="21600,21600" o:gfxdata="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dDln&#10;99cAAAANAQAADwAAAAAAAAABACAAAAAiAAAAZHJzL2Rvd25yZXYueG1sUEsBAhQAFAAAAAgAh07i&#10;QOOgf/NcAgAAnAQAAA4AAAAAAAAAAQAgAAAAJgEAAGRycy9lMm9Eb2MueG1sUEsFBgAAAAAGAAYA&#10;WQEAAPQFAAAAAA==&#10;">
                <v:fill on="t" focussize="0,0"/>
                <v:stroke on="f" weight="0.5pt"/>
                <v:imagedata o:title=""/>
                <o:lock v:ext="edit" aspectratio="f"/>
                <v:textbox>
                  <w:txbxContent>
                    <w:p w14:paraId="0BA1D9A3">
                      <w:pPr>
                        <w:spacing w:line="240" w:lineRule="auto"/>
                        <w:rPr>
                          <w:rFonts w:hint="default" w:eastAsia="宋体"/>
                          <w:lang w:val="en-US" w:eastAsia="zh-CN"/>
                        </w:rPr>
                      </w:pPr>
                      <w:r>
                        <w:rPr>
                          <w:rFonts w:hint="eastAsia"/>
                          <w:lang w:val="en-US" w:eastAsia="zh-CN"/>
                        </w:rPr>
                        <w:t>0m   50m</w:t>
                      </w:r>
                    </w:p>
                  </w:txbxContent>
                </v:textbox>
              </v:shape>
            </w:pict>
          </mc:Fallback>
        </mc:AlternateContent>
      </w:r>
      <w:r>
        <w:rPr>
          <w:sz w:val="24"/>
        </w:rPr>
        <mc:AlternateContent>
          <mc:Choice Requires="wps">
            <w:drawing>
              <wp:anchor distT="0" distB="0" distL="114300" distR="114300" simplePos="0" relativeHeight="251685888" behindDoc="0" locked="0" layoutInCell="1" allowOverlap="1">
                <wp:simplePos x="0" y="0"/>
                <wp:positionH relativeFrom="column">
                  <wp:posOffset>7470140</wp:posOffset>
                </wp:positionH>
                <wp:positionV relativeFrom="paragraph">
                  <wp:posOffset>4825365</wp:posOffset>
                </wp:positionV>
                <wp:extent cx="433070" cy="137160"/>
                <wp:effectExtent l="6350" t="6350" r="17780" b="8890"/>
                <wp:wrapNone/>
                <wp:docPr id="17" name="矩形 17"/>
                <wp:cNvGraphicFramePr/>
                <a:graphic xmlns:a="http://schemas.openxmlformats.org/drawingml/2006/main">
                  <a:graphicData uri="http://schemas.microsoft.com/office/word/2010/wordprocessingShape">
                    <wps:wsp>
                      <wps:cNvSpPr/>
                      <wps:spPr>
                        <a:xfrm>
                          <a:off x="7927340" y="5344160"/>
                          <a:ext cx="433070" cy="137160"/>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88.2pt;margin-top:379.95pt;height:10.8pt;width:34.1pt;z-index:251685888;v-text-anchor:middle;mso-width-relative:page;mso-height-relative:page;" filled="f" stroked="t" coordsize="21600,21600" o:gfxdata="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E1HTPbAAAADQEAAA8AAAAAAAAAAQAgAAAAIgAAAGRycy9k&#10;b3ducmV2LnhtbFBLAQIUABQAAAAIAIdO4kC1qXeDcQIAANgEAAAOAAAAAAAAAAEAIAAAACoBAABk&#10;cnMvZTJvRG9jLnhtbFBLBQYAAAAABgAGAFkBAAANBgAAAAA=&#10;">
                <v:fill on="f" focussize="0,0"/>
                <v:stroke weight="1pt" color="#000000 [3213]" miterlimit="8" joinstyle="miter"/>
                <v:imagedata o:title=""/>
                <o:lock v:ext="edit" aspectratio="f"/>
              </v:rect>
            </w:pict>
          </mc:Fallback>
        </mc:AlternateContent>
      </w:r>
      <w:r>
        <w:rPr>
          <w:color w:val="auto"/>
          <w:sz w:val="24"/>
        </w:rPr>
        <mc:AlternateContent>
          <mc:Choice Requires="wps">
            <w:drawing>
              <wp:anchor distT="0" distB="0" distL="114300" distR="114300" simplePos="0" relativeHeight="251684864" behindDoc="0" locked="0" layoutInCell="1" allowOverlap="1">
                <wp:simplePos x="0" y="0"/>
                <wp:positionH relativeFrom="column">
                  <wp:posOffset>7127240</wp:posOffset>
                </wp:positionH>
                <wp:positionV relativeFrom="paragraph">
                  <wp:posOffset>4301490</wp:posOffset>
                </wp:positionV>
                <wp:extent cx="337185" cy="161290"/>
                <wp:effectExtent l="6350" t="6350" r="18415" b="22860"/>
                <wp:wrapNone/>
                <wp:docPr id="52" name="矩形 52"/>
                <wp:cNvGraphicFramePr/>
                <a:graphic xmlns:a="http://schemas.openxmlformats.org/drawingml/2006/main">
                  <a:graphicData uri="http://schemas.microsoft.com/office/word/2010/wordprocessingShape">
                    <wps:wsp>
                      <wps:cNvSpPr/>
                      <wps:spPr>
                        <a:xfrm>
                          <a:off x="7724775" y="4907280"/>
                          <a:ext cx="337185" cy="161290"/>
                        </a:xfrm>
                        <a:prstGeom prst="rect">
                          <a:avLst/>
                        </a:prstGeom>
                        <a:solidFill>
                          <a:srgbClr val="58588E"/>
                        </a:solidFill>
                        <a:ln>
                          <a:solidFill>
                            <a:srgbClr val="D51724"/>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4553D2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61.2pt;margin-top:338.7pt;height:12.7pt;width:26.55pt;z-index:251684864;v-text-anchor:middle;mso-width-relative:page;mso-height-relative:page;" fillcolor="#58588E" filled="t" stroked="t" coordsize="21600,21600" o:gfxdata="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AdMpl+2QAAAA0B&#10;AAAPAAAAAAAAAAEAIAAAACIAAABkcnMvZG93bnJldi54bWxQSwECFAAUAAAACACHTuJAXuE6C4wC&#10;AAAMBQAADgAAAAAAAAABACAAAAAoAQAAZHJzL2Uyb0RvYy54bWxQSwUGAAAAAAYABgBZAQAAJgYA&#10;AAAA&#10;">
                <v:fill on="t" focussize="0,0"/>
                <v:stroke weight="1pt" color="#D51724 [2404]" miterlimit="8" joinstyle="miter"/>
                <v:imagedata o:title=""/>
                <o:lock v:ext="edit" aspectratio="f"/>
                <v:textbox>
                  <w:txbxContent>
                    <w:p w14:paraId="34553D22">
                      <w:pPr>
                        <w:jc w:val="center"/>
                      </w:pPr>
                    </w:p>
                  </w:txbxContent>
                </v:textbox>
              </v:rect>
            </w:pict>
          </mc:Fallback>
        </mc:AlternateContent>
      </w:r>
      <w:r>
        <w:rPr>
          <w:color w:val="auto"/>
          <w:sz w:val="24"/>
        </w:rPr>
        <mc:AlternateContent>
          <mc:Choice Requires="wps">
            <w:drawing>
              <wp:anchor distT="0" distB="0" distL="114300" distR="114300" simplePos="0" relativeHeight="251683840" behindDoc="0" locked="0" layoutInCell="1" allowOverlap="1">
                <wp:simplePos x="0" y="0"/>
                <wp:positionH relativeFrom="column">
                  <wp:posOffset>7061200</wp:posOffset>
                </wp:positionH>
                <wp:positionV relativeFrom="paragraph">
                  <wp:posOffset>3972560</wp:posOffset>
                </wp:positionV>
                <wp:extent cx="1224280" cy="1083310"/>
                <wp:effectExtent l="4445" t="4445" r="9525" b="17145"/>
                <wp:wrapNone/>
                <wp:docPr id="51" name="文本框 51"/>
                <wp:cNvGraphicFramePr/>
                <a:graphic xmlns:a="http://schemas.openxmlformats.org/drawingml/2006/main">
                  <a:graphicData uri="http://schemas.microsoft.com/office/word/2010/wordprocessingShape">
                    <wps:wsp>
                      <wps:cNvSpPr txBox="1"/>
                      <wps:spPr>
                        <a:xfrm>
                          <a:off x="7599680" y="4680585"/>
                          <a:ext cx="1224280" cy="10833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A093606">
                            <w:pPr>
                              <w:spacing w:line="360" w:lineRule="auto"/>
                              <w:jc w:val="center"/>
                              <w:rPr>
                                <w:rFonts w:hint="eastAsia"/>
                                <w:lang w:val="en-US" w:eastAsia="zh-CN"/>
                              </w:rPr>
                            </w:pPr>
                            <w:r>
                              <w:rPr>
                                <w:rFonts w:hint="eastAsia"/>
                                <w:lang w:val="en-US" w:eastAsia="zh-CN"/>
                              </w:rPr>
                              <w:t>图例</w:t>
                            </w:r>
                          </w:p>
                          <w:p w14:paraId="25D2CC8A">
                            <w:pPr>
                              <w:spacing w:line="360" w:lineRule="auto"/>
                              <w:jc w:val="center"/>
                              <w:rPr>
                                <w:rFonts w:hint="default"/>
                                <w:lang w:val="en-US" w:eastAsia="zh-CN"/>
                              </w:rPr>
                            </w:pPr>
                            <w:r>
                              <w:rPr>
                                <w:rFonts w:hint="eastAsia"/>
                                <w:lang w:val="en-US" w:eastAsia="zh-CN"/>
                              </w:rPr>
                              <w:t xml:space="preserve">    项目所在地</w:t>
                            </w:r>
                          </w:p>
                          <w:p w14:paraId="7BA6C329">
                            <w:pPr>
                              <w:spacing w:line="360" w:lineRule="auto"/>
                              <w:jc w:val="left"/>
                              <w:rPr>
                                <w:rFonts w:hint="default"/>
                                <w:lang w:val="en-US" w:eastAsia="zh-CN"/>
                              </w:rPr>
                            </w:pPr>
                            <w:r>
                              <w:rPr>
                                <w:rFonts w:hint="eastAsia"/>
                                <w:lang w:val="en-US" w:eastAsia="zh-CN"/>
                              </w:rPr>
                              <w:t>比例尺：1:4000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pt;margin-top:312.8pt;height:85.3pt;width:96.4pt;z-index:251683840;mso-width-relative:page;mso-height-relative:page;" fillcolor="#FFFFFF [3201]" filled="t" stroked="t" coordsize="21600,21600" o:gfxdata="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dUksG2AAAAA0BAAAPAAAAAAAAAAEAIAAAACIAAABkcnMvZG93bnJldi54bWxQSwEC&#10;FAAUAAAACACHTuJAmVhgJmYCAADGBAAADgAAAAAAAAABACAAAAAnAQAAZHJzL2Uyb0RvYy54bWxQ&#10;SwUGAAAAAAYABgBZAQAA/wUAAAAA&#10;">
                <v:fill on="t" focussize="0,0"/>
                <v:stroke weight="0.5pt" color="#000000 [3204]" joinstyle="round"/>
                <v:imagedata o:title=""/>
                <o:lock v:ext="edit" aspectratio="f"/>
                <v:textbox>
                  <w:txbxContent>
                    <w:p w14:paraId="3A093606">
                      <w:pPr>
                        <w:spacing w:line="360" w:lineRule="auto"/>
                        <w:jc w:val="center"/>
                        <w:rPr>
                          <w:rFonts w:hint="eastAsia"/>
                          <w:lang w:val="en-US" w:eastAsia="zh-CN"/>
                        </w:rPr>
                      </w:pPr>
                      <w:r>
                        <w:rPr>
                          <w:rFonts w:hint="eastAsia"/>
                          <w:lang w:val="en-US" w:eastAsia="zh-CN"/>
                        </w:rPr>
                        <w:t>图例</w:t>
                      </w:r>
                    </w:p>
                    <w:p w14:paraId="25D2CC8A">
                      <w:pPr>
                        <w:spacing w:line="360" w:lineRule="auto"/>
                        <w:jc w:val="center"/>
                        <w:rPr>
                          <w:rFonts w:hint="default"/>
                          <w:lang w:val="en-US" w:eastAsia="zh-CN"/>
                        </w:rPr>
                      </w:pPr>
                      <w:r>
                        <w:rPr>
                          <w:rFonts w:hint="eastAsia"/>
                          <w:lang w:val="en-US" w:eastAsia="zh-CN"/>
                        </w:rPr>
                        <w:t xml:space="preserve">    项目所在地</w:t>
                      </w:r>
                    </w:p>
                    <w:p w14:paraId="7BA6C329">
                      <w:pPr>
                        <w:spacing w:line="360" w:lineRule="auto"/>
                        <w:jc w:val="left"/>
                        <w:rPr>
                          <w:rFonts w:hint="default"/>
                          <w:lang w:val="en-US" w:eastAsia="zh-CN"/>
                        </w:rPr>
                      </w:pPr>
                      <w:r>
                        <w:rPr>
                          <w:rFonts w:hint="eastAsia"/>
                          <w:lang w:val="en-US" w:eastAsia="zh-CN"/>
                        </w:rPr>
                        <w:t>比例尺：1:4000</w:t>
                      </w:r>
                    </w:p>
                  </w:txbxContent>
                </v:textbox>
              </v:shape>
            </w:pict>
          </mc:Fallback>
        </mc:AlternateContent>
      </w:r>
      <w:r>
        <w:rPr>
          <w:color w:val="auto"/>
          <w:highlight w:val="none"/>
          <w:lang w:val="en-US"/>
        </w:rPr>
        <w:drawing>
          <wp:anchor distT="0" distB="0" distL="114935" distR="114935" simplePos="0" relativeHeight="251661312" behindDoc="0" locked="0" layoutInCell="1" allowOverlap="1">
            <wp:simplePos x="0" y="0"/>
            <wp:positionH relativeFrom="column">
              <wp:posOffset>7437755</wp:posOffset>
            </wp:positionH>
            <wp:positionV relativeFrom="paragraph">
              <wp:posOffset>17145</wp:posOffset>
            </wp:positionV>
            <wp:extent cx="836930" cy="1122045"/>
            <wp:effectExtent l="9525" t="9525" r="10795" b="11430"/>
            <wp:wrapNone/>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836930" cy="1122045"/>
                    </a:xfrm>
                    <a:prstGeom prst="rect">
                      <a:avLst/>
                    </a:prstGeom>
                    <a:noFill/>
                    <a:ln w="9525">
                      <a:solidFill>
                        <a:srgbClr val="5B9BD5"/>
                      </a:solidFill>
                      <a:miter lim="800000"/>
                      <a:headEnd/>
                      <a:tailEnd/>
                    </a:ln>
                  </pic:spPr>
                </pic:pic>
              </a:graphicData>
            </a:graphic>
          </wp:anchor>
        </w:drawing>
      </w:r>
      <w:r>
        <w:rPr>
          <w:color w:val="auto"/>
        </w:rPr>
        <w:drawing>
          <wp:inline distT="0" distB="0" distL="114300" distR="114300">
            <wp:extent cx="8035290" cy="5066030"/>
            <wp:effectExtent l="0" t="0" r="0" b="0"/>
            <wp:docPr id="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
                    <pic:cNvPicPr>
                      <a:picLocks noChangeAspect="1"/>
                    </pic:cNvPicPr>
                  </pic:nvPicPr>
                  <pic:blipFill>
                    <a:blip r:embed="rId18"/>
                    <a:srcRect b="6307"/>
                    <a:stretch>
                      <a:fillRect/>
                    </a:stretch>
                  </pic:blipFill>
                  <pic:spPr>
                    <a:xfrm>
                      <a:off x="0" y="0"/>
                      <a:ext cx="8035290" cy="5066030"/>
                    </a:xfrm>
                    <a:prstGeom prst="rect">
                      <a:avLst/>
                    </a:prstGeom>
                    <a:noFill/>
                    <a:ln>
                      <a:noFill/>
                    </a:ln>
                  </pic:spPr>
                </pic:pic>
              </a:graphicData>
            </a:graphic>
          </wp:inline>
        </w:drawing>
      </w:r>
    </w:p>
    <w:p w14:paraId="4ABF6B30">
      <w:pPr>
        <w:pStyle w:val="20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color w:val="auto"/>
          <w:highlight w:val="none"/>
        </w:rPr>
      </w:pPr>
      <w:bookmarkStart w:id="94" w:name="_Toc4099"/>
      <w:bookmarkStart w:id="95" w:name="_Toc28425"/>
      <w:r>
        <w:rPr>
          <w:color w:val="auto"/>
          <w:highlight w:val="none"/>
        </w:rPr>
        <w:t>附图</w:t>
      </w:r>
      <w:r>
        <w:rPr>
          <w:rFonts w:hint="eastAsia"/>
          <w:color w:val="auto"/>
          <w:highlight w:val="none"/>
          <w:lang w:val="en-US" w:eastAsia="zh-CN"/>
        </w:rPr>
        <w:t>3</w:t>
      </w:r>
      <w:r>
        <w:rPr>
          <w:color w:val="auto"/>
          <w:highlight w:val="none"/>
        </w:rPr>
        <w:t>：项目四至情况</w:t>
      </w:r>
      <w:bookmarkEnd w:id="94"/>
      <w:bookmarkEnd w:id="95"/>
    </w:p>
    <w:p w14:paraId="4950A19E">
      <w:pPr>
        <w:pStyle w:val="204"/>
        <w:jc w:val="center"/>
        <w:outlineLvl w:val="0"/>
        <w:rPr>
          <w:color w:val="auto"/>
          <w:highlight w:val="none"/>
        </w:rPr>
        <w:sectPr>
          <w:pgSz w:w="16839" w:h="11907" w:orient="landscape"/>
          <w:pgMar w:top="720" w:right="720" w:bottom="720" w:left="720" w:header="851" w:footer="567" w:gutter="0"/>
          <w:pgNumType w:fmt="decimal"/>
          <w:cols w:space="0" w:num="1"/>
          <w:docGrid w:linePitch="312" w:charSpace="0"/>
        </w:sectPr>
      </w:pPr>
    </w:p>
    <w:p w14:paraId="7805E794">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9332595" cy="5970905"/>
            <wp:effectExtent l="0" t="0" r="0" b="0"/>
            <wp:docPr id="7" name="图片 7" descr="盛邦平面布局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盛邦平面布局图_01"/>
                    <pic:cNvPicPr>
                      <a:picLocks noChangeAspect="1"/>
                    </pic:cNvPicPr>
                  </pic:nvPicPr>
                  <pic:blipFill>
                    <a:blip r:embed="rId19"/>
                    <a:srcRect l="-333" t="4821" r="333" b="4705"/>
                    <a:stretch>
                      <a:fillRect/>
                    </a:stretch>
                  </pic:blipFill>
                  <pic:spPr>
                    <a:xfrm>
                      <a:off x="0" y="0"/>
                      <a:ext cx="9332595" cy="5970905"/>
                    </a:xfrm>
                    <a:prstGeom prst="rect">
                      <a:avLst/>
                    </a:prstGeom>
                  </pic:spPr>
                </pic:pic>
              </a:graphicData>
            </a:graphic>
          </wp:inline>
        </w:drawing>
      </w:r>
    </w:p>
    <w:p w14:paraId="6972EBC2">
      <w:pPr>
        <w:pStyle w:val="20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eastAsia"/>
          <w:color w:val="auto"/>
          <w:highlight w:val="none"/>
          <w:lang w:eastAsia="zh-CN"/>
        </w:rPr>
      </w:pPr>
      <w:bookmarkStart w:id="96" w:name="_Toc23254"/>
      <w:bookmarkStart w:id="97" w:name="_Toc14241"/>
      <w:r>
        <w:rPr>
          <w:color w:val="auto"/>
          <w:highlight w:val="none"/>
        </w:rPr>
        <w:t>附图</w:t>
      </w:r>
      <w:r>
        <w:rPr>
          <w:rFonts w:hint="eastAsia"/>
          <w:color w:val="auto"/>
          <w:highlight w:val="none"/>
          <w:lang w:val="en-US" w:eastAsia="zh-CN"/>
        </w:rPr>
        <w:t>4-1</w:t>
      </w:r>
      <w:r>
        <w:rPr>
          <w:color w:val="auto"/>
          <w:highlight w:val="none"/>
        </w:rPr>
        <w:t>：项目厂区平面布置图</w:t>
      </w:r>
      <w:bookmarkEnd w:id="96"/>
      <w:bookmarkEnd w:id="97"/>
    </w:p>
    <w:p w14:paraId="2E32C978">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9801225" cy="3166745"/>
            <wp:effectExtent l="0" t="0" r="9525" b="14605"/>
            <wp:docPr id="39" name="图片 39" descr="盛邦平面布局图_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盛邦平面布局图_02(1)"/>
                    <pic:cNvPicPr>
                      <a:picLocks noChangeAspect="1"/>
                    </pic:cNvPicPr>
                  </pic:nvPicPr>
                  <pic:blipFill>
                    <a:blip r:embed="rId20"/>
                    <a:srcRect t="45478" b="8833"/>
                    <a:stretch>
                      <a:fillRect/>
                    </a:stretch>
                  </pic:blipFill>
                  <pic:spPr>
                    <a:xfrm>
                      <a:off x="0" y="0"/>
                      <a:ext cx="9801225" cy="3166745"/>
                    </a:xfrm>
                    <a:prstGeom prst="rect">
                      <a:avLst/>
                    </a:prstGeom>
                  </pic:spPr>
                </pic:pic>
              </a:graphicData>
            </a:graphic>
          </wp:inline>
        </w:drawing>
      </w:r>
    </w:p>
    <w:p w14:paraId="754B7792">
      <w:pPr>
        <w:pStyle w:val="20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eastAsia"/>
          <w:color w:val="auto"/>
          <w:highlight w:val="none"/>
          <w:lang w:eastAsia="zh-CN"/>
        </w:rPr>
      </w:pPr>
      <w:bookmarkStart w:id="98" w:name="_Toc29354"/>
      <w:r>
        <w:rPr>
          <w:color w:val="auto"/>
          <w:highlight w:val="none"/>
        </w:rPr>
        <w:t>附图</w:t>
      </w:r>
      <w:r>
        <w:rPr>
          <w:rFonts w:hint="eastAsia"/>
          <w:color w:val="auto"/>
          <w:highlight w:val="none"/>
          <w:lang w:val="en-US" w:eastAsia="zh-CN"/>
        </w:rPr>
        <w:t>4-2</w:t>
      </w:r>
      <w:r>
        <w:rPr>
          <w:color w:val="auto"/>
          <w:highlight w:val="none"/>
        </w:rPr>
        <w:t>：项目</w:t>
      </w:r>
      <w:r>
        <w:rPr>
          <w:rFonts w:hint="eastAsia"/>
          <w:color w:val="auto"/>
          <w:highlight w:val="none"/>
          <w:lang w:val="en-US" w:eastAsia="zh-CN"/>
        </w:rPr>
        <w:t>1#厂房八层</w:t>
      </w:r>
      <w:r>
        <w:rPr>
          <w:color w:val="auto"/>
          <w:highlight w:val="none"/>
        </w:rPr>
        <w:t>平面布置图</w:t>
      </w:r>
      <w:bookmarkEnd w:id="98"/>
    </w:p>
    <w:p w14:paraId="31693036">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highlight w:val="none"/>
          <w:lang w:eastAsia="zh-CN"/>
        </w:rPr>
      </w:pPr>
    </w:p>
    <w:p w14:paraId="5B2B4D11">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8081645" cy="4966335"/>
            <wp:effectExtent l="0" t="0" r="0" b="0"/>
            <wp:docPr id="38" name="图片 38" descr="盛邦平面布局图_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盛邦平面布局图_03(1)"/>
                    <pic:cNvPicPr>
                      <a:picLocks noChangeAspect="1"/>
                    </pic:cNvPicPr>
                  </pic:nvPicPr>
                  <pic:blipFill>
                    <a:blip r:embed="rId21"/>
                    <a:srcRect t="13100"/>
                    <a:stretch>
                      <a:fillRect/>
                    </a:stretch>
                  </pic:blipFill>
                  <pic:spPr>
                    <a:xfrm>
                      <a:off x="0" y="0"/>
                      <a:ext cx="8081645" cy="4966335"/>
                    </a:xfrm>
                    <a:prstGeom prst="rect">
                      <a:avLst/>
                    </a:prstGeom>
                  </pic:spPr>
                </pic:pic>
              </a:graphicData>
            </a:graphic>
          </wp:inline>
        </w:drawing>
      </w:r>
    </w:p>
    <w:p w14:paraId="1747A39E">
      <w:pPr>
        <w:pStyle w:val="20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eastAsia"/>
          <w:color w:val="auto"/>
          <w:highlight w:val="none"/>
          <w:lang w:eastAsia="zh-CN"/>
        </w:rPr>
      </w:pPr>
      <w:bookmarkStart w:id="99" w:name="_Toc6521"/>
      <w:r>
        <w:rPr>
          <w:color w:val="auto"/>
          <w:highlight w:val="none"/>
        </w:rPr>
        <w:t>附图</w:t>
      </w:r>
      <w:r>
        <w:rPr>
          <w:rFonts w:hint="eastAsia"/>
          <w:color w:val="auto"/>
          <w:highlight w:val="none"/>
          <w:lang w:val="en-US" w:eastAsia="zh-CN"/>
        </w:rPr>
        <w:t>4-3</w:t>
      </w:r>
      <w:r>
        <w:rPr>
          <w:color w:val="auto"/>
          <w:highlight w:val="none"/>
        </w:rPr>
        <w:t>：项目</w:t>
      </w:r>
      <w:r>
        <w:rPr>
          <w:rFonts w:hint="eastAsia"/>
          <w:color w:val="auto"/>
          <w:highlight w:val="none"/>
          <w:lang w:val="en-US" w:eastAsia="zh-CN"/>
        </w:rPr>
        <w:t>1#厂房和2#厂房七层</w:t>
      </w:r>
      <w:r>
        <w:rPr>
          <w:color w:val="auto"/>
          <w:highlight w:val="none"/>
        </w:rPr>
        <w:t>平面布置图</w:t>
      </w:r>
      <w:bookmarkEnd w:id="99"/>
    </w:p>
    <w:p w14:paraId="3D729FC8">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highlight w:val="none"/>
          <w:lang w:eastAsia="zh-CN"/>
        </w:rPr>
      </w:pPr>
    </w:p>
    <w:p w14:paraId="054FE6BD">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8081645" cy="5019040"/>
            <wp:effectExtent l="0" t="0" r="0" b="0"/>
            <wp:docPr id="37" name="图片 37" descr="盛邦平面布局图_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盛邦平面布局图_04(1)"/>
                    <pic:cNvPicPr>
                      <a:picLocks noChangeAspect="1"/>
                    </pic:cNvPicPr>
                  </pic:nvPicPr>
                  <pic:blipFill>
                    <a:blip r:embed="rId22"/>
                    <a:srcRect t="12178"/>
                    <a:stretch>
                      <a:fillRect/>
                    </a:stretch>
                  </pic:blipFill>
                  <pic:spPr>
                    <a:xfrm>
                      <a:off x="0" y="0"/>
                      <a:ext cx="8081645" cy="5019040"/>
                    </a:xfrm>
                    <a:prstGeom prst="rect">
                      <a:avLst/>
                    </a:prstGeom>
                  </pic:spPr>
                </pic:pic>
              </a:graphicData>
            </a:graphic>
          </wp:inline>
        </w:drawing>
      </w:r>
    </w:p>
    <w:p w14:paraId="5B96551E">
      <w:pPr>
        <w:pStyle w:val="20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eastAsia"/>
          <w:color w:val="auto"/>
          <w:highlight w:val="none"/>
          <w:lang w:eastAsia="zh-CN"/>
        </w:rPr>
      </w:pPr>
      <w:bookmarkStart w:id="100" w:name="_Toc5271"/>
      <w:r>
        <w:rPr>
          <w:color w:val="auto"/>
          <w:highlight w:val="none"/>
        </w:rPr>
        <w:t>附图</w:t>
      </w:r>
      <w:r>
        <w:rPr>
          <w:rFonts w:hint="eastAsia"/>
          <w:color w:val="auto"/>
          <w:highlight w:val="none"/>
          <w:lang w:val="en-US" w:eastAsia="zh-CN"/>
        </w:rPr>
        <w:t>4-4</w:t>
      </w:r>
      <w:r>
        <w:rPr>
          <w:color w:val="auto"/>
          <w:highlight w:val="none"/>
        </w:rPr>
        <w:t>：项目</w:t>
      </w:r>
      <w:r>
        <w:rPr>
          <w:rFonts w:hint="eastAsia"/>
          <w:color w:val="auto"/>
          <w:highlight w:val="none"/>
          <w:lang w:val="en-US" w:eastAsia="zh-CN"/>
        </w:rPr>
        <w:t>1#厂房和2#厂房六层</w:t>
      </w:r>
      <w:r>
        <w:rPr>
          <w:color w:val="auto"/>
          <w:highlight w:val="none"/>
        </w:rPr>
        <w:t>平面布置图</w:t>
      </w:r>
      <w:bookmarkEnd w:id="100"/>
    </w:p>
    <w:p w14:paraId="6DD0C269">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9332595" cy="5617845"/>
            <wp:effectExtent l="0" t="0" r="0" b="0"/>
            <wp:docPr id="16" name="图片 16" descr="盛邦平面布局图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盛邦平面布局图_05"/>
                    <pic:cNvPicPr>
                      <a:picLocks noChangeAspect="1"/>
                    </pic:cNvPicPr>
                  </pic:nvPicPr>
                  <pic:blipFill>
                    <a:blip r:embed="rId23"/>
                    <a:srcRect t="12826" b="2049"/>
                    <a:stretch>
                      <a:fillRect/>
                    </a:stretch>
                  </pic:blipFill>
                  <pic:spPr>
                    <a:xfrm>
                      <a:off x="0" y="0"/>
                      <a:ext cx="9332595" cy="5617845"/>
                    </a:xfrm>
                    <a:prstGeom prst="rect">
                      <a:avLst/>
                    </a:prstGeom>
                  </pic:spPr>
                </pic:pic>
              </a:graphicData>
            </a:graphic>
          </wp:inline>
        </w:drawing>
      </w:r>
    </w:p>
    <w:p w14:paraId="3535BCA7">
      <w:pPr>
        <w:pStyle w:val="20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eastAsia"/>
          <w:color w:val="auto"/>
          <w:highlight w:val="none"/>
          <w:lang w:eastAsia="zh-CN"/>
        </w:rPr>
      </w:pPr>
      <w:bookmarkStart w:id="101" w:name="_Toc25930"/>
      <w:r>
        <w:rPr>
          <w:color w:val="auto"/>
          <w:highlight w:val="none"/>
        </w:rPr>
        <w:t>附图</w:t>
      </w:r>
      <w:r>
        <w:rPr>
          <w:rFonts w:hint="eastAsia"/>
          <w:color w:val="auto"/>
          <w:highlight w:val="none"/>
          <w:lang w:val="en-US" w:eastAsia="zh-CN"/>
        </w:rPr>
        <w:t>4-5</w:t>
      </w:r>
      <w:r>
        <w:rPr>
          <w:color w:val="auto"/>
          <w:highlight w:val="none"/>
        </w:rPr>
        <w:t>：项目</w:t>
      </w:r>
      <w:r>
        <w:rPr>
          <w:rFonts w:hint="eastAsia"/>
          <w:color w:val="auto"/>
          <w:highlight w:val="none"/>
          <w:lang w:val="en-US" w:eastAsia="zh-CN"/>
        </w:rPr>
        <w:t>1#厂房和2#厂房五层</w:t>
      </w:r>
      <w:r>
        <w:rPr>
          <w:color w:val="auto"/>
          <w:highlight w:val="none"/>
        </w:rPr>
        <w:t>平面布置图</w:t>
      </w:r>
      <w:bookmarkEnd w:id="101"/>
    </w:p>
    <w:p w14:paraId="6E4DFE70">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8081645" cy="4872355"/>
            <wp:effectExtent l="0" t="0" r="0" b="0"/>
            <wp:docPr id="35" name="图片 35" descr="盛邦平面布局图_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盛邦平面布局图_06(1)"/>
                    <pic:cNvPicPr>
                      <a:picLocks noChangeAspect="1"/>
                    </pic:cNvPicPr>
                  </pic:nvPicPr>
                  <pic:blipFill>
                    <a:blip r:embed="rId24"/>
                    <a:srcRect t="14744"/>
                    <a:stretch>
                      <a:fillRect/>
                    </a:stretch>
                  </pic:blipFill>
                  <pic:spPr>
                    <a:xfrm>
                      <a:off x="0" y="0"/>
                      <a:ext cx="8081645" cy="4872355"/>
                    </a:xfrm>
                    <a:prstGeom prst="rect">
                      <a:avLst/>
                    </a:prstGeom>
                  </pic:spPr>
                </pic:pic>
              </a:graphicData>
            </a:graphic>
          </wp:inline>
        </w:drawing>
      </w:r>
    </w:p>
    <w:p w14:paraId="6C1EEE62">
      <w:pPr>
        <w:pStyle w:val="20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eastAsia"/>
          <w:color w:val="auto"/>
          <w:highlight w:val="none"/>
          <w:lang w:eastAsia="zh-CN"/>
        </w:rPr>
      </w:pPr>
      <w:bookmarkStart w:id="102" w:name="_Toc15104"/>
      <w:r>
        <w:rPr>
          <w:color w:val="auto"/>
          <w:highlight w:val="none"/>
        </w:rPr>
        <w:t>附图</w:t>
      </w:r>
      <w:r>
        <w:rPr>
          <w:rFonts w:hint="eastAsia"/>
          <w:color w:val="auto"/>
          <w:highlight w:val="none"/>
          <w:lang w:val="en-US" w:eastAsia="zh-CN"/>
        </w:rPr>
        <w:t>4-6</w:t>
      </w:r>
      <w:r>
        <w:rPr>
          <w:color w:val="auto"/>
          <w:highlight w:val="none"/>
        </w:rPr>
        <w:t>：项目</w:t>
      </w:r>
      <w:r>
        <w:rPr>
          <w:rFonts w:hint="eastAsia"/>
          <w:color w:val="auto"/>
          <w:highlight w:val="none"/>
          <w:lang w:val="en-US" w:eastAsia="zh-CN"/>
        </w:rPr>
        <w:t>1#厂房和2#厂房四层</w:t>
      </w:r>
      <w:r>
        <w:rPr>
          <w:color w:val="auto"/>
          <w:highlight w:val="none"/>
        </w:rPr>
        <w:t>平面布置图</w:t>
      </w:r>
      <w:bookmarkEnd w:id="102"/>
    </w:p>
    <w:p w14:paraId="60DFD446">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8081645" cy="4956810"/>
            <wp:effectExtent l="0" t="0" r="0" b="0"/>
            <wp:docPr id="33" name="图片 33" descr="盛邦平面布局图_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盛邦平面布局图_07(1)"/>
                    <pic:cNvPicPr>
                      <a:picLocks noChangeAspect="1"/>
                    </pic:cNvPicPr>
                  </pic:nvPicPr>
                  <pic:blipFill>
                    <a:blip r:embed="rId25"/>
                    <a:srcRect t="13267"/>
                    <a:stretch>
                      <a:fillRect/>
                    </a:stretch>
                  </pic:blipFill>
                  <pic:spPr>
                    <a:xfrm>
                      <a:off x="0" y="0"/>
                      <a:ext cx="8081645" cy="4956810"/>
                    </a:xfrm>
                    <a:prstGeom prst="rect">
                      <a:avLst/>
                    </a:prstGeom>
                  </pic:spPr>
                </pic:pic>
              </a:graphicData>
            </a:graphic>
          </wp:inline>
        </w:drawing>
      </w:r>
    </w:p>
    <w:p w14:paraId="73B9BDD0">
      <w:pPr>
        <w:pStyle w:val="20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eastAsia"/>
          <w:color w:val="auto"/>
          <w:highlight w:val="none"/>
          <w:lang w:eastAsia="zh-CN"/>
        </w:rPr>
      </w:pPr>
      <w:bookmarkStart w:id="103" w:name="_Toc30878"/>
      <w:r>
        <w:rPr>
          <w:color w:val="auto"/>
          <w:highlight w:val="none"/>
        </w:rPr>
        <w:t>附图</w:t>
      </w:r>
      <w:r>
        <w:rPr>
          <w:rFonts w:hint="eastAsia"/>
          <w:color w:val="auto"/>
          <w:highlight w:val="none"/>
          <w:lang w:val="en-US" w:eastAsia="zh-CN"/>
        </w:rPr>
        <w:t>4-7</w:t>
      </w:r>
      <w:r>
        <w:rPr>
          <w:color w:val="auto"/>
          <w:highlight w:val="none"/>
        </w:rPr>
        <w:t>：项目</w:t>
      </w:r>
      <w:r>
        <w:rPr>
          <w:rFonts w:hint="eastAsia"/>
          <w:color w:val="auto"/>
          <w:highlight w:val="none"/>
          <w:lang w:val="en-US" w:eastAsia="zh-CN"/>
        </w:rPr>
        <w:t>1#厂房和2#厂房三层</w:t>
      </w:r>
      <w:r>
        <w:rPr>
          <w:color w:val="auto"/>
          <w:highlight w:val="none"/>
        </w:rPr>
        <w:t>平面布置图</w:t>
      </w:r>
      <w:bookmarkEnd w:id="103"/>
    </w:p>
    <w:p w14:paraId="60633EBD">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highlight w:val="none"/>
          <w:lang w:eastAsia="zh-CN"/>
        </w:rPr>
      </w:pPr>
    </w:p>
    <w:p w14:paraId="3B54CE27">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9332595" cy="5481955"/>
            <wp:effectExtent l="0" t="0" r="0" b="0"/>
            <wp:docPr id="20" name="图片 20" descr="盛邦平面布局图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盛邦平面布局图_08"/>
                    <pic:cNvPicPr>
                      <a:picLocks noChangeAspect="1"/>
                    </pic:cNvPicPr>
                  </pic:nvPicPr>
                  <pic:blipFill>
                    <a:blip r:embed="rId26"/>
                    <a:srcRect t="14250" b="2684"/>
                    <a:stretch>
                      <a:fillRect/>
                    </a:stretch>
                  </pic:blipFill>
                  <pic:spPr>
                    <a:xfrm>
                      <a:off x="0" y="0"/>
                      <a:ext cx="9332595" cy="5481955"/>
                    </a:xfrm>
                    <a:prstGeom prst="rect">
                      <a:avLst/>
                    </a:prstGeom>
                  </pic:spPr>
                </pic:pic>
              </a:graphicData>
            </a:graphic>
          </wp:inline>
        </w:drawing>
      </w:r>
    </w:p>
    <w:p w14:paraId="2CF96B51">
      <w:pPr>
        <w:pStyle w:val="20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eastAsia"/>
          <w:color w:val="auto"/>
          <w:highlight w:val="none"/>
          <w:lang w:eastAsia="zh-CN"/>
        </w:rPr>
      </w:pPr>
      <w:bookmarkStart w:id="104" w:name="_Toc242"/>
      <w:r>
        <w:rPr>
          <w:color w:val="auto"/>
          <w:highlight w:val="none"/>
        </w:rPr>
        <w:t>附图</w:t>
      </w:r>
      <w:r>
        <w:rPr>
          <w:rFonts w:hint="eastAsia"/>
          <w:color w:val="auto"/>
          <w:highlight w:val="none"/>
          <w:lang w:val="en-US" w:eastAsia="zh-CN"/>
        </w:rPr>
        <w:t>4-8</w:t>
      </w:r>
      <w:r>
        <w:rPr>
          <w:color w:val="auto"/>
          <w:highlight w:val="none"/>
        </w:rPr>
        <w:t>：项目</w:t>
      </w:r>
      <w:r>
        <w:rPr>
          <w:rFonts w:hint="eastAsia"/>
          <w:color w:val="auto"/>
          <w:highlight w:val="none"/>
          <w:lang w:val="en-US" w:eastAsia="zh-CN"/>
        </w:rPr>
        <w:t>1#厂房和2#厂房二层</w:t>
      </w:r>
      <w:r>
        <w:rPr>
          <w:color w:val="auto"/>
          <w:highlight w:val="none"/>
        </w:rPr>
        <w:t>平面布置图</w:t>
      </w:r>
      <w:bookmarkEnd w:id="104"/>
    </w:p>
    <w:p w14:paraId="3C715C0D">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highlight w:val="none"/>
          <w:lang w:eastAsia="zh-CN"/>
        </w:rPr>
      </w:pPr>
    </w:p>
    <w:p w14:paraId="7A7A6DFF">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8081645" cy="5033010"/>
            <wp:effectExtent l="0" t="0" r="0" b="0"/>
            <wp:docPr id="30" name="图片 30" descr="盛邦平面布局图_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盛邦平面布局图_09(1)"/>
                    <pic:cNvPicPr>
                      <a:picLocks noChangeAspect="1"/>
                    </pic:cNvPicPr>
                  </pic:nvPicPr>
                  <pic:blipFill>
                    <a:blip r:embed="rId27"/>
                    <a:srcRect t="11933"/>
                    <a:stretch>
                      <a:fillRect/>
                    </a:stretch>
                  </pic:blipFill>
                  <pic:spPr>
                    <a:xfrm>
                      <a:off x="0" y="0"/>
                      <a:ext cx="8081645" cy="5033010"/>
                    </a:xfrm>
                    <a:prstGeom prst="rect">
                      <a:avLst/>
                    </a:prstGeom>
                  </pic:spPr>
                </pic:pic>
              </a:graphicData>
            </a:graphic>
          </wp:inline>
        </w:drawing>
      </w:r>
    </w:p>
    <w:p w14:paraId="33493122">
      <w:pPr>
        <w:pStyle w:val="20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eastAsia"/>
          <w:color w:val="auto"/>
          <w:highlight w:val="none"/>
          <w:lang w:eastAsia="zh-CN"/>
        </w:rPr>
      </w:pPr>
      <w:bookmarkStart w:id="105" w:name="_Toc27677"/>
      <w:r>
        <w:rPr>
          <w:color w:val="auto"/>
          <w:highlight w:val="none"/>
        </w:rPr>
        <w:t>附图</w:t>
      </w:r>
      <w:r>
        <w:rPr>
          <w:rFonts w:hint="eastAsia"/>
          <w:color w:val="auto"/>
          <w:highlight w:val="none"/>
          <w:lang w:val="en-US" w:eastAsia="zh-CN"/>
        </w:rPr>
        <w:t>4-9</w:t>
      </w:r>
      <w:r>
        <w:rPr>
          <w:color w:val="auto"/>
          <w:highlight w:val="none"/>
        </w:rPr>
        <w:t>：项目</w:t>
      </w:r>
      <w:r>
        <w:rPr>
          <w:rFonts w:hint="eastAsia"/>
          <w:color w:val="auto"/>
          <w:highlight w:val="none"/>
          <w:lang w:val="en-US" w:eastAsia="zh-CN"/>
        </w:rPr>
        <w:t>1#厂房和2#厂房一层</w:t>
      </w:r>
      <w:r>
        <w:rPr>
          <w:color w:val="auto"/>
          <w:highlight w:val="none"/>
        </w:rPr>
        <w:t>平面布置图</w:t>
      </w:r>
      <w:bookmarkEnd w:id="105"/>
    </w:p>
    <w:p w14:paraId="749571BF">
      <w:pPr>
        <w:tabs>
          <w:tab w:val="center" w:pos="4422"/>
        </w:tabs>
        <w:jc w:val="left"/>
        <w:rPr>
          <w:color w:val="auto"/>
          <w:highlight w:val="none"/>
        </w:rPr>
        <w:sectPr>
          <w:pgSz w:w="16839" w:h="11907" w:orient="landscape"/>
          <w:pgMar w:top="720" w:right="720" w:bottom="720" w:left="720" w:header="851" w:footer="567" w:gutter="0"/>
          <w:pgNumType w:fmt="decimal"/>
          <w:cols w:space="0" w:num="1"/>
          <w:docGrid w:linePitch="312" w:charSpace="0"/>
        </w:sectPr>
      </w:pPr>
    </w:p>
    <w:p w14:paraId="40CAB067">
      <w:pPr>
        <w:tabs>
          <w:tab w:val="center" w:pos="4422"/>
        </w:tabs>
        <w:jc w:val="center"/>
        <w:rPr>
          <w:color w:val="auto"/>
        </w:rPr>
      </w:pPr>
      <w:r>
        <w:rPr>
          <w:color w:val="auto"/>
          <w:highlight w:val="none"/>
        </w:rPr>
        <mc:AlternateContent>
          <mc:Choice Requires="wps">
            <w:drawing>
              <wp:anchor distT="0" distB="0" distL="114300" distR="114300" simplePos="0" relativeHeight="251678720" behindDoc="0" locked="0" layoutInCell="1" allowOverlap="1">
                <wp:simplePos x="0" y="0"/>
                <wp:positionH relativeFrom="column">
                  <wp:posOffset>7999730</wp:posOffset>
                </wp:positionH>
                <wp:positionV relativeFrom="paragraph">
                  <wp:posOffset>4139565</wp:posOffset>
                </wp:positionV>
                <wp:extent cx="1685290" cy="1350010"/>
                <wp:effectExtent l="9525" t="9525" r="19685" b="12065"/>
                <wp:wrapNone/>
                <wp:docPr id="117" name="文本框 448"/>
                <wp:cNvGraphicFramePr/>
                <a:graphic xmlns:a="http://schemas.openxmlformats.org/drawingml/2006/main">
                  <a:graphicData uri="http://schemas.microsoft.com/office/word/2010/wordprocessingShape">
                    <wps:wsp>
                      <wps:cNvSpPr txBox="1"/>
                      <wps:spPr>
                        <a:xfrm>
                          <a:off x="0" y="0"/>
                          <a:ext cx="1685290" cy="1350010"/>
                        </a:xfrm>
                        <a:prstGeom prst="rect">
                          <a:avLst/>
                        </a:prstGeom>
                        <a:solidFill>
                          <a:srgbClr val="D9D9D9">
                            <a:alpha val="50000"/>
                          </a:srgbClr>
                        </a:solidFill>
                        <a:ln w="19050" cap="flat" cmpd="sng">
                          <a:solidFill>
                            <a:schemeClr val="tx1"/>
                          </a:solidFill>
                          <a:prstDash val="solid"/>
                          <a:miter/>
                          <a:headEnd type="none" w="med" len="med"/>
                          <a:tailEnd type="none" w="med" len="med"/>
                        </a:ln>
                      </wps:spPr>
                      <wps:txbx>
                        <w:txbxContent>
                          <w:p w14:paraId="1B8196DD">
                            <w:pPr>
                              <w:spacing w:line="360" w:lineRule="auto"/>
                              <w:jc w:val="center"/>
                              <w:rPr>
                                <w:b/>
                                <w:bCs/>
                                <w:szCs w:val="21"/>
                              </w:rPr>
                            </w:pPr>
                            <w:r>
                              <w:rPr>
                                <w:rFonts w:hint="eastAsia"/>
                                <w:b/>
                                <w:bCs/>
                                <w:szCs w:val="21"/>
                              </w:rPr>
                              <w:t>图例</w:t>
                            </w:r>
                          </w:p>
                          <w:p w14:paraId="6ADED329">
                            <w:pPr>
                              <w:spacing w:line="360" w:lineRule="auto"/>
                              <w:ind w:firstLine="632" w:firstLineChars="300"/>
                              <w:rPr>
                                <w:b/>
                                <w:bCs/>
                                <w:szCs w:val="21"/>
                              </w:rPr>
                            </w:pPr>
                            <w:r>
                              <w:rPr>
                                <w:rFonts w:hint="eastAsia"/>
                                <w:b/>
                                <w:bCs/>
                                <w:szCs w:val="21"/>
                              </w:rPr>
                              <w:t>项目所在地</w:t>
                            </w:r>
                          </w:p>
                          <w:p w14:paraId="528C3CF0">
                            <w:pPr>
                              <w:spacing w:line="360" w:lineRule="auto"/>
                              <w:ind w:left="841" w:leftChars="300" w:hanging="211" w:hangingChars="100"/>
                              <w:rPr>
                                <w:b/>
                                <w:bCs/>
                                <w:szCs w:val="21"/>
                              </w:rPr>
                            </w:pPr>
                            <w:r>
                              <w:rPr>
                                <w:rFonts w:hint="eastAsia"/>
                                <w:b/>
                                <w:bCs/>
                                <w:szCs w:val="21"/>
                              </w:rPr>
                              <w:t>大气环境评价范围</w:t>
                            </w:r>
                          </w:p>
                          <w:p w14:paraId="54EA34E1">
                            <w:pPr>
                              <w:spacing w:line="360" w:lineRule="auto"/>
                              <w:ind w:left="841" w:leftChars="300" w:hanging="211" w:hangingChars="100"/>
                              <w:rPr>
                                <w:b/>
                                <w:bCs/>
                                <w:szCs w:val="21"/>
                              </w:rPr>
                            </w:pPr>
                            <w:r>
                              <w:rPr>
                                <w:rFonts w:hint="eastAsia"/>
                                <w:b/>
                                <w:bCs/>
                                <w:szCs w:val="21"/>
                              </w:rPr>
                              <w:t xml:space="preserve">噪声环境评价范围 </w:t>
                            </w:r>
                          </w:p>
                          <w:p w14:paraId="1453695F">
                            <w:pPr>
                              <w:spacing w:line="360" w:lineRule="auto"/>
                              <w:ind w:left="841" w:leftChars="300" w:hanging="211" w:hangingChars="100"/>
                              <w:rPr>
                                <w:b/>
                                <w:bCs/>
                                <w:szCs w:val="21"/>
                              </w:rPr>
                            </w:pPr>
                            <w:r>
                              <w:rPr>
                                <w:rFonts w:hint="eastAsia"/>
                                <w:b/>
                                <w:bCs/>
                                <w:szCs w:val="21"/>
                              </w:rPr>
                              <w:t xml:space="preserve">      </w:t>
                            </w:r>
                          </w:p>
                          <w:p w14:paraId="4C4EB268">
                            <w:pPr>
                              <w:jc w:val="right"/>
                              <w:rPr>
                                <w:b/>
                                <w:bCs/>
                                <w:szCs w:val="21"/>
                              </w:rPr>
                            </w:pPr>
                          </w:p>
                        </w:txbxContent>
                      </wps:txbx>
                      <wps:bodyPr upright="1"/>
                    </wps:wsp>
                  </a:graphicData>
                </a:graphic>
              </wp:anchor>
            </w:drawing>
          </mc:Choice>
          <mc:Fallback>
            <w:pict>
              <v:shape id="文本框 448" o:spid="_x0000_s1026" o:spt="202" type="#_x0000_t202" style="position:absolute;left:0pt;margin-left:629.9pt;margin-top:325.95pt;height:106.3pt;width:132.7pt;z-index:251678720;mso-width-relative:page;mso-height-relative:page;" fillcolor="#D9D9D9" filled="t" stroked="t" coordsize="21600,21600" o:gfxdata="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s+hV/&#10;2wAAAA0BAAAPAAAAAAAAAAEAIAAAACIAAABkcnMvZG93bnJldi54bWxQSwECFAAUAAAACACHTuJA&#10;/KroBh4CAABdBAAADgAAAAAAAAABACAAAAAqAQAAZHJzL2Uyb0RvYy54bWxQSwUGAAAAAAYABgBZ&#10;AQAAugUAAAAA&#10;">
                <v:fill on="t" opacity="32768f" focussize="0,0"/>
                <v:stroke weight="1.5pt" color="#000000 [3213]" joinstyle="miter"/>
                <v:imagedata o:title=""/>
                <o:lock v:ext="edit" aspectratio="f"/>
                <v:textbox>
                  <w:txbxContent>
                    <w:p w14:paraId="1B8196DD">
                      <w:pPr>
                        <w:spacing w:line="360" w:lineRule="auto"/>
                        <w:jc w:val="center"/>
                        <w:rPr>
                          <w:b/>
                          <w:bCs/>
                          <w:szCs w:val="21"/>
                        </w:rPr>
                      </w:pPr>
                      <w:r>
                        <w:rPr>
                          <w:rFonts w:hint="eastAsia"/>
                          <w:b/>
                          <w:bCs/>
                          <w:szCs w:val="21"/>
                        </w:rPr>
                        <w:t>图例</w:t>
                      </w:r>
                    </w:p>
                    <w:p w14:paraId="6ADED329">
                      <w:pPr>
                        <w:spacing w:line="360" w:lineRule="auto"/>
                        <w:ind w:firstLine="632" w:firstLineChars="300"/>
                        <w:rPr>
                          <w:b/>
                          <w:bCs/>
                          <w:szCs w:val="21"/>
                        </w:rPr>
                      </w:pPr>
                      <w:r>
                        <w:rPr>
                          <w:rFonts w:hint="eastAsia"/>
                          <w:b/>
                          <w:bCs/>
                          <w:szCs w:val="21"/>
                        </w:rPr>
                        <w:t>项目所在地</w:t>
                      </w:r>
                    </w:p>
                    <w:p w14:paraId="528C3CF0">
                      <w:pPr>
                        <w:spacing w:line="360" w:lineRule="auto"/>
                        <w:ind w:left="841" w:leftChars="300" w:hanging="211" w:hangingChars="100"/>
                        <w:rPr>
                          <w:b/>
                          <w:bCs/>
                          <w:szCs w:val="21"/>
                        </w:rPr>
                      </w:pPr>
                      <w:r>
                        <w:rPr>
                          <w:rFonts w:hint="eastAsia"/>
                          <w:b/>
                          <w:bCs/>
                          <w:szCs w:val="21"/>
                        </w:rPr>
                        <w:t>大气环境评价范围</w:t>
                      </w:r>
                    </w:p>
                    <w:p w14:paraId="54EA34E1">
                      <w:pPr>
                        <w:spacing w:line="360" w:lineRule="auto"/>
                        <w:ind w:left="841" w:leftChars="300" w:hanging="211" w:hangingChars="100"/>
                        <w:rPr>
                          <w:b/>
                          <w:bCs/>
                          <w:szCs w:val="21"/>
                        </w:rPr>
                      </w:pPr>
                      <w:r>
                        <w:rPr>
                          <w:rFonts w:hint="eastAsia"/>
                          <w:b/>
                          <w:bCs/>
                          <w:szCs w:val="21"/>
                        </w:rPr>
                        <w:t xml:space="preserve">噪声环境评价范围 </w:t>
                      </w:r>
                    </w:p>
                    <w:p w14:paraId="1453695F">
                      <w:pPr>
                        <w:spacing w:line="360" w:lineRule="auto"/>
                        <w:ind w:left="841" w:leftChars="300" w:hanging="211" w:hangingChars="100"/>
                        <w:rPr>
                          <w:b/>
                          <w:bCs/>
                          <w:szCs w:val="21"/>
                        </w:rPr>
                      </w:pPr>
                      <w:r>
                        <w:rPr>
                          <w:rFonts w:hint="eastAsia"/>
                          <w:b/>
                          <w:bCs/>
                          <w:szCs w:val="21"/>
                        </w:rPr>
                        <w:t xml:space="preserve">      </w:t>
                      </w:r>
                    </w:p>
                    <w:p w14:paraId="4C4EB268">
                      <w:pPr>
                        <w:jc w:val="right"/>
                        <w:rPr>
                          <w:b/>
                          <w:bCs/>
                          <w:szCs w:val="21"/>
                        </w:rPr>
                      </w:pPr>
                    </w:p>
                  </w:txbxContent>
                </v:textbox>
              </v:shape>
            </w:pict>
          </mc:Fallback>
        </mc:AlternateContent>
      </w:r>
      <w:r>
        <w:rPr>
          <w:color w:val="auto"/>
          <w:sz w:val="21"/>
        </w:rPr>
        <mc:AlternateContent>
          <mc:Choice Requires="wps">
            <w:drawing>
              <wp:anchor distT="0" distB="0" distL="114300" distR="114300" simplePos="0" relativeHeight="251680768" behindDoc="0" locked="0" layoutInCell="1" allowOverlap="1">
                <wp:simplePos x="0" y="0"/>
                <wp:positionH relativeFrom="column">
                  <wp:posOffset>8125460</wp:posOffset>
                </wp:positionH>
                <wp:positionV relativeFrom="paragraph">
                  <wp:posOffset>4707890</wp:posOffset>
                </wp:positionV>
                <wp:extent cx="318770" cy="142875"/>
                <wp:effectExtent l="6350" t="6350" r="17780" b="22225"/>
                <wp:wrapNone/>
                <wp:docPr id="46" name="矩形 46"/>
                <wp:cNvGraphicFramePr/>
                <a:graphic xmlns:a="http://schemas.openxmlformats.org/drawingml/2006/main">
                  <a:graphicData uri="http://schemas.microsoft.com/office/word/2010/wordprocessingShape">
                    <wps:wsp>
                      <wps:cNvSpPr/>
                      <wps:spPr>
                        <a:xfrm>
                          <a:off x="8636000" y="5171440"/>
                          <a:ext cx="318770" cy="142875"/>
                        </a:xfrm>
                        <a:prstGeom prst="rect">
                          <a:avLst/>
                        </a:prstGeom>
                        <a:noFill/>
                        <a:ln>
                          <a:solidFill>
                            <a:srgbClr val="32CB2E"/>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39.8pt;margin-top:370.7pt;height:11.25pt;width:25.1pt;z-index:251680768;v-text-anchor:middle;mso-width-relative:page;mso-height-relative:page;" filled="f" stroked="t" coordsize="21600,21600" o:gfxdata="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DUlAbm3AAAAA0BAAAPAAAAAAAAAAEAIAAA&#10;ACIAAABkcnMvZG93bnJldi54bWxQSwECFAAUAAAACACHTuJA/53MxnoCAADYBAAADgAAAAAAAAAB&#10;ACAAAAArAQAAZHJzL2Uyb0RvYy54bWxQSwUGAAAAAAYABgBZAQAAFwYAAAAA&#10;">
                <v:fill on="f" focussize="0,0"/>
                <v:stroke weight="1pt" color="#32CB2E [2404]" miterlimit="8" joinstyle="miter"/>
                <v:imagedata o:title=""/>
                <o:lock v:ext="edit" aspectratio="f"/>
              </v:rect>
            </w:pict>
          </mc:Fallback>
        </mc:AlternateContent>
      </w:r>
      <w:r>
        <w:rPr>
          <w:color w:val="auto"/>
          <w:sz w:val="21"/>
        </w:rPr>
        <mc:AlternateContent>
          <mc:Choice Requires="wps">
            <w:drawing>
              <wp:anchor distT="0" distB="0" distL="114300" distR="114300" simplePos="0" relativeHeight="251681792" behindDoc="0" locked="0" layoutInCell="1" allowOverlap="1">
                <wp:simplePos x="0" y="0"/>
                <wp:positionH relativeFrom="column">
                  <wp:posOffset>8117205</wp:posOffset>
                </wp:positionH>
                <wp:positionV relativeFrom="paragraph">
                  <wp:posOffset>4986655</wp:posOffset>
                </wp:positionV>
                <wp:extent cx="340360" cy="135890"/>
                <wp:effectExtent l="6350" t="6350" r="15240" b="10160"/>
                <wp:wrapNone/>
                <wp:docPr id="47" name="矩形 47"/>
                <wp:cNvGraphicFramePr/>
                <a:graphic xmlns:a="http://schemas.openxmlformats.org/drawingml/2006/main">
                  <a:graphicData uri="http://schemas.microsoft.com/office/word/2010/wordprocessingShape">
                    <wps:wsp>
                      <wps:cNvSpPr/>
                      <wps:spPr>
                        <a:xfrm>
                          <a:off x="8574405" y="5443855"/>
                          <a:ext cx="340360" cy="135890"/>
                        </a:xfrm>
                        <a:prstGeom prst="rect">
                          <a:avLst/>
                        </a:pr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39.15pt;margin-top:392.65pt;height:10.7pt;width:26.8pt;z-index:251681792;v-text-anchor:middle;mso-width-relative:page;mso-height-relative:page;" filled="f" stroked="t" coordsize="21600,21600" o:gfxdata="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50Uc3bAAAADQEAAA8AAAAAAAAAAQAgAAAAIgAA&#10;AGRycy9kb3ducmV2LnhtbFBLAQIUABQAAAAIAIdO4kDEdrzldwIAANgEAAAOAAAAAAAAAAEAIAAA&#10;ACoBAABkcnMvZTJvRG9jLnhtbFBLBQYAAAAABgAGAFkBAAATBgAAAAA=&#10;">
                <v:fill on="f" focussize="0,0"/>
                <v:stroke weight="1pt" color="#FFFF00 [2404]" miterlimit="8" joinstyle="miter"/>
                <v:imagedata o:title=""/>
                <o:lock v:ext="edit" aspectratio="f"/>
              </v:rect>
            </w:pict>
          </mc:Fallback>
        </mc:AlternateContent>
      </w:r>
      <w:r>
        <w:rPr>
          <w:color w:val="auto"/>
          <w:sz w:val="21"/>
        </w:rPr>
        <mc:AlternateContent>
          <mc:Choice Requires="wps">
            <w:drawing>
              <wp:anchor distT="0" distB="0" distL="114300" distR="114300" simplePos="0" relativeHeight="251679744" behindDoc="0" locked="0" layoutInCell="1" allowOverlap="1">
                <wp:simplePos x="0" y="0"/>
                <wp:positionH relativeFrom="column">
                  <wp:posOffset>8151495</wp:posOffset>
                </wp:positionH>
                <wp:positionV relativeFrom="paragraph">
                  <wp:posOffset>4448810</wp:posOffset>
                </wp:positionV>
                <wp:extent cx="312420" cy="149860"/>
                <wp:effectExtent l="6350" t="6350" r="24130" b="15240"/>
                <wp:wrapNone/>
                <wp:docPr id="45" name="矩形 45"/>
                <wp:cNvGraphicFramePr/>
                <a:graphic xmlns:a="http://schemas.openxmlformats.org/drawingml/2006/main">
                  <a:graphicData uri="http://schemas.microsoft.com/office/word/2010/wordprocessingShape">
                    <wps:wsp>
                      <wps:cNvSpPr/>
                      <wps:spPr>
                        <a:xfrm>
                          <a:off x="8608695" y="4906010"/>
                          <a:ext cx="312420" cy="149860"/>
                        </a:xfrm>
                        <a:prstGeom prst="rect">
                          <a:avLst/>
                        </a:prstGeom>
                        <a:solidFill>
                          <a:schemeClr val="accent1"/>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EB8E5B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1.85pt;margin-top:350.3pt;height:11.8pt;width:24.6pt;z-index:251679744;v-text-anchor:middle;mso-width-relative:page;mso-height-relative:page;" fillcolor="#4472C4 [3204]" filled="t" stroked="t" coordsize="21600,21600" o:gfxdata="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NY6N/jXAAAADQEAAA8AAAAAAAAA&#10;AQAgAAAAIgAAAGRycy9kb3ducmV2LnhtbFBLAQIUABQAAAAIAIdO4kD/yIIXhAIAAAwFAAAOAAAA&#10;AAAAAAEAIAAAACYBAABkcnMvZTJvRG9jLnhtbFBLBQYAAAAABgAGAFkBAAAcBgAAAAA=&#10;">
                <v:fill on="t" focussize="0,0"/>
                <v:stroke weight="1pt" color="#FF0000 [2404]" miterlimit="8" joinstyle="miter"/>
                <v:imagedata o:title=""/>
                <o:lock v:ext="edit" aspectratio="f"/>
                <v:textbox>
                  <w:txbxContent>
                    <w:p w14:paraId="5EB8E5B2">
                      <w:pPr>
                        <w:jc w:val="center"/>
                      </w:pPr>
                    </w:p>
                  </w:txbxContent>
                </v:textbox>
              </v:rect>
            </w:pict>
          </mc:Fallback>
        </mc:AlternateContent>
      </w:r>
      <w:r>
        <w:rPr>
          <w:color w:val="auto"/>
          <w:highlight w:val="none"/>
          <w:lang w:val="en-US"/>
        </w:rPr>
        <w:drawing>
          <wp:anchor distT="0" distB="0" distL="114935" distR="114935" simplePos="0" relativeHeight="251677696" behindDoc="0" locked="0" layoutInCell="1" allowOverlap="1">
            <wp:simplePos x="0" y="0"/>
            <wp:positionH relativeFrom="column">
              <wp:posOffset>8921750</wp:posOffset>
            </wp:positionH>
            <wp:positionV relativeFrom="paragraph">
              <wp:posOffset>635</wp:posOffset>
            </wp:positionV>
            <wp:extent cx="765175" cy="1017905"/>
            <wp:effectExtent l="9525" t="9525" r="25400" b="20320"/>
            <wp:wrapNone/>
            <wp:docPr id="13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 name="图片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765175" cy="1017905"/>
                    </a:xfrm>
                    <a:prstGeom prst="rect">
                      <a:avLst/>
                    </a:prstGeom>
                    <a:noFill/>
                    <a:ln w="9525">
                      <a:solidFill>
                        <a:srgbClr val="5B9BD5"/>
                      </a:solidFill>
                      <a:miter lim="800000"/>
                      <a:headEnd/>
                      <a:tailEnd/>
                    </a:ln>
                  </pic:spPr>
                </pic:pic>
              </a:graphicData>
            </a:graphic>
          </wp:anchor>
        </w:drawing>
      </w:r>
      <w:r>
        <w:rPr>
          <w:color w:val="auto"/>
        </w:rPr>
        <w:drawing>
          <wp:inline distT="0" distB="0" distL="114300" distR="114300">
            <wp:extent cx="9608185" cy="5461000"/>
            <wp:effectExtent l="0" t="0" r="12065" b="6350"/>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28"/>
                    <a:srcRect l="18562" t="11916" r="10216" b="10735"/>
                    <a:stretch>
                      <a:fillRect/>
                    </a:stretch>
                  </pic:blipFill>
                  <pic:spPr>
                    <a:xfrm>
                      <a:off x="0" y="0"/>
                      <a:ext cx="9608185" cy="5461000"/>
                    </a:xfrm>
                    <a:prstGeom prst="rect">
                      <a:avLst/>
                    </a:prstGeom>
                    <a:noFill/>
                    <a:ln>
                      <a:noFill/>
                    </a:ln>
                  </pic:spPr>
                </pic:pic>
              </a:graphicData>
            </a:graphic>
          </wp:inline>
        </w:drawing>
      </w:r>
    </w:p>
    <w:p w14:paraId="3ADBA281">
      <w:pPr>
        <w:tabs>
          <w:tab w:val="center" w:pos="4422"/>
        </w:tabs>
        <w:jc w:val="center"/>
        <w:outlineLvl w:val="0"/>
        <w:rPr>
          <w:color w:val="auto"/>
        </w:rPr>
      </w:pPr>
      <w:bookmarkStart w:id="106" w:name="_Toc24256"/>
      <w:bookmarkStart w:id="107" w:name="_Toc1819"/>
      <w:r>
        <w:rPr>
          <w:b/>
          <w:bCs/>
          <w:color w:val="auto"/>
          <w:highlight w:val="none"/>
        </w:rPr>
        <w:t>附图</w:t>
      </w:r>
      <w:r>
        <w:rPr>
          <w:rFonts w:hint="eastAsia"/>
          <w:b/>
          <w:bCs/>
          <w:color w:val="auto"/>
          <w:highlight w:val="none"/>
          <w:lang w:val="en-US" w:eastAsia="zh-CN"/>
        </w:rPr>
        <w:t>5</w:t>
      </w:r>
      <w:r>
        <w:rPr>
          <w:b/>
          <w:bCs/>
          <w:color w:val="auto"/>
          <w:highlight w:val="none"/>
        </w:rPr>
        <w:t>项目大气</w:t>
      </w:r>
      <w:r>
        <w:rPr>
          <w:rFonts w:hint="eastAsia"/>
          <w:b/>
          <w:bCs/>
          <w:color w:val="auto"/>
          <w:highlight w:val="none"/>
        </w:rPr>
        <w:t>、声</w:t>
      </w:r>
      <w:r>
        <w:rPr>
          <w:b/>
          <w:bCs/>
          <w:color w:val="auto"/>
          <w:highlight w:val="none"/>
        </w:rPr>
        <w:t>敏感点调查图</w:t>
      </w:r>
      <w:bookmarkEnd w:id="106"/>
      <w:bookmarkEnd w:id="107"/>
    </w:p>
    <w:p w14:paraId="2CC19FB7">
      <w:pPr>
        <w:tabs>
          <w:tab w:val="center" w:pos="4422"/>
        </w:tabs>
        <w:jc w:val="center"/>
        <w:rPr>
          <w:color w:val="auto"/>
        </w:rPr>
        <w:sectPr>
          <w:pgSz w:w="16839" w:h="11907" w:orient="landscape"/>
          <w:pgMar w:top="720" w:right="720" w:bottom="720" w:left="720" w:header="851" w:footer="567" w:gutter="0"/>
          <w:pgNumType w:fmt="decimal"/>
          <w:cols w:space="0" w:num="1"/>
          <w:docGrid w:linePitch="312" w:charSpace="0"/>
        </w:sectPr>
      </w:pPr>
    </w:p>
    <w:p w14:paraId="247996C7">
      <w:pPr>
        <w:pStyle w:val="204"/>
        <w:ind w:left="0" w:leftChars="0" w:firstLine="0" w:firstLineChars="0"/>
        <w:jc w:val="center"/>
        <w:outlineLvl w:val="9"/>
        <w:rPr>
          <w:color w:val="auto"/>
          <w:highlight w:val="none"/>
        </w:rPr>
      </w:pPr>
      <w:bookmarkStart w:id="108" w:name="_Toc20324"/>
      <w:r>
        <w:rPr>
          <w:color w:val="auto"/>
          <w:highlight w:val="none"/>
        </w:rPr>
        <mc:AlternateContent>
          <mc:Choice Requires="wpg">
            <w:drawing>
              <wp:anchor distT="0" distB="0" distL="114300" distR="114300" simplePos="0" relativeHeight="251682816" behindDoc="0" locked="0" layoutInCell="1" allowOverlap="1">
                <wp:simplePos x="0" y="0"/>
                <wp:positionH relativeFrom="column">
                  <wp:posOffset>2138045</wp:posOffset>
                </wp:positionH>
                <wp:positionV relativeFrom="paragraph">
                  <wp:posOffset>3717925</wp:posOffset>
                </wp:positionV>
                <wp:extent cx="1054735" cy="786765"/>
                <wp:effectExtent l="15240" t="4445" r="15875" b="27940"/>
                <wp:wrapNone/>
                <wp:docPr id="50" name="组合 50"/>
                <wp:cNvGraphicFramePr/>
                <a:graphic xmlns:a="http://schemas.openxmlformats.org/drawingml/2006/main">
                  <a:graphicData uri="http://schemas.microsoft.com/office/word/2010/wordprocessingGroup">
                    <wpg:wgp>
                      <wpg:cNvGrpSpPr/>
                      <wpg:grpSpPr>
                        <a:xfrm>
                          <a:off x="0" y="0"/>
                          <a:ext cx="1054735" cy="786765"/>
                          <a:chOff x="15064" y="786193"/>
                          <a:chExt cx="1661" cy="1239"/>
                        </a:xfrm>
                      </wpg:grpSpPr>
                      <wps:wsp>
                        <wps:cNvPr id="369" name="矩形标注 369"/>
                        <wps:cNvSpPr/>
                        <wps:spPr>
                          <a:xfrm>
                            <a:off x="15238" y="786193"/>
                            <a:ext cx="1487" cy="538"/>
                          </a:xfrm>
                          <a:prstGeom prst="wedgeRectCallout">
                            <a:avLst>
                              <a:gd name="adj1" fmla="val -52194"/>
                              <a:gd name="adj2" fmla="val 150931"/>
                            </a:avLst>
                          </a:prstGeom>
                          <a:solidFill>
                            <a:srgbClr val="FFFFFF"/>
                          </a:solidFill>
                          <a:ln w="9525" cap="flat" cmpd="sng">
                            <a:solidFill>
                              <a:srgbClr val="000000"/>
                            </a:solidFill>
                            <a:prstDash val="solid"/>
                            <a:miter/>
                            <a:headEnd type="none" w="med" len="med"/>
                            <a:tailEnd type="none" w="med" len="med"/>
                          </a:ln>
                        </wps:spPr>
                        <wps:txbx>
                          <w:txbxContent>
                            <w:p w14:paraId="097B6B80">
                              <w:pPr>
                                <w:rPr>
                                  <w:sz w:val="20"/>
                                  <w:szCs w:val="15"/>
                                </w:rPr>
                              </w:pPr>
                              <w:r>
                                <w:rPr>
                                  <w:rFonts w:hint="eastAsia"/>
                                  <w:sz w:val="20"/>
                                  <w:szCs w:val="15"/>
                                </w:rPr>
                                <w:t>项目所在地</w:t>
                              </w:r>
                            </w:p>
                          </w:txbxContent>
                        </wps:txbx>
                        <wps:bodyPr upright="1"/>
                      </wps:wsp>
                      <wps:wsp>
                        <wps:cNvPr id="370" name="五角星 370"/>
                        <wps:cNvSpPr/>
                        <wps:spPr>
                          <a:xfrm>
                            <a:off x="15064" y="787256"/>
                            <a:ext cx="193" cy="176"/>
                          </a:xfrm>
                          <a:prstGeom prst="star5">
                            <a:avLst/>
                          </a:prstGeom>
                          <a:solidFill>
                            <a:srgbClr val="000000"/>
                          </a:solidFill>
                          <a:ln w="9525" cap="flat" cmpd="sng">
                            <a:solidFill>
                              <a:srgbClr val="000000"/>
                            </a:solidFill>
                            <a:prstDash val="solid"/>
                            <a:miter/>
                            <a:headEnd type="none" w="med" len="med"/>
                            <a:tailEnd type="none" w="med" len="med"/>
                          </a:ln>
                        </wps:spPr>
                        <wps:bodyPr upright="1"/>
                      </wps:wsp>
                    </wpg:wgp>
                  </a:graphicData>
                </a:graphic>
              </wp:anchor>
            </w:drawing>
          </mc:Choice>
          <mc:Fallback>
            <w:pict>
              <v:group id="_x0000_s1026" o:spid="_x0000_s1026" o:spt="203" style="position:absolute;left:0pt;margin-left:168.35pt;margin-top:292.75pt;height:61.95pt;width:83.05pt;z-index:251682816;mso-width-relative:page;mso-height-relative:page;" coordorigin="15064,786193" coordsize="1661,1239" o:gfxdata="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">
                <o:lock v:ext="edit" aspectratio="f"/>
                <v:shape id="_x0000_s1026" o:spid="_x0000_s1026" o:spt="61" type="#_x0000_t61" style="position:absolute;left:15238;top:786193;height:538;width:1487;" fillcolor="#FFFFFF" filled="t" stroked="t" coordsize="21600,21600" o:gfxdata="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S8t7vQAA&#10;ANwAAAAPAAAAAAAAAAEAIAAAACIAAABkcnMvZG93bnJldi54bWxQSwECFAAUAAAACACHTuJAMy8F&#10;njsAAAA5AAAAEAAAAAAAAAABACAAAAAMAQAAZHJzL3NoYXBleG1sLnhtbFBLBQYAAAAABgAGAFsB&#10;AAC2AwAAAAA=&#10;" adj="-474,43401">
                  <v:fill on="t" focussize="0,0"/>
                  <v:stroke color="#000000" joinstyle="miter"/>
                  <v:imagedata o:title=""/>
                  <o:lock v:ext="edit" aspectratio="f"/>
                  <v:textbox>
                    <w:txbxContent>
                      <w:p w14:paraId="097B6B80">
                        <w:pPr>
                          <w:rPr>
                            <w:sz w:val="20"/>
                            <w:szCs w:val="15"/>
                          </w:rPr>
                        </w:pPr>
                        <w:r>
                          <w:rPr>
                            <w:rFonts w:hint="eastAsia"/>
                            <w:sz w:val="20"/>
                            <w:szCs w:val="15"/>
                          </w:rPr>
                          <w:t>项目所在地</w:t>
                        </w:r>
                      </w:p>
                    </w:txbxContent>
                  </v:textbox>
                </v:shape>
                <v:shape id="_x0000_s1026" o:spid="_x0000_s1026" style="position:absolute;left:15064;top:787256;height:176;width:193;" fillcolor="#000000" filled="t" stroked="t" coordsize="193,176" o:gfxdata="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Vew76/&#10;AAAA3AAAAA8AAAAAAAAAAQAgAAAAIgAAAGRycy9kb3ducmV2LnhtbFBLAQIUABQAAAAIAIdO4kAz&#10;LwWeOwAAADkAAAAQAAAAAAAAAAEAIAAAAA4BAABkcnMvc2hhcGV4bWwueG1sUEsFBgAAAAAGAAYA&#10;WwEAALgDAAAAAA==&#10;" path="m0,67l73,67,96,0,119,67,192,67,133,108,156,175,96,134,36,175,59,108xe">
                  <v:path o:connectlocs="96,0;0,67;36,175;156,175;192,67" o:connectangles="247,164,82,82,0"/>
                  <v:fill on="t" focussize="0,0"/>
                  <v:stroke color="#000000" joinstyle="miter"/>
                  <v:imagedata o:title=""/>
                  <o:lock v:ext="edit" aspectratio="f"/>
                </v:shape>
              </v:group>
            </w:pict>
          </mc:Fallback>
        </mc:AlternateContent>
      </w:r>
      <w:r>
        <w:rPr>
          <w:color w:val="auto"/>
          <w:highlight w:val="none"/>
        </w:rPr>
        <w:drawing>
          <wp:inline distT="0" distB="0" distL="114300" distR="114300">
            <wp:extent cx="5741670" cy="7592695"/>
            <wp:effectExtent l="0" t="0" r="11430" b="8255"/>
            <wp:docPr id="49" name="图片 49" descr="大气功能区划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大气功能区划_07"/>
                    <pic:cNvPicPr>
                      <a:picLocks noChangeAspect="1"/>
                    </pic:cNvPicPr>
                  </pic:nvPicPr>
                  <pic:blipFill>
                    <a:blip r:embed="rId29"/>
                    <a:srcRect l="12270" t="17420" r="11718" b="11501"/>
                    <a:stretch>
                      <a:fillRect/>
                    </a:stretch>
                  </pic:blipFill>
                  <pic:spPr>
                    <a:xfrm>
                      <a:off x="0" y="0"/>
                      <a:ext cx="5741670" cy="7592695"/>
                    </a:xfrm>
                    <a:prstGeom prst="rect">
                      <a:avLst/>
                    </a:prstGeom>
                  </pic:spPr>
                </pic:pic>
              </a:graphicData>
            </a:graphic>
          </wp:inline>
        </w:drawing>
      </w:r>
    </w:p>
    <w:p w14:paraId="7F6C5950">
      <w:pPr>
        <w:pStyle w:val="204"/>
        <w:ind w:left="0" w:leftChars="0" w:firstLine="0" w:firstLineChars="0"/>
        <w:jc w:val="center"/>
        <w:outlineLvl w:val="0"/>
        <w:rPr>
          <w:color w:val="auto"/>
          <w:highlight w:val="none"/>
        </w:rPr>
      </w:pPr>
      <w:bookmarkStart w:id="109" w:name="_Toc15769"/>
      <w:bookmarkStart w:id="110" w:name="_Toc9682"/>
      <w:r>
        <w:rPr>
          <w:color w:val="auto"/>
          <w:highlight w:val="none"/>
        </w:rPr>
        <w:t>附图</w:t>
      </w:r>
      <w:r>
        <w:rPr>
          <w:rFonts w:hint="eastAsia"/>
          <w:color w:val="auto"/>
          <w:highlight w:val="none"/>
          <w:lang w:val="en-US" w:eastAsia="zh-CN"/>
        </w:rPr>
        <w:t>6</w:t>
      </w:r>
      <w:r>
        <w:rPr>
          <w:color w:val="auto"/>
          <w:highlight w:val="none"/>
        </w:rPr>
        <w:t>：</w:t>
      </w:r>
      <w:r>
        <w:rPr>
          <w:rFonts w:hint="eastAsia"/>
          <w:color w:val="auto"/>
          <w:highlight w:val="none"/>
        </w:rPr>
        <w:t>项目环境空气质量功能区划图</w:t>
      </w:r>
      <w:bookmarkEnd w:id="108"/>
      <w:bookmarkEnd w:id="109"/>
      <w:bookmarkEnd w:id="110"/>
    </w:p>
    <w:p w14:paraId="180A1D44">
      <w:pPr>
        <w:rPr>
          <w:rFonts w:hint="eastAsia"/>
          <w:b/>
          <w:bCs/>
          <w:color w:val="auto"/>
          <w:sz w:val="24"/>
          <w:highlight w:val="none"/>
          <w:lang w:val="zh-CN"/>
        </w:rPr>
      </w:pPr>
    </w:p>
    <w:p w14:paraId="5711726C">
      <w:pPr>
        <w:pStyle w:val="72"/>
        <w:framePr w:wrap="around"/>
        <w:ind w:firstLine="482"/>
        <w:rPr>
          <w:b/>
          <w:bCs/>
          <w:color w:val="auto"/>
          <w:highlight w:val="none"/>
          <w:lang w:val="zh-CN"/>
        </w:rPr>
      </w:pPr>
    </w:p>
    <w:p w14:paraId="535F8654">
      <w:pPr>
        <w:spacing w:line="360" w:lineRule="auto"/>
        <w:jc w:val="center"/>
        <w:rPr>
          <w:b/>
          <w:bCs/>
          <w:color w:val="auto"/>
          <w:sz w:val="24"/>
          <w:highlight w:val="none"/>
          <w:lang w:val="zh-CN"/>
        </w:rPr>
      </w:pPr>
      <w:r>
        <w:rPr>
          <w:b/>
          <w:bCs/>
          <w:color w:val="auto"/>
          <w:sz w:val="24"/>
          <w:highlight w:val="none"/>
          <w:lang w:val="zh-CN"/>
        </w:rPr>
        <w:br w:type="page"/>
      </w:r>
    </w:p>
    <w:p w14:paraId="12B13057">
      <w:pPr>
        <w:pStyle w:val="204"/>
        <w:jc w:val="center"/>
        <w:outlineLvl w:val="0"/>
        <w:rPr>
          <w:color w:val="auto"/>
          <w:highlight w:val="none"/>
        </w:rPr>
      </w:pPr>
      <w:bookmarkStart w:id="111" w:name="_Toc11017"/>
      <w:bookmarkStart w:id="112" w:name="_Toc24478"/>
      <w:r>
        <w:rPr>
          <w:rFonts w:hint="eastAsia"/>
          <w:color w:val="auto"/>
          <w:highlight w:val="none"/>
        </w:rPr>
        <w:drawing>
          <wp:anchor distT="0" distB="0" distL="114300" distR="114300" simplePos="0" relativeHeight="251665408" behindDoc="0" locked="0" layoutInCell="1" allowOverlap="1">
            <wp:simplePos x="0" y="0"/>
            <wp:positionH relativeFrom="column">
              <wp:posOffset>-17145</wp:posOffset>
            </wp:positionH>
            <wp:positionV relativeFrom="paragraph">
              <wp:posOffset>-22225</wp:posOffset>
            </wp:positionV>
            <wp:extent cx="5727065" cy="8195945"/>
            <wp:effectExtent l="0" t="0" r="6985" b="14605"/>
            <wp:wrapSquare wrapText="bothSides"/>
            <wp:docPr id="375" name="图片 119" descr="中山市水环境功能区划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图片 119" descr="中山市水环境功能区划示意图"/>
                    <pic:cNvPicPr>
                      <a:picLocks noChangeAspect="1"/>
                    </pic:cNvPicPr>
                  </pic:nvPicPr>
                  <pic:blipFill>
                    <a:blip r:embed="rId30"/>
                    <a:stretch>
                      <a:fillRect/>
                    </a:stretch>
                  </pic:blipFill>
                  <pic:spPr>
                    <a:xfrm>
                      <a:off x="0" y="0"/>
                      <a:ext cx="5727065" cy="8195945"/>
                    </a:xfrm>
                    <a:prstGeom prst="rect">
                      <a:avLst/>
                    </a:prstGeom>
                    <a:noFill/>
                    <a:ln>
                      <a:noFill/>
                    </a:ln>
                  </pic:spPr>
                </pic:pic>
              </a:graphicData>
            </a:graphic>
          </wp:anchor>
        </w:drawing>
      </w:r>
      <w:r>
        <w:rPr>
          <w:rFonts w:hint="eastAsia"/>
          <w:color w:val="auto"/>
          <w:highlight w:val="none"/>
        </w:rPr>
        <mc:AlternateContent>
          <mc:Choice Requires="wps">
            <w:drawing>
              <wp:anchor distT="0" distB="0" distL="114300" distR="114300" simplePos="0" relativeHeight="251666432" behindDoc="0" locked="0" layoutInCell="1" allowOverlap="1">
                <wp:simplePos x="0" y="0"/>
                <wp:positionH relativeFrom="column">
                  <wp:posOffset>2039620</wp:posOffset>
                </wp:positionH>
                <wp:positionV relativeFrom="paragraph">
                  <wp:posOffset>4123690</wp:posOffset>
                </wp:positionV>
                <wp:extent cx="944245" cy="341630"/>
                <wp:effectExtent l="35560" t="4445" r="10795" b="377825"/>
                <wp:wrapNone/>
                <wp:docPr id="378" name="矩形标注 378"/>
                <wp:cNvGraphicFramePr/>
                <a:graphic xmlns:a="http://schemas.openxmlformats.org/drawingml/2006/main">
                  <a:graphicData uri="http://schemas.microsoft.com/office/word/2010/wordprocessingShape">
                    <wps:wsp>
                      <wps:cNvSpPr/>
                      <wps:spPr>
                        <a:xfrm>
                          <a:off x="0" y="0"/>
                          <a:ext cx="944245" cy="341630"/>
                        </a:xfrm>
                        <a:prstGeom prst="wedgeRectCallout">
                          <a:avLst>
                            <a:gd name="adj1" fmla="val -52194"/>
                            <a:gd name="adj2" fmla="val 150931"/>
                          </a:avLst>
                        </a:prstGeom>
                        <a:solidFill>
                          <a:srgbClr val="FFFFFF"/>
                        </a:solidFill>
                        <a:ln w="9525" cap="flat" cmpd="sng">
                          <a:solidFill>
                            <a:srgbClr val="000000"/>
                          </a:solidFill>
                          <a:prstDash val="solid"/>
                          <a:miter/>
                          <a:headEnd type="none" w="med" len="med"/>
                          <a:tailEnd type="none" w="med" len="med"/>
                        </a:ln>
                      </wps:spPr>
                      <wps:txbx>
                        <w:txbxContent>
                          <w:p w14:paraId="38A0071E">
                            <w:pPr>
                              <w:rPr>
                                <w:sz w:val="20"/>
                                <w:szCs w:val="15"/>
                              </w:rPr>
                            </w:pPr>
                            <w:r>
                              <w:rPr>
                                <w:rFonts w:hint="eastAsia"/>
                                <w:sz w:val="20"/>
                                <w:szCs w:val="15"/>
                              </w:rPr>
                              <w:t>项目所在地</w:t>
                            </w:r>
                          </w:p>
                        </w:txbxContent>
                      </wps:txbx>
                      <wps:bodyPr upright="1"/>
                    </wps:wsp>
                  </a:graphicData>
                </a:graphic>
              </wp:anchor>
            </w:drawing>
          </mc:Choice>
          <mc:Fallback>
            <w:pict>
              <v:shape id="_x0000_s1026" o:spid="_x0000_s1026" o:spt="61" type="#_x0000_t61" style="position:absolute;left:0pt;margin-left:160.6pt;margin-top:324.7pt;height:26.9pt;width:74.35pt;z-index:251666432;mso-width-relative:page;mso-height-relative:page;" fillcolor="#FFFFFF" filled="t" stroked="t" coordsize="21600,21600" o:gfxdata="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OtNIldkAAAALAQAADwAAAAAAAAABACAAAAAiAAAAZHJzL2Rv&#10;d25yZXYueG1sUEsBAhQAFAAAAAgAh07iQGMLbtY5AgAAkQQAAA4AAAAAAAAAAQAgAAAAKAEAAGRy&#10;cy9lMm9Eb2MueG1sUEsFBgAAAAAGAAYAWQEAANMFAAAAAA==&#10;" adj="-474,43401">
                <v:fill on="t" focussize="0,0"/>
                <v:stroke color="#000000" joinstyle="miter"/>
                <v:imagedata o:title=""/>
                <o:lock v:ext="edit" aspectratio="f"/>
                <v:textbox>
                  <w:txbxContent>
                    <w:p w14:paraId="38A0071E">
                      <w:pPr>
                        <w:rPr>
                          <w:sz w:val="20"/>
                          <w:szCs w:val="15"/>
                        </w:rPr>
                      </w:pPr>
                      <w:r>
                        <w:rPr>
                          <w:rFonts w:hint="eastAsia"/>
                          <w:sz w:val="20"/>
                          <w:szCs w:val="15"/>
                        </w:rPr>
                        <w:t>项目所在地</w:t>
                      </w:r>
                    </w:p>
                  </w:txbxContent>
                </v:textbox>
              </v:shape>
            </w:pict>
          </mc:Fallback>
        </mc:AlternateContent>
      </w:r>
      <w:r>
        <w:rPr>
          <w:rFonts w:hint="eastAsia"/>
          <w:color w:val="auto"/>
          <w:highlight w:val="none"/>
        </w:rPr>
        <mc:AlternateContent>
          <mc:Choice Requires="wps">
            <w:drawing>
              <wp:anchor distT="0" distB="0" distL="114300" distR="114300" simplePos="0" relativeHeight="251667456" behindDoc="0" locked="0" layoutInCell="1" allowOverlap="1">
                <wp:simplePos x="0" y="0"/>
                <wp:positionH relativeFrom="column">
                  <wp:posOffset>1878965</wp:posOffset>
                </wp:positionH>
                <wp:positionV relativeFrom="paragraph">
                  <wp:posOffset>4776470</wp:posOffset>
                </wp:positionV>
                <wp:extent cx="129540" cy="127000"/>
                <wp:effectExtent l="14605" t="15875" r="27305" b="28575"/>
                <wp:wrapNone/>
                <wp:docPr id="379" name="五角星 379"/>
                <wp:cNvGraphicFramePr/>
                <a:graphic xmlns:a="http://schemas.openxmlformats.org/drawingml/2006/main">
                  <a:graphicData uri="http://schemas.microsoft.com/office/word/2010/wordprocessingShape">
                    <wps:wsp>
                      <wps:cNvSpPr/>
                      <wps:spPr>
                        <a:xfrm>
                          <a:off x="0" y="0"/>
                          <a:ext cx="129540" cy="127000"/>
                        </a:xfrm>
                        <a:prstGeom prst="star5">
                          <a:avLst/>
                        </a:prstGeom>
                        <a:solidFill>
                          <a:srgbClr val="000000"/>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style="position:absolute;left:0pt;margin-left:147.95pt;margin-top:376.1pt;height:10pt;width:10.2pt;z-index:251667456;mso-width-relative:page;mso-height-relative:page;" fillcolor="#000000" filled="t" stroked="t" coordsize="129540,127000" o:gfxdata="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U+ZTTZAAAACwEAAA8AAAAAAAAAAQAgAAAAIgAAAGRycy9k&#10;b3ducmV2LnhtbFBLAQIUABQAAAAIAIdO4kAWhpa5AQIAACUEAAAOAAAAAAAAAAEAIAAAACgBAABk&#10;cnMvZTJvRG9jLnhtbFBLBQYAAAAABgAGAFkBAACbBQAAAAA=&#10;" path="m0,48509l49480,48509,64770,0,80059,48509,129539,48509,89509,78489,104799,126999,64770,97018,24740,126999,40030,78489xe">
                <v:path o:connectlocs="64770,0;0,48509;24740,126999;104799,126999;129539,48509" o:connectangles="247,164,82,82,0"/>
                <v:fill on="t" focussize="0,0"/>
                <v:stroke color="#000000" joinstyle="miter"/>
                <v:imagedata o:title=""/>
                <o:lock v:ext="edit" aspectratio="f"/>
              </v:shape>
            </w:pict>
          </mc:Fallback>
        </mc:AlternateContent>
      </w:r>
      <w:bookmarkStart w:id="113" w:name="_Toc30133"/>
      <w:r>
        <w:rPr>
          <w:color w:val="auto"/>
          <w:highlight w:val="none"/>
        </w:rPr>
        <w:t>附图</w:t>
      </w:r>
      <w:r>
        <w:rPr>
          <w:rFonts w:hint="eastAsia"/>
          <w:color w:val="auto"/>
          <w:highlight w:val="none"/>
          <w:lang w:val="en-US" w:eastAsia="zh-CN"/>
        </w:rPr>
        <w:t>7</w:t>
      </w:r>
      <w:r>
        <w:rPr>
          <w:color w:val="auto"/>
          <w:highlight w:val="none"/>
        </w:rPr>
        <w:t>：</w:t>
      </w:r>
      <w:r>
        <w:rPr>
          <w:rFonts w:hint="eastAsia"/>
          <w:color w:val="auto"/>
          <w:highlight w:val="none"/>
        </w:rPr>
        <w:t>项目水环境功能区划图</w:t>
      </w:r>
      <w:bookmarkEnd w:id="111"/>
      <w:bookmarkEnd w:id="112"/>
      <w:bookmarkEnd w:id="113"/>
    </w:p>
    <w:p w14:paraId="32983BB2">
      <w:pPr>
        <w:spacing w:line="360" w:lineRule="auto"/>
        <w:ind w:firstLine="482"/>
        <w:jc w:val="center"/>
        <w:rPr>
          <w:b/>
          <w:bCs/>
          <w:color w:val="auto"/>
          <w:sz w:val="24"/>
          <w:szCs w:val="20"/>
          <w:highlight w:val="none"/>
        </w:rPr>
        <w:sectPr>
          <w:pgSz w:w="11906" w:h="16838"/>
          <w:pgMar w:top="1418" w:right="1418" w:bottom="1418" w:left="1418" w:header="851" w:footer="992" w:gutter="0"/>
          <w:pgNumType w:fmt="decimal"/>
          <w:cols w:space="720" w:num="1"/>
          <w:docGrid w:type="lines" w:linePitch="312" w:charSpace="0"/>
        </w:sectPr>
      </w:pPr>
    </w:p>
    <w:p w14:paraId="1536D716">
      <w:pPr>
        <w:tabs>
          <w:tab w:val="left" w:pos="6978"/>
        </w:tabs>
        <w:spacing w:line="360" w:lineRule="auto"/>
        <w:jc w:val="center"/>
        <w:rPr>
          <w:color w:val="auto"/>
          <w:highlight w:val="none"/>
        </w:rPr>
      </w:pPr>
      <w:r>
        <w:rPr>
          <w:color w:val="auto"/>
          <w:sz w:val="24"/>
        </w:rPr>
        <mc:AlternateContent>
          <mc:Choice Requires="wps">
            <w:drawing>
              <wp:anchor distT="0" distB="0" distL="114300" distR="114300" simplePos="0" relativeHeight="251671552" behindDoc="0" locked="0" layoutInCell="1" allowOverlap="1">
                <wp:simplePos x="0" y="0"/>
                <wp:positionH relativeFrom="column">
                  <wp:posOffset>2519680</wp:posOffset>
                </wp:positionH>
                <wp:positionV relativeFrom="paragraph">
                  <wp:posOffset>3652520</wp:posOffset>
                </wp:positionV>
                <wp:extent cx="98425" cy="93980"/>
                <wp:effectExtent l="13335" t="12700" r="21590" b="26670"/>
                <wp:wrapNone/>
                <wp:docPr id="373" name="十字星 373"/>
                <wp:cNvGraphicFramePr/>
                <a:graphic xmlns:a="http://schemas.openxmlformats.org/drawingml/2006/main">
                  <a:graphicData uri="http://schemas.microsoft.com/office/word/2010/wordprocessingShape">
                    <wps:wsp>
                      <wps:cNvSpPr/>
                      <wps:spPr>
                        <a:xfrm>
                          <a:off x="3477260" y="4761230"/>
                          <a:ext cx="98425" cy="93980"/>
                        </a:xfrm>
                        <a:prstGeom prst="star4">
                          <a:avLst>
                            <a:gd name="adj" fmla="val 20000"/>
                          </a:avLst>
                        </a:prstGeom>
                        <a:solidFill>
                          <a:srgbClr val="FF0000"/>
                        </a:solidFill>
                        <a:ln w="9525" cap="flat" cmpd="sng">
                          <a:solidFill>
                            <a:srgbClr val="000000"/>
                          </a:solidFill>
                          <a:prstDash val="solid"/>
                          <a:miter/>
                          <a:headEnd type="none" w="med" len="med"/>
                          <a:tailEnd type="none" w="med" len="med"/>
                        </a:ln>
                      </wps:spPr>
                      <wps:txbx>
                        <w:txbxContent>
                          <w:p w14:paraId="62C2E571"/>
                        </w:txbxContent>
                      </wps:txbx>
                      <wps:bodyPr upright="1"/>
                    </wps:wsp>
                  </a:graphicData>
                </a:graphic>
              </wp:anchor>
            </w:drawing>
          </mc:Choice>
          <mc:Fallback>
            <w:pict>
              <v:shape id="_x0000_s1026" o:spid="_x0000_s1026" o:spt="187" type="#_x0000_t187" style="position:absolute;left:0pt;margin-left:198.4pt;margin-top:287.6pt;height:7.4pt;width:7.75pt;z-index:251671552;mso-width-relative:page;mso-height-relative:page;" fillcolor="#FF0000" filled="t" stroked="t" coordsize="21600,21600" o:gfxdata="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JA/IeLdAAAACwEAAA8AAAAAAAAAAQAgAAAAIgAAAGRycy9kb3ducmV2LnhtbFBLAQIUABQA&#10;AAAIAIdO4kBUKP2kJAIAAGYEAAAOAAAAAAAAAAEAIAAAACwBAABkcnMvZTJvRG9jLnhtbFBLBQYA&#10;AAAABgAGAFkBAADCBQAAAAA=&#10;" adj="6480">
                <v:fill on="t" focussize="0,0"/>
                <v:stroke color="#000000" joinstyle="miter"/>
                <v:imagedata o:title=""/>
                <o:lock v:ext="edit" aspectratio="f"/>
                <v:textbox>
                  <w:txbxContent>
                    <w:p w14:paraId="62C2E571"/>
                  </w:txbxContent>
                </v:textbox>
              </v:shape>
            </w:pict>
          </mc:Fallback>
        </mc:AlternateContent>
      </w:r>
      <w:r>
        <w:rPr>
          <w:color w:val="auto"/>
          <w:sz w:val="24"/>
        </w:rPr>
        <mc:AlternateContent>
          <mc:Choice Requires="wps">
            <w:drawing>
              <wp:anchor distT="0" distB="0" distL="114300" distR="114300" simplePos="0" relativeHeight="251670528" behindDoc="0" locked="0" layoutInCell="1" allowOverlap="1">
                <wp:simplePos x="0" y="0"/>
                <wp:positionH relativeFrom="column">
                  <wp:posOffset>2737485</wp:posOffset>
                </wp:positionH>
                <wp:positionV relativeFrom="paragraph">
                  <wp:posOffset>3025775</wp:posOffset>
                </wp:positionV>
                <wp:extent cx="927735" cy="299720"/>
                <wp:effectExtent l="147320" t="4445" r="10795" b="400685"/>
                <wp:wrapNone/>
                <wp:docPr id="372" name="矩形标注 372"/>
                <wp:cNvGraphicFramePr/>
                <a:graphic xmlns:a="http://schemas.openxmlformats.org/drawingml/2006/main">
                  <a:graphicData uri="http://schemas.microsoft.com/office/word/2010/wordprocessingShape">
                    <wps:wsp>
                      <wps:cNvSpPr/>
                      <wps:spPr>
                        <a:xfrm>
                          <a:off x="2430145" y="5306695"/>
                          <a:ext cx="927735" cy="299720"/>
                        </a:xfrm>
                        <a:prstGeom prst="wedgeRectCallout">
                          <a:avLst>
                            <a:gd name="adj1" fmla="val -63415"/>
                            <a:gd name="adj2" fmla="val 176059"/>
                          </a:avLst>
                        </a:prstGeom>
                        <a:solidFill>
                          <a:srgbClr val="FFFFFF"/>
                        </a:solidFill>
                        <a:ln w="9525" cap="flat" cmpd="sng">
                          <a:solidFill>
                            <a:srgbClr val="000000"/>
                          </a:solidFill>
                          <a:prstDash val="solid"/>
                          <a:miter/>
                          <a:headEnd type="none" w="med" len="med"/>
                          <a:tailEnd type="none" w="med" len="med"/>
                        </a:ln>
                      </wps:spPr>
                      <wps:txbx>
                        <w:txbxContent>
                          <w:p w14:paraId="58311181">
                            <w:pPr>
                              <w:spacing w:line="300" w:lineRule="exact"/>
                            </w:pPr>
                            <w:r>
                              <w:rPr>
                                <w:rFonts w:hint="eastAsia"/>
                              </w:rPr>
                              <w:t>项目所在地</w:t>
                            </w:r>
                          </w:p>
                        </w:txbxContent>
                      </wps:txbx>
                      <wps:bodyPr upright="1"/>
                    </wps:wsp>
                  </a:graphicData>
                </a:graphic>
              </wp:anchor>
            </w:drawing>
          </mc:Choice>
          <mc:Fallback>
            <w:pict>
              <v:shape id="_x0000_s1026" o:spid="_x0000_s1026" o:spt="61" type="#_x0000_t61" style="position:absolute;left:0pt;margin-left:215.55pt;margin-top:238.25pt;height:23.6pt;width:73.05pt;z-index:251670528;mso-width-relative:page;mso-height-relative:page;" fillcolor="#FFFFFF" filled="t" stroked="t" coordsize="21600,21600" o:gfxdata="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25e3i2wAAAAsBAAAPAAAAAAAA&#10;AAEAIAAAACIAAABkcnMvZG93bnJldi54bWxQSwECFAAUAAAACACHTuJAPfQBe0gCAACdBAAADgAA&#10;AAAAAAABACAAAAAqAQAAZHJzL2Uyb0RvYy54bWxQSwUGAAAAAAYABgBZAQAA5AUAAAAA&#10;" adj="-2898,48829">
                <v:fill on="t" focussize="0,0"/>
                <v:stroke color="#000000" joinstyle="miter"/>
                <v:imagedata o:title=""/>
                <o:lock v:ext="edit" aspectratio="f"/>
                <v:textbox>
                  <w:txbxContent>
                    <w:p w14:paraId="58311181">
                      <w:pPr>
                        <w:spacing w:line="300" w:lineRule="exact"/>
                      </w:pPr>
                      <w:r>
                        <w:rPr>
                          <w:rFonts w:hint="eastAsia"/>
                        </w:rPr>
                        <w:t>项目所在地</w:t>
                      </w:r>
                    </w:p>
                  </w:txbxContent>
                </v:textbox>
              </v:shape>
            </w:pict>
          </mc:Fallback>
        </mc:AlternateContent>
      </w:r>
      <w:r>
        <w:rPr>
          <w:color w:val="auto"/>
          <w:highlight w:val="none"/>
        </w:rPr>
        <w:drawing>
          <wp:inline distT="0" distB="0" distL="114300" distR="114300">
            <wp:extent cx="7204710" cy="5012690"/>
            <wp:effectExtent l="0" t="0" r="15240" b="16510"/>
            <wp:docPr id="6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0"/>
                    <pic:cNvPicPr>
                      <a:picLocks noChangeAspect="1"/>
                    </pic:cNvPicPr>
                  </pic:nvPicPr>
                  <pic:blipFill>
                    <a:blip r:embed="rId31"/>
                    <a:srcRect l="1176" t="1826" r="717" b="1572"/>
                    <a:stretch>
                      <a:fillRect/>
                    </a:stretch>
                  </pic:blipFill>
                  <pic:spPr>
                    <a:xfrm>
                      <a:off x="0" y="0"/>
                      <a:ext cx="7204710" cy="5012690"/>
                    </a:xfrm>
                    <a:prstGeom prst="rect">
                      <a:avLst/>
                    </a:prstGeom>
                    <a:noFill/>
                    <a:ln>
                      <a:noFill/>
                    </a:ln>
                  </pic:spPr>
                </pic:pic>
              </a:graphicData>
            </a:graphic>
          </wp:inline>
        </w:drawing>
      </w:r>
      <w:bookmarkStart w:id="114" w:name="_Toc5255"/>
    </w:p>
    <w:p w14:paraId="73E61C0A">
      <w:pPr>
        <w:tabs>
          <w:tab w:val="left" w:pos="6978"/>
        </w:tabs>
        <w:spacing w:line="360" w:lineRule="auto"/>
        <w:ind w:firstLine="482"/>
        <w:jc w:val="center"/>
        <w:outlineLvl w:val="0"/>
        <w:rPr>
          <w:b/>
          <w:bCs/>
          <w:color w:val="auto"/>
          <w:sz w:val="24"/>
          <w:highlight w:val="none"/>
          <w:lang w:val="zh-CN"/>
        </w:rPr>
      </w:pPr>
      <w:bookmarkStart w:id="115" w:name="_Toc9728"/>
      <w:bookmarkStart w:id="116" w:name="_Toc19533"/>
      <w:r>
        <w:rPr>
          <w:rFonts w:hint="eastAsia"/>
          <w:b/>
          <w:bCs/>
          <w:color w:val="auto"/>
          <w:sz w:val="24"/>
          <w:highlight w:val="none"/>
          <w:lang w:val="zh-CN"/>
        </w:rPr>
        <w:t>附图</w:t>
      </w:r>
      <w:r>
        <w:rPr>
          <w:rFonts w:hint="eastAsia"/>
          <w:b/>
          <w:bCs/>
          <w:color w:val="auto"/>
          <w:sz w:val="24"/>
          <w:highlight w:val="none"/>
          <w:lang w:val="en-US" w:eastAsia="zh-CN"/>
        </w:rPr>
        <w:t>8</w:t>
      </w:r>
      <w:r>
        <w:rPr>
          <w:rFonts w:hint="eastAsia"/>
          <w:b/>
          <w:bCs/>
          <w:color w:val="auto"/>
          <w:sz w:val="24"/>
          <w:highlight w:val="none"/>
          <w:lang w:val="zh-CN"/>
        </w:rPr>
        <w:t>：</w:t>
      </w:r>
      <w:r>
        <w:rPr>
          <w:b/>
          <w:bCs/>
          <w:color w:val="auto"/>
          <w:sz w:val="24"/>
          <w:highlight w:val="none"/>
          <w:lang w:val="zh-CN"/>
        </w:rPr>
        <w:t>项目声</w:t>
      </w:r>
      <w:r>
        <w:rPr>
          <w:rFonts w:hint="eastAsia"/>
          <w:b/>
          <w:bCs/>
          <w:color w:val="auto"/>
          <w:sz w:val="24"/>
          <w:highlight w:val="none"/>
        </w:rPr>
        <w:t>环境</w:t>
      </w:r>
      <w:r>
        <w:rPr>
          <w:b/>
          <w:bCs/>
          <w:color w:val="auto"/>
          <w:sz w:val="24"/>
          <w:highlight w:val="none"/>
          <w:lang w:val="zh-CN"/>
        </w:rPr>
        <w:t>功能</w:t>
      </w:r>
      <w:r>
        <w:rPr>
          <w:rFonts w:hint="eastAsia"/>
          <w:b/>
          <w:bCs/>
          <w:color w:val="auto"/>
          <w:sz w:val="24"/>
          <w:highlight w:val="none"/>
        </w:rPr>
        <w:t>区划</w:t>
      </w:r>
      <w:r>
        <w:rPr>
          <w:b/>
          <w:bCs/>
          <w:color w:val="auto"/>
          <w:sz w:val="24"/>
          <w:highlight w:val="none"/>
          <w:lang w:val="zh-CN"/>
        </w:rPr>
        <w:t>图</w:t>
      </w:r>
      <w:bookmarkEnd w:id="114"/>
      <w:bookmarkEnd w:id="115"/>
      <w:bookmarkEnd w:id="116"/>
    </w:p>
    <w:p w14:paraId="5DCE9C8C">
      <w:pPr>
        <w:spacing w:line="360" w:lineRule="auto"/>
        <w:ind w:firstLine="482"/>
        <w:jc w:val="center"/>
        <w:rPr>
          <w:b/>
          <w:bCs/>
          <w:color w:val="auto"/>
          <w:sz w:val="24"/>
          <w:highlight w:val="none"/>
          <w:lang w:val="zh-CN"/>
        </w:rPr>
        <w:sectPr>
          <w:pgSz w:w="16838" w:h="11906" w:orient="landscape"/>
          <w:pgMar w:top="1701" w:right="1531" w:bottom="1701" w:left="1531" w:header="851" w:footer="851" w:gutter="0"/>
          <w:pgNumType w:fmt="decimal"/>
          <w:cols w:space="720" w:num="1"/>
          <w:docGrid w:linePitch="312" w:charSpace="0"/>
        </w:sectPr>
      </w:pPr>
    </w:p>
    <w:p w14:paraId="5A589CDF">
      <w:pPr>
        <w:pStyle w:val="204"/>
        <w:ind w:firstLine="0" w:firstLineChars="0"/>
        <w:jc w:val="center"/>
        <w:rPr>
          <w:bCs/>
          <w:color w:val="auto"/>
          <w:highlight w:val="none"/>
          <w:lang w:val="en-GB"/>
        </w:rPr>
      </w:pPr>
      <w:r>
        <w:rPr>
          <w:bCs/>
          <w:color w:val="auto"/>
          <w:highlight w:val="none"/>
          <w:lang w:val="en-US"/>
        </w:rPr>
        <mc:AlternateContent>
          <mc:Choice Requires="wps">
            <w:drawing>
              <wp:anchor distT="0" distB="0" distL="114300" distR="114300" simplePos="0" relativeHeight="251664384" behindDoc="0" locked="0" layoutInCell="1" allowOverlap="1">
                <wp:simplePos x="0" y="0"/>
                <wp:positionH relativeFrom="column">
                  <wp:posOffset>1383665</wp:posOffset>
                </wp:positionH>
                <wp:positionV relativeFrom="paragraph">
                  <wp:posOffset>2312670</wp:posOffset>
                </wp:positionV>
                <wp:extent cx="1237615" cy="285750"/>
                <wp:effectExtent l="6350" t="6350" r="32385" b="355600"/>
                <wp:wrapNone/>
                <wp:docPr id="112" name="自选图形 139"/>
                <wp:cNvGraphicFramePr/>
                <a:graphic xmlns:a="http://schemas.openxmlformats.org/drawingml/2006/main">
                  <a:graphicData uri="http://schemas.microsoft.com/office/word/2010/wordprocessingShape">
                    <wps:wsp>
                      <wps:cNvSpPr/>
                      <wps:spPr>
                        <a:xfrm>
                          <a:off x="0" y="0"/>
                          <a:ext cx="1237615" cy="285750"/>
                        </a:xfrm>
                        <a:prstGeom prst="wedgeRectCallout">
                          <a:avLst>
                            <a:gd name="adj1" fmla="val 50306"/>
                            <a:gd name="adj2" fmla="val 162667"/>
                          </a:avLst>
                        </a:prstGeom>
                        <a:solidFill>
                          <a:srgbClr val="FFFFFF"/>
                        </a:solidFill>
                        <a:ln w="12700" cap="flat" cmpd="sng">
                          <a:solidFill>
                            <a:srgbClr val="000000"/>
                          </a:solidFill>
                          <a:prstDash val="solid"/>
                          <a:miter/>
                          <a:headEnd type="none" w="med" len="med"/>
                          <a:tailEnd type="none" w="med" len="med"/>
                        </a:ln>
                        <a:effectLst/>
                      </wps:spPr>
                      <wps:txbx>
                        <w:txbxContent>
                          <w:p w14:paraId="2C56D404">
                            <w:pPr>
                              <w:jc w:val="center"/>
                              <w:rPr>
                                <w:color w:val="000000"/>
                                <w:sz w:val="24"/>
                              </w:rPr>
                            </w:pPr>
                            <w:r>
                              <w:rPr>
                                <w:rFonts w:hint="eastAsia"/>
                                <w:color w:val="000000"/>
                                <w:sz w:val="24"/>
                              </w:rPr>
                              <w:t>项目所在地</w:t>
                            </w:r>
                          </w:p>
                          <w:p w14:paraId="1A1063F7">
                            <w:pPr>
                              <w:rPr>
                                <w:sz w:val="24"/>
                              </w:rPr>
                            </w:pPr>
                            <w:r>
                              <w:rPr>
                                <w:rFonts w:hint="eastAsia"/>
                                <w:sz w:val="24"/>
                              </w:rPr>
                              <w:t>在地</w:t>
                            </w:r>
                          </w:p>
                        </w:txbxContent>
                      </wps:txbx>
                      <wps:bodyPr anchor="ctr" anchorCtr="0" upright="1"/>
                    </wps:wsp>
                  </a:graphicData>
                </a:graphic>
              </wp:anchor>
            </w:drawing>
          </mc:Choice>
          <mc:Fallback>
            <w:pict>
              <v:shape id="自选图形 139" o:spid="_x0000_s1026" o:spt="61" type="#_x0000_t61" style="position:absolute;left:0pt;margin-left:108.95pt;margin-top:182.1pt;height:22.5pt;width:97.45pt;z-index:251664384;v-text-anchor:middle;mso-width-relative:page;mso-height-relative:page;" fillcolor="#FFFFFF" filled="t" stroked="t" coordsize="21600,21600" o:gfxdata="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PiyyOTZAAAACwEA&#10;AA8AAAAAAAAAAQAgAAAAIgAAAGRycy9kb3ducmV2LnhtbFBLAQIUABQAAAAIAIdO4kCANK1DUgIA&#10;ALsEAAAOAAAAAAAAAAEAIAAAACgBAABkcnMvZTJvRG9jLnhtbFBLBQYAAAAABgAGAFkBAADsBQAA&#10;AAA=&#10;" adj="21666,45936">
                <v:fill on="t" focussize="0,0"/>
                <v:stroke weight="1pt" color="#000000" joinstyle="miter"/>
                <v:imagedata o:title=""/>
                <o:lock v:ext="edit" aspectratio="f"/>
                <v:textbox>
                  <w:txbxContent>
                    <w:p w14:paraId="2C56D404">
                      <w:pPr>
                        <w:jc w:val="center"/>
                        <w:rPr>
                          <w:color w:val="000000"/>
                          <w:sz w:val="24"/>
                        </w:rPr>
                      </w:pPr>
                      <w:r>
                        <w:rPr>
                          <w:rFonts w:hint="eastAsia"/>
                          <w:color w:val="000000"/>
                          <w:sz w:val="24"/>
                        </w:rPr>
                        <w:t>项目所在地</w:t>
                      </w:r>
                    </w:p>
                    <w:p w14:paraId="1A1063F7">
                      <w:pPr>
                        <w:rPr>
                          <w:sz w:val="24"/>
                        </w:rPr>
                      </w:pPr>
                      <w:r>
                        <w:rPr>
                          <w:rFonts w:hint="eastAsia"/>
                          <w:sz w:val="24"/>
                        </w:rPr>
                        <w:t>在地</w:t>
                      </w:r>
                    </w:p>
                  </w:txbxContent>
                </v:textbox>
              </v:shape>
            </w:pict>
          </mc:Fallback>
        </mc:AlternateContent>
      </w:r>
      <w:r>
        <w:rPr>
          <w:bCs/>
          <w:color w:val="auto"/>
          <w:highlight w:val="none"/>
          <w:lang w:val="en-US"/>
        </w:rPr>
        <mc:AlternateContent>
          <mc:Choice Requires="wps">
            <w:drawing>
              <wp:anchor distT="0" distB="0" distL="114300" distR="114300" simplePos="0" relativeHeight="251663360" behindDoc="0" locked="0" layoutInCell="1" allowOverlap="1">
                <wp:simplePos x="0" y="0"/>
                <wp:positionH relativeFrom="column">
                  <wp:posOffset>2592070</wp:posOffset>
                </wp:positionH>
                <wp:positionV relativeFrom="paragraph">
                  <wp:posOffset>2872740</wp:posOffset>
                </wp:positionV>
                <wp:extent cx="123825" cy="123825"/>
                <wp:effectExtent l="19050" t="21590" r="28575" b="26035"/>
                <wp:wrapNone/>
                <wp:docPr id="111" name="任意多边形 138"/>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FFFF00"/>
                        </a:solid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任意多边形 138" o:spid="_x0000_s1026" style="position:absolute;left:0pt;margin-left:204.1pt;margin-top:226.2pt;height:9.75pt;width:9.75pt;z-index:251663360;v-text-anchor:middle;mso-width-relative:page;mso-height-relative:page;" fillcolor="#FFFF00" filled="t" stroked="t" coordsize="123825,123825" o:gfxdata="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AoGwUd2AAAAAsBAAAPAAAAAAAA&#10;AAEAIAAAACIAAABkcnMvZG93bnJldi54bWxQSwECFAAUAAAACACHTuJADPRx5IQCAAAPBQAADgAA&#10;AAAAAAABACAAAAAnAQAAZHJzL2Uyb0RvYy54bWxQSwUGAAAAAAYABgBZAQAAHQYAAAAA&#10;" path="m0,47296l47297,47297,61912,0,76527,47297,123824,47296,85560,76527,100176,123824,61912,94593,23648,123824,38264,76527xe">
                <v:path o:connectlocs="61912,0;0,47296;23648,123824;100176,123824;123824,47296" o:connectangles="247,164,82,82,0"/>
                <v:fill on="t" focussize="0,0"/>
                <v:stroke weight="1pt" color="#000000" miterlimit="8" joinstyle="miter"/>
                <v:imagedata o:title=""/>
                <o:lock v:ext="edit" aspectratio="f"/>
              </v:shape>
            </w:pict>
          </mc:Fallback>
        </mc:AlternateContent>
      </w:r>
      <w:r>
        <w:rPr>
          <w:color w:val="auto"/>
          <w:highlight w:val="none"/>
        </w:rPr>
        <w:drawing>
          <wp:inline distT="0" distB="0" distL="114300" distR="114300">
            <wp:extent cx="8308975" cy="5295265"/>
            <wp:effectExtent l="0" t="0" r="15875" b="635"/>
            <wp:docPr id="4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1"/>
                    <pic:cNvPicPr>
                      <a:picLocks noChangeAspect="1"/>
                    </pic:cNvPicPr>
                  </pic:nvPicPr>
                  <pic:blipFill>
                    <a:blip r:embed="rId32"/>
                    <a:stretch>
                      <a:fillRect/>
                    </a:stretch>
                  </pic:blipFill>
                  <pic:spPr>
                    <a:xfrm>
                      <a:off x="0" y="0"/>
                      <a:ext cx="8308975" cy="5295265"/>
                    </a:xfrm>
                    <a:prstGeom prst="rect">
                      <a:avLst/>
                    </a:prstGeom>
                    <a:noFill/>
                    <a:ln>
                      <a:noFill/>
                    </a:ln>
                  </pic:spPr>
                </pic:pic>
              </a:graphicData>
            </a:graphic>
          </wp:inline>
        </w:drawing>
      </w:r>
    </w:p>
    <w:p w14:paraId="1486F413">
      <w:pPr>
        <w:pStyle w:val="204"/>
        <w:jc w:val="center"/>
        <w:outlineLvl w:val="0"/>
        <w:rPr>
          <w:color w:val="auto"/>
          <w:highlight w:val="none"/>
        </w:rPr>
        <w:sectPr>
          <w:pgSz w:w="16838" w:h="11906" w:orient="landscape"/>
          <w:pgMar w:top="1531" w:right="1701" w:bottom="1531" w:left="1701" w:header="851" w:footer="567" w:gutter="0"/>
          <w:pgNumType w:fmt="decimal"/>
          <w:cols w:space="0" w:num="1"/>
          <w:docGrid w:linePitch="312" w:charSpace="0"/>
        </w:sectPr>
      </w:pPr>
      <w:bookmarkStart w:id="117" w:name="_Toc8888"/>
      <w:bookmarkStart w:id="118" w:name="_Toc18743"/>
      <w:r>
        <w:rPr>
          <w:color w:val="auto"/>
          <w:highlight w:val="none"/>
        </w:rPr>
        <w:t>附图</w:t>
      </w:r>
      <w:r>
        <w:rPr>
          <w:rFonts w:hint="eastAsia"/>
          <w:bCs/>
          <w:color w:val="auto"/>
          <w:highlight w:val="none"/>
          <w:lang w:val="en-US" w:eastAsia="zh-CN"/>
        </w:rPr>
        <w:t>9</w:t>
      </w:r>
      <w:r>
        <w:rPr>
          <w:color w:val="auto"/>
          <w:highlight w:val="none"/>
        </w:rPr>
        <w:t>：中山市环境管控单元图</w:t>
      </w:r>
      <w:bookmarkEnd w:id="117"/>
      <w:bookmarkEnd w:id="118"/>
    </w:p>
    <w:p w14:paraId="42AAD38B">
      <w:pPr>
        <w:jc w:val="center"/>
        <w:rPr>
          <w:b/>
          <w:bCs/>
          <w:color w:val="auto"/>
          <w:highlight w:val="none"/>
        </w:rPr>
      </w:pPr>
      <w:r>
        <w:rPr>
          <w:color w:val="auto"/>
          <w:highlight w:val="none"/>
        </w:rPr>
        <mc:AlternateContent>
          <mc:Choice Requires="wps">
            <w:drawing>
              <wp:anchor distT="0" distB="0" distL="114300" distR="114300" simplePos="0" relativeHeight="251668480" behindDoc="0" locked="0" layoutInCell="1" allowOverlap="1">
                <wp:simplePos x="0" y="0"/>
                <wp:positionH relativeFrom="column">
                  <wp:posOffset>2261235</wp:posOffset>
                </wp:positionH>
                <wp:positionV relativeFrom="paragraph">
                  <wp:posOffset>4877435</wp:posOffset>
                </wp:positionV>
                <wp:extent cx="76200" cy="76200"/>
                <wp:effectExtent l="22860" t="2540" r="34290" b="35560"/>
                <wp:wrapNone/>
                <wp:docPr id="23" name="十字星 23"/>
                <wp:cNvGraphicFramePr/>
                <a:graphic xmlns:a="http://schemas.openxmlformats.org/drawingml/2006/main">
                  <a:graphicData uri="http://schemas.microsoft.com/office/word/2010/wordprocessingShape">
                    <wps:wsp>
                      <wps:cNvSpPr/>
                      <wps:spPr>
                        <a:xfrm>
                          <a:off x="0" y="0"/>
                          <a:ext cx="76200" cy="76200"/>
                        </a:xfrm>
                        <a:prstGeom prst="star4">
                          <a:avLst>
                            <a:gd name="adj" fmla="val 12500"/>
                          </a:avLst>
                        </a:pr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shape id="_x0000_s1026" o:spid="_x0000_s1026" o:spt="187" type="#_x0000_t187" style="position:absolute;left:0pt;margin-left:178.05pt;margin-top:384.05pt;height:6pt;width:6pt;z-index:251668480;mso-width-relative:page;mso-height-relative:page;" fillcolor="#FF0000" filled="t" stroked="t" coordsize="21600,21600" o:gfxdata="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AS7+2nYAAAACwEAAA8AAAAAAAAA&#10;AQAgAAAAIgAAAGRycy9kb3ducmV2LnhtbFBLAQIUABQAAAAIAIdO4kDEjYaDEQIAAE0EAAAOAAAA&#10;AAAAAAEAIAAAACcBAABkcnMvZTJvRG9jLnhtbFBLBQYAAAAABgAGAFkBAACqBQAAAAA=&#10;" adj="8100">
                <v:fill on="t" focussize="0,0"/>
                <v:stroke color="#FF0000" joinstyle="miter"/>
                <v:imagedata o:title=""/>
                <o:lock v:ext="edit" aspectratio="f"/>
              </v:shape>
            </w:pict>
          </mc:Fallback>
        </mc:AlternateContent>
      </w:r>
      <w:bookmarkStart w:id="121" w:name="_GoBack"/>
      <w:bookmarkEnd w:id="121"/>
      <w:r>
        <w:rPr>
          <w:color w:val="auto"/>
          <w:highlight w:val="none"/>
        </w:rPr>
        <mc:AlternateContent>
          <mc:Choice Requires="wps">
            <w:drawing>
              <wp:anchor distT="0" distB="0" distL="114300" distR="114300" simplePos="0" relativeHeight="251669504" behindDoc="0" locked="0" layoutInCell="1" allowOverlap="1">
                <wp:simplePos x="0" y="0"/>
                <wp:positionH relativeFrom="column">
                  <wp:posOffset>2991485</wp:posOffset>
                </wp:positionH>
                <wp:positionV relativeFrom="paragraph">
                  <wp:posOffset>5029835</wp:posOffset>
                </wp:positionV>
                <wp:extent cx="932180" cy="301625"/>
                <wp:effectExtent l="681355" t="127635" r="5715" b="8890"/>
                <wp:wrapNone/>
                <wp:docPr id="18" name="矩形标注 18"/>
                <wp:cNvGraphicFramePr/>
                <a:graphic xmlns:a="http://schemas.openxmlformats.org/drawingml/2006/main">
                  <a:graphicData uri="http://schemas.microsoft.com/office/word/2010/wordprocessingShape">
                    <wps:wsp>
                      <wps:cNvSpPr/>
                      <wps:spPr>
                        <a:xfrm flipV="1">
                          <a:off x="0" y="0"/>
                          <a:ext cx="932180" cy="301625"/>
                        </a:xfrm>
                        <a:prstGeom prst="wedgeRectCallout">
                          <a:avLst>
                            <a:gd name="adj1" fmla="val -119073"/>
                            <a:gd name="adj2" fmla="val 87684"/>
                          </a:avLst>
                        </a:prstGeom>
                        <a:solidFill>
                          <a:srgbClr val="FFFFFF">
                            <a:alpha val="50000"/>
                          </a:srgbClr>
                        </a:solidFill>
                        <a:ln w="9525" cap="flat" cmpd="sng">
                          <a:solidFill>
                            <a:srgbClr val="000000"/>
                          </a:solidFill>
                          <a:prstDash val="solid"/>
                          <a:miter/>
                          <a:headEnd type="none" w="med" len="med"/>
                          <a:tailEnd type="none" w="med" len="med"/>
                        </a:ln>
                      </wps:spPr>
                      <wps:txbx>
                        <w:txbxContent>
                          <w:p w14:paraId="49D2DDF8">
                            <w:pPr>
                              <w:jc w:val="center"/>
                              <w:rPr>
                                <w:szCs w:val="21"/>
                              </w:rPr>
                            </w:pPr>
                            <w:r>
                              <w:rPr>
                                <w:rFonts w:hint="eastAsia"/>
                                <w:szCs w:val="21"/>
                              </w:rPr>
                              <w:t>项目所在地</w:t>
                            </w:r>
                          </w:p>
                        </w:txbxContent>
                      </wps:txbx>
                      <wps:bodyPr lIns="91439" tIns="45720" rIns="91439" bIns="45720" upright="1"/>
                    </wps:wsp>
                  </a:graphicData>
                </a:graphic>
              </wp:anchor>
            </w:drawing>
          </mc:Choice>
          <mc:Fallback>
            <w:pict>
              <v:shape id="_x0000_s1026" o:spid="_x0000_s1026" o:spt="61" type="#_x0000_t61" style="position:absolute;left:0pt;flip:y;margin-left:235.55pt;margin-top:396.05pt;height:23.75pt;width:73.4pt;z-index:251669504;mso-width-relative:page;mso-height-relative:page;" fillcolor="#FFFFFF" filled="t" stroked="t" coordsize="21600,21600" o:gfxdata="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MoJ2BtkAAAALAQAADwAAAAAAAAABACAAAAAiAAAAZHJzL2Rvd25yZXYueG1s&#10;UEsBAhQAFAAAAAgAh07iQNOkyNdpAgAA7gQAAA4AAAAAAAAAAQAgAAAAKAEAAGRycy9lMm9Eb2Mu&#10;eG1sUEsFBgAAAAAGAAYAWQEAAAMGAAAAAA==&#10;" adj="-14920,29740">
                <v:fill on="t" opacity="32768f" focussize="0,0"/>
                <v:stroke color="#000000" joinstyle="miter"/>
                <v:imagedata o:title=""/>
                <o:lock v:ext="edit" aspectratio="f"/>
                <v:textbox inset="7.19992125984252pt,1.27mm,7.19992125984252pt,1.27mm">
                  <w:txbxContent>
                    <w:p w14:paraId="49D2DDF8">
                      <w:pPr>
                        <w:jc w:val="center"/>
                        <w:rPr>
                          <w:szCs w:val="21"/>
                        </w:rPr>
                      </w:pPr>
                      <w:r>
                        <w:rPr>
                          <w:rFonts w:hint="eastAsia"/>
                          <w:szCs w:val="21"/>
                        </w:rPr>
                        <w:t>项目所在地</w:t>
                      </w:r>
                    </w:p>
                  </w:txbxContent>
                </v:textbox>
              </v:shape>
            </w:pict>
          </mc:Fallback>
        </mc:AlternateContent>
      </w:r>
      <w:r>
        <w:rPr>
          <w:b/>
          <w:bCs/>
          <w:color w:val="auto"/>
          <w:highlight w:val="none"/>
        </w:rPr>
        <w:drawing>
          <wp:inline distT="0" distB="0" distL="114300" distR="114300">
            <wp:extent cx="6717665" cy="9493250"/>
            <wp:effectExtent l="0" t="0" r="6985" b="12700"/>
            <wp:docPr id="25" name="图片 8" descr="重点区分区图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8" descr="重点区分区图1025"/>
                    <pic:cNvPicPr>
                      <a:picLocks noChangeAspect="1"/>
                    </pic:cNvPicPr>
                  </pic:nvPicPr>
                  <pic:blipFill>
                    <a:blip r:embed="rId33"/>
                    <a:stretch>
                      <a:fillRect/>
                    </a:stretch>
                  </pic:blipFill>
                  <pic:spPr>
                    <a:xfrm>
                      <a:off x="0" y="0"/>
                      <a:ext cx="6717665" cy="9493250"/>
                    </a:xfrm>
                    <a:prstGeom prst="rect">
                      <a:avLst/>
                    </a:prstGeom>
                    <a:noFill/>
                    <a:ln>
                      <a:noFill/>
                    </a:ln>
                  </pic:spPr>
                </pic:pic>
              </a:graphicData>
            </a:graphic>
          </wp:inline>
        </w:drawing>
      </w:r>
    </w:p>
    <w:p w14:paraId="47D7BA8D">
      <w:pPr>
        <w:pStyle w:val="204"/>
        <w:jc w:val="center"/>
        <w:outlineLvl w:val="0"/>
        <w:rPr>
          <w:rFonts w:eastAsia="黑体"/>
          <w:color w:val="auto"/>
          <w:highlight w:val="none"/>
        </w:rPr>
      </w:pPr>
      <w:bookmarkStart w:id="119" w:name="_Toc18288"/>
      <w:bookmarkStart w:id="120" w:name="_Toc19456"/>
      <w:r>
        <w:rPr>
          <w:color w:val="auto"/>
          <w:highlight w:val="none"/>
        </w:rPr>
        <w:t>附图</w:t>
      </w:r>
      <w:r>
        <w:rPr>
          <w:rFonts w:hint="eastAsia"/>
          <w:color w:val="auto"/>
          <w:highlight w:val="none"/>
          <w:lang w:val="en-US" w:eastAsia="zh-CN"/>
        </w:rPr>
        <w:t>10</w:t>
      </w:r>
      <w:r>
        <w:rPr>
          <w:rFonts w:hint="eastAsia"/>
          <w:color w:val="auto"/>
          <w:highlight w:val="none"/>
        </w:rPr>
        <w:t>：</w:t>
      </w:r>
      <w:r>
        <w:rPr>
          <w:color w:val="auto"/>
          <w:highlight w:val="none"/>
          <w:lang w:val="en-US"/>
        </w:rPr>
        <w:t>中山市地下水污染防治重点区划定分区图</w:t>
      </w:r>
      <w:bookmarkEnd w:id="119"/>
      <w:bookmarkEnd w:id="120"/>
    </w:p>
    <w:sectPr>
      <w:pgSz w:w="11907" w:h="16840"/>
      <w:pgMar w:top="720" w:right="720" w:bottom="720" w:left="720" w:header="851" w:footer="567" w:gutter="0"/>
      <w:pgNumType w:fmt="decimal"/>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roman"/>
    <w:pitch w:val="default"/>
    <w:sig w:usb0="E0002EFF" w:usb1="C000785B" w:usb2="00000009" w:usb3="00000000" w:csb0="400001FF" w:csb1="FFFF0000"/>
  </w:font>
  <w:font w:name="宋体">
    <w:panose1 w:val="02010600030101010101"/>
    <w:charset w:val="7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Impact">
    <w:panose1 w:val="020B0806030902050204"/>
    <w:charset w:val="00"/>
    <w:family w:val="swiss"/>
    <w:pitch w:val="default"/>
    <w:sig w:usb0="00000287" w:usb1="00000000" w:usb2="00000000" w:usb3="00000000" w:csb0="2000009F" w:csb1="DFD7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方正仿宋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Wingdings 2">
    <w:panose1 w:val="05020102010507070707"/>
    <w:charset w:val="02"/>
    <w:family w:val="roman"/>
    <w:pitch w:val="default"/>
    <w:sig w:usb0="00000000" w:usb1="00000000" w:usb2="00000000" w:usb3="00000000" w:csb0="80000000" w:csb1="00000000"/>
  </w:font>
  <w:font w:name="var(--dsw-font-markdown-table-h">
    <w:altName w:val="Segoe Print"/>
    <w:panose1 w:val="00000000000000000000"/>
    <w:charset w:val="00"/>
    <w:family w:val="auto"/>
    <w:pitch w:val="default"/>
    <w:sig w:usb0="00000000" w:usb1="00000000" w:usb2="00000000" w:usb3="00000000" w:csb0="00000000" w:csb1="00000000"/>
  </w:font>
  <w:font w:name="var(--dsw-font-markdown-table)">
    <w:altName w:val="Segoe Print"/>
    <w:panose1 w:val="00000000000000000000"/>
    <w:charset w:val="00"/>
    <w:family w:val="auto"/>
    <w:pitch w:val="default"/>
    <w:sig w:usb0="00000000" w:usb1="00000000" w:usb2="00000000" w:usb3="00000000" w:csb0="00000000" w:csb1="00000000"/>
  </w:font>
  <w:font w:name="var(--dsw-font-markdown-base)">
    <w:altName w:val="Segoe Print"/>
    <w:panose1 w:val="00000000000000000000"/>
    <w:charset w:val="00"/>
    <w:family w:val="auto"/>
    <w:pitch w:val="default"/>
    <w:sig w:usb0="00000000" w:usb1="00000000" w:usb2="00000000" w:usb3="00000000" w:csb0="00000000" w:csb1="00000000"/>
  </w:font>
  <w:font w:name="var(--dsw-font-markdown-h2)">
    <w:altName w:val="Segoe Print"/>
    <w:panose1 w:val="00000000000000000000"/>
    <w:charset w:val="00"/>
    <w:family w:val="auto"/>
    <w:pitch w:val="default"/>
    <w:sig w:usb0="00000000" w:usb1="00000000" w:usb2="00000000" w:usb3="00000000" w:csb0="00000000" w:csb1="00000000"/>
  </w:font>
  <w:font w:name="var(--dsw-font-markdown-h3)">
    <w:altName w:val="Segoe Print"/>
    <w:panose1 w:val="00000000000000000000"/>
    <w:charset w:val="00"/>
    <w:family w:val="auto"/>
    <w:pitch w:val="default"/>
    <w:sig w:usb0="00000000" w:usb1="00000000" w:usb2="00000000" w:usb3="00000000" w:csb0="00000000" w:csb1="00000000"/>
  </w:font>
  <w:font w:name="unset">
    <w:altName w:val="Segoe Print"/>
    <w:panose1 w:val="00000000000000000000"/>
    <w:charset w:val="00"/>
    <w:family w:val="auto"/>
    <w:pitch w:val="default"/>
    <w:sig w:usb0="00000000" w:usb1="00000000" w:usb2="00000000" w:usb3="00000000" w:csb0="00000000" w:csb1="00000000"/>
  </w:font>
  <w:font w:name="var(--dsl-code-block-content-fo">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203" w:usb1="288F0000" w:usb2="00000006" w:usb3="00000000" w:csb0="00040001" w:csb1="00000000"/>
  </w:font>
  <w:font w:name="KaTeX_Math">
    <w:altName w:val="Segoe Print"/>
    <w:panose1 w:val="00000000000000000000"/>
    <w:charset w:val="00"/>
    <w:family w:val="auto"/>
    <w:pitch w:val="default"/>
    <w:sig w:usb0="00000000" w:usb1="00000000" w:usb2="00000000" w:usb3="00000000" w:csb0="00000000" w:csb1="00000000"/>
  </w:font>
  <w:font w:name="var(--dsw-font-markdown-h4)">
    <w:altName w:val="Segoe Print"/>
    <w:panose1 w:val="00000000000000000000"/>
    <w:charset w:val="00"/>
    <w:family w:val="auto"/>
    <w:pitch w:val="default"/>
    <w:sig w:usb0="00000000" w:usb1="00000000" w:usb2="00000000" w:usb3="00000000" w:csb0="00000000" w:csb1="00000000"/>
  </w:font>
  <w:font w:name="var(--dsw-font-xxxs-strong-11)">
    <w:altName w:val="Segoe Print"/>
    <w:panose1 w:val="00000000000000000000"/>
    <w:charset w:val="00"/>
    <w:family w:val="auto"/>
    <w:pitch w:val="default"/>
    <w:sig w:usb0="00000000" w:usb1="00000000" w:usb2="00000000" w:usb3="00000000" w:csb0="00000000" w:csb1="00000000"/>
  </w:font>
  <w:font w:name="Segoe UI Symbol">
    <w:panose1 w:val="020B0502040204020203"/>
    <w:charset w:val="00"/>
    <w:family w:val="swiss"/>
    <w:pitch w:val="default"/>
    <w:sig w:usb0="800001E3" w:usb1="1200FFEF" w:usb2="00040000" w:usb3="04000000" w:csb0="00000001" w:csb1="4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ED3EB">
    <w:pPr>
      <w:pStyle w:val="34"/>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D3B92">
    <w:pPr>
      <w:pStyle w:val="34"/>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4E1AF8">
                          <w:pPr>
                            <w:pStyle w:val="3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14E1AF8">
                    <w:pPr>
                      <w:pStyle w:val="3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E4D166"/>
    <w:multiLevelType w:val="singleLevel"/>
    <w:tmpl w:val="84E4D166"/>
    <w:lvl w:ilvl="0" w:tentative="0">
      <w:start w:val="2"/>
      <w:numFmt w:val="decimal"/>
      <w:suff w:val="nothing"/>
      <w:lvlText w:val="（%1）"/>
      <w:lvlJc w:val="left"/>
    </w:lvl>
  </w:abstractNum>
  <w:abstractNum w:abstractNumId="1">
    <w:nsid w:val="8985E74E"/>
    <w:multiLevelType w:val="singleLevel"/>
    <w:tmpl w:val="8985E74E"/>
    <w:lvl w:ilvl="0" w:tentative="0">
      <w:start w:val="1"/>
      <w:numFmt w:val="chineseCounting"/>
      <w:suff w:val="nothing"/>
      <w:lvlText w:val="%1、"/>
      <w:lvlJc w:val="left"/>
      <w:pPr>
        <w:ind w:left="0" w:firstLine="420"/>
      </w:pPr>
      <w:rPr>
        <w:rFonts w:hint="eastAsia"/>
      </w:rPr>
    </w:lvl>
  </w:abstractNum>
  <w:abstractNum w:abstractNumId="2">
    <w:nsid w:val="95F9FE1B"/>
    <w:multiLevelType w:val="multilevel"/>
    <w:tmpl w:val="95F9FE1B"/>
    <w:lvl w:ilvl="0" w:tentative="0">
      <w:start w:val="1"/>
      <w:numFmt w:val="decimal"/>
      <w:pStyle w:val="63"/>
      <w:suff w:val="space"/>
      <w:lvlText w:val="表%1"/>
      <w:lvlJc w:val="center"/>
      <w:pPr>
        <w:ind w:left="3780" w:hanging="420"/>
      </w:pPr>
      <w:rPr>
        <w:rFonts w:hint="default" w:ascii="Times New Roman" w:hAnsi="Times New Roman" w:eastAsia="宋体"/>
        <w:b/>
        <w:i w:val="0"/>
        <w:color w:val="00000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990523D0"/>
    <w:multiLevelType w:val="singleLevel"/>
    <w:tmpl w:val="990523D0"/>
    <w:lvl w:ilvl="0" w:tentative="0">
      <w:start w:val="1"/>
      <w:numFmt w:val="chineseCounting"/>
      <w:suff w:val="nothing"/>
      <w:lvlText w:val="%1、"/>
      <w:lvlJc w:val="left"/>
      <w:rPr>
        <w:rFonts w:hint="eastAsia"/>
      </w:rPr>
    </w:lvl>
  </w:abstractNum>
  <w:abstractNum w:abstractNumId="4">
    <w:nsid w:val="9FE5B054"/>
    <w:multiLevelType w:val="singleLevel"/>
    <w:tmpl w:val="9FE5B054"/>
    <w:lvl w:ilvl="0" w:tentative="0">
      <w:start w:val="1"/>
      <w:numFmt w:val="decimal"/>
      <w:lvlText w:val="%1."/>
      <w:lvlJc w:val="left"/>
      <w:pPr>
        <w:ind w:left="425" w:hanging="425"/>
      </w:pPr>
      <w:rPr>
        <w:rFonts w:hint="default"/>
      </w:rPr>
    </w:lvl>
  </w:abstractNum>
  <w:abstractNum w:abstractNumId="5">
    <w:nsid w:val="A5256610"/>
    <w:multiLevelType w:val="singleLevel"/>
    <w:tmpl w:val="A5256610"/>
    <w:lvl w:ilvl="0" w:tentative="0">
      <w:start w:val="1"/>
      <w:numFmt w:val="decimal"/>
      <w:lvlText w:val="%1."/>
      <w:lvlJc w:val="left"/>
      <w:pPr>
        <w:ind w:left="425" w:hanging="425"/>
      </w:pPr>
      <w:rPr>
        <w:rFonts w:hint="default"/>
      </w:rPr>
    </w:lvl>
  </w:abstractNum>
  <w:abstractNum w:abstractNumId="6">
    <w:nsid w:val="AEC75CCC"/>
    <w:multiLevelType w:val="multilevel"/>
    <w:tmpl w:val="AEC75CCC"/>
    <w:lvl w:ilvl="0" w:tentative="0">
      <w:start w:val="1"/>
      <w:numFmt w:val="decimal"/>
      <w:suff w:val="nothing"/>
      <w:lvlText w:val="表%1."/>
      <w:lvlJc w:val="left"/>
      <w:pPr>
        <w:ind w:left="420" w:hanging="420"/>
      </w:pPr>
      <w:rPr>
        <w:rFonts w:hint="default" w:ascii="Times New Roman" w:hAnsi="Times New Roman" w:eastAsia="宋体"/>
        <w:b/>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AFDEC56B"/>
    <w:multiLevelType w:val="singleLevel"/>
    <w:tmpl w:val="AFDEC56B"/>
    <w:lvl w:ilvl="0" w:tentative="0">
      <w:start w:val="7"/>
      <w:numFmt w:val="decimal"/>
      <w:suff w:val="nothing"/>
      <w:lvlText w:val="%1、"/>
      <w:lvlJc w:val="left"/>
    </w:lvl>
  </w:abstractNum>
  <w:abstractNum w:abstractNumId="8">
    <w:nsid w:val="B3E17601"/>
    <w:multiLevelType w:val="singleLevel"/>
    <w:tmpl w:val="B3E17601"/>
    <w:lvl w:ilvl="0" w:tentative="0">
      <w:start w:val="1"/>
      <w:numFmt w:val="chineseCounting"/>
      <w:suff w:val="nothing"/>
      <w:lvlText w:val="（%1）"/>
      <w:lvlJc w:val="left"/>
      <w:pPr>
        <w:ind w:left="0" w:firstLine="420"/>
      </w:pPr>
      <w:rPr>
        <w:rFonts w:hint="eastAsia"/>
      </w:rPr>
    </w:lvl>
  </w:abstractNum>
  <w:abstractNum w:abstractNumId="9">
    <w:nsid w:val="B9815252"/>
    <w:multiLevelType w:val="singleLevel"/>
    <w:tmpl w:val="B9815252"/>
    <w:lvl w:ilvl="0" w:tentative="0">
      <w:start w:val="1"/>
      <w:numFmt w:val="bullet"/>
      <w:pStyle w:val="60"/>
      <w:lvlText w:val=""/>
      <w:lvlJc w:val="left"/>
      <w:pPr>
        <w:tabs>
          <w:tab w:val="left" w:pos="780"/>
        </w:tabs>
        <w:ind w:left="780" w:hanging="360"/>
      </w:pPr>
      <w:rPr>
        <w:rFonts w:hint="default" w:ascii="Wingdings" w:hAnsi="Wingdings"/>
      </w:rPr>
    </w:lvl>
  </w:abstractNum>
  <w:abstractNum w:abstractNumId="10">
    <w:nsid w:val="C1BBB82E"/>
    <w:multiLevelType w:val="singleLevel"/>
    <w:tmpl w:val="C1BBB82E"/>
    <w:lvl w:ilvl="0" w:tentative="0">
      <w:start w:val="1"/>
      <w:numFmt w:val="decimal"/>
      <w:lvlText w:val="%1."/>
      <w:lvlJc w:val="left"/>
      <w:pPr>
        <w:tabs>
          <w:tab w:val="left" w:pos="113"/>
        </w:tabs>
        <w:ind w:left="113" w:leftChars="0" w:hanging="113" w:firstLineChars="0"/>
      </w:pPr>
      <w:rPr>
        <w:rFonts w:hint="default"/>
      </w:rPr>
    </w:lvl>
  </w:abstractNum>
  <w:abstractNum w:abstractNumId="11">
    <w:nsid w:val="C76B8C6D"/>
    <w:multiLevelType w:val="singleLevel"/>
    <w:tmpl w:val="C76B8C6D"/>
    <w:lvl w:ilvl="0" w:tentative="0">
      <w:start w:val="1"/>
      <w:numFmt w:val="decimal"/>
      <w:lvlText w:val="%1."/>
      <w:lvlJc w:val="left"/>
      <w:pPr>
        <w:ind w:left="425" w:hanging="425"/>
      </w:pPr>
      <w:rPr>
        <w:rFonts w:hint="default"/>
      </w:rPr>
    </w:lvl>
  </w:abstractNum>
  <w:abstractNum w:abstractNumId="12">
    <w:nsid w:val="CB2F3912"/>
    <w:multiLevelType w:val="singleLevel"/>
    <w:tmpl w:val="CB2F3912"/>
    <w:lvl w:ilvl="0" w:tentative="0">
      <w:start w:val="1"/>
      <w:numFmt w:val="decimal"/>
      <w:suff w:val="nothing"/>
      <w:lvlText w:val="%1、"/>
      <w:lvlJc w:val="left"/>
    </w:lvl>
  </w:abstractNum>
  <w:abstractNum w:abstractNumId="13">
    <w:nsid w:val="CBD6C0AC"/>
    <w:multiLevelType w:val="singleLevel"/>
    <w:tmpl w:val="CBD6C0AC"/>
    <w:lvl w:ilvl="0" w:tentative="0">
      <w:start w:val="4"/>
      <w:numFmt w:val="decimal"/>
      <w:suff w:val="nothing"/>
      <w:lvlText w:val="%1）"/>
      <w:lvlJc w:val="left"/>
    </w:lvl>
  </w:abstractNum>
  <w:abstractNum w:abstractNumId="14">
    <w:nsid w:val="E3AA2F91"/>
    <w:multiLevelType w:val="singleLevel"/>
    <w:tmpl w:val="E3AA2F91"/>
    <w:lvl w:ilvl="0" w:tentative="0">
      <w:start w:val="1"/>
      <w:numFmt w:val="decimalEnclosedCircleChinese"/>
      <w:suff w:val="nothing"/>
      <w:lvlText w:val="%1　"/>
      <w:lvlJc w:val="left"/>
      <w:pPr>
        <w:ind w:left="0" w:firstLine="400"/>
      </w:pPr>
      <w:rPr>
        <w:rFonts w:hint="eastAsia"/>
      </w:rPr>
    </w:lvl>
  </w:abstractNum>
  <w:abstractNum w:abstractNumId="15">
    <w:nsid w:val="E3CE970B"/>
    <w:multiLevelType w:val="singleLevel"/>
    <w:tmpl w:val="E3CE970B"/>
    <w:lvl w:ilvl="0" w:tentative="0">
      <w:start w:val="1"/>
      <w:numFmt w:val="decimal"/>
      <w:suff w:val="nothing"/>
      <w:lvlText w:val="（%1）"/>
      <w:lvlJc w:val="left"/>
    </w:lvl>
  </w:abstractNum>
  <w:abstractNum w:abstractNumId="16">
    <w:nsid w:val="E8066208"/>
    <w:multiLevelType w:val="singleLevel"/>
    <w:tmpl w:val="E8066208"/>
    <w:lvl w:ilvl="0" w:tentative="0">
      <w:start w:val="1"/>
      <w:numFmt w:val="decimal"/>
      <w:lvlText w:val="(%1)"/>
      <w:lvlJc w:val="left"/>
      <w:pPr>
        <w:ind w:left="1055" w:hanging="425"/>
      </w:pPr>
      <w:rPr>
        <w:rFonts w:hint="default"/>
      </w:rPr>
    </w:lvl>
  </w:abstractNum>
  <w:abstractNum w:abstractNumId="17">
    <w:nsid w:val="EB52EBCB"/>
    <w:multiLevelType w:val="singleLevel"/>
    <w:tmpl w:val="EB52EBCB"/>
    <w:lvl w:ilvl="0" w:tentative="0">
      <w:start w:val="1"/>
      <w:numFmt w:val="decimal"/>
      <w:lvlText w:val="(%1)"/>
      <w:lvlJc w:val="left"/>
      <w:pPr>
        <w:ind w:left="630" w:leftChars="0" w:firstLine="0" w:firstLineChars="0"/>
      </w:pPr>
      <w:rPr>
        <w:rFonts w:hint="default"/>
      </w:rPr>
    </w:lvl>
  </w:abstractNum>
  <w:abstractNum w:abstractNumId="18">
    <w:nsid w:val="F78546D2"/>
    <w:multiLevelType w:val="singleLevel"/>
    <w:tmpl w:val="F78546D2"/>
    <w:lvl w:ilvl="0" w:tentative="0">
      <w:start w:val="1"/>
      <w:numFmt w:val="decimalEnclosedCircleChinese"/>
      <w:suff w:val="nothing"/>
      <w:lvlText w:val="%1　"/>
      <w:lvlJc w:val="left"/>
      <w:pPr>
        <w:ind w:left="0" w:firstLine="400"/>
      </w:pPr>
      <w:rPr>
        <w:rFonts w:hint="eastAsia"/>
      </w:rPr>
    </w:lvl>
  </w:abstractNum>
  <w:abstractNum w:abstractNumId="19">
    <w:nsid w:val="08C46D79"/>
    <w:multiLevelType w:val="multilevel"/>
    <w:tmpl w:val="08C46D79"/>
    <w:lvl w:ilvl="0" w:tentative="0">
      <w:start w:val="1"/>
      <w:numFmt w:val="decimal"/>
      <w:pStyle w:val="9"/>
      <w:lvlText w:val="表%1"/>
      <w:lvlJc w:val="center"/>
      <w:pPr>
        <w:ind w:left="1888"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18F1924D"/>
    <w:multiLevelType w:val="singleLevel"/>
    <w:tmpl w:val="18F1924D"/>
    <w:lvl w:ilvl="0" w:tentative="0">
      <w:start w:val="2"/>
      <w:numFmt w:val="chineseCounting"/>
      <w:suff w:val="nothing"/>
      <w:lvlText w:val="（%1）"/>
      <w:lvlJc w:val="left"/>
      <w:rPr>
        <w:rFonts w:hint="eastAsia"/>
      </w:rPr>
    </w:lvl>
  </w:abstractNum>
  <w:abstractNum w:abstractNumId="21">
    <w:nsid w:val="1AF9435A"/>
    <w:multiLevelType w:val="singleLevel"/>
    <w:tmpl w:val="1AF9435A"/>
    <w:lvl w:ilvl="0" w:tentative="0">
      <w:start w:val="1"/>
      <w:numFmt w:val="decimal"/>
      <w:lvlText w:val="%1."/>
      <w:lvlJc w:val="left"/>
      <w:pPr>
        <w:ind w:left="425" w:hanging="425"/>
      </w:pPr>
      <w:rPr>
        <w:rFonts w:hint="default"/>
      </w:rPr>
    </w:lvl>
  </w:abstractNum>
  <w:abstractNum w:abstractNumId="22">
    <w:nsid w:val="2CD629B7"/>
    <w:multiLevelType w:val="singleLevel"/>
    <w:tmpl w:val="2CD629B7"/>
    <w:lvl w:ilvl="0" w:tentative="0">
      <w:start w:val="2"/>
      <w:numFmt w:val="decimal"/>
      <w:suff w:val="nothing"/>
      <w:lvlText w:val="%1、"/>
      <w:lvlJc w:val="left"/>
    </w:lvl>
  </w:abstractNum>
  <w:abstractNum w:abstractNumId="23">
    <w:nsid w:val="3F775703"/>
    <w:multiLevelType w:val="singleLevel"/>
    <w:tmpl w:val="3F775703"/>
    <w:lvl w:ilvl="0" w:tentative="0">
      <w:start w:val="1"/>
      <w:numFmt w:val="decimal"/>
      <w:suff w:val="nothing"/>
      <w:lvlText w:val="（%1）"/>
      <w:lvlJc w:val="left"/>
      <w:pPr>
        <w:ind w:left="210"/>
      </w:pPr>
    </w:lvl>
  </w:abstractNum>
  <w:abstractNum w:abstractNumId="24">
    <w:nsid w:val="43E0343C"/>
    <w:multiLevelType w:val="singleLevel"/>
    <w:tmpl w:val="43E0343C"/>
    <w:lvl w:ilvl="0" w:tentative="0">
      <w:start w:val="1"/>
      <w:numFmt w:val="upperLetter"/>
      <w:lvlText w:val="%1."/>
      <w:lvlJc w:val="left"/>
      <w:pPr>
        <w:ind w:left="425" w:hanging="425"/>
      </w:pPr>
      <w:rPr>
        <w:rFonts w:hint="default"/>
      </w:rPr>
    </w:lvl>
  </w:abstractNum>
  <w:abstractNum w:abstractNumId="25">
    <w:nsid w:val="45A28AB0"/>
    <w:multiLevelType w:val="singleLevel"/>
    <w:tmpl w:val="45A28AB0"/>
    <w:lvl w:ilvl="0" w:tentative="0">
      <w:start w:val="1"/>
      <w:numFmt w:val="decimal"/>
      <w:lvlText w:val="(%1)"/>
      <w:lvlJc w:val="left"/>
      <w:pPr>
        <w:ind w:left="845" w:hanging="425"/>
      </w:pPr>
      <w:rPr>
        <w:rFonts w:hint="default"/>
      </w:rPr>
    </w:lvl>
  </w:abstractNum>
  <w:abstractNum w:abstractNumId="26">
    <w:nsid w:val="49050A4C"/>
    <w:multiLevelType w:val="singleLevel"/>
    <w:tmpl w:val="49050A4C"/>
    <w:lvl w:ilvl="0" w:tentative="0">
      <w:start w:val="1"/>
      <w:numFmt w:val="decimal"/>
      <w:lvlText w:val="(%1)"/>
      <w:lvlJc w:val="left"/>
      <w:pPr>
        <w:ind w:left="425" w:hanging="425"/>
      </w:pPr>
      <w:rPr>
        <w:rFonts w:hint="default"/>
        <w:color w:val="auto"/>
      </w:rPr>
    </w:lvl>
  </w:abstractNum>
  <w:abstractNum w:abstractNumId="27">
    <w:nsid w:val="54D718EC"/>
    <w:multiLevelType w:val="singleLevel"/>
    <w:tmpl w:val="54D718EC"/>
    <w:lvl w:ilvl="0" w:tentative="0">
      <w:start w:val="1"/>
      <w:numFmt w:val="decimal"/>
      <w:lvlText w:val="%1."/>
      <w:lvlJc w:val="left"/>
      <w:pPr>
        <w:ind w:left="425" w:hanging="425"/>
      </w:pPr>
      <w:rPr>
        <w:rFonts w:hint="default"/>
      </w:rPr>
    </w:lvl>
  </w:abstractNum>
  <w:abstractNum w:abstractNumId="28">
    <w:nsid w:val="574D35F9"/>
    <w:multiLevelType w:val="singleLevel"/>
    <w:tmpl w:val="574D35F9"/>
    <w:lvl w:ilvl="0" w:tentative="0">
      <w:start w:val="3"/>
      <w:numFmt w:val="decimal"/>
      <w:pStyle w:val="186"/>
      <w:suff w:val="nothing"/>
      <w:lvlText w:val="%1、"/>
      <w:lvlJc w:val="left"/>
    </w:lvl>
  </w:abstractNum>
  <w:abstractNum w:abstractNumId="29">
    <w:nsid w:val="5A5BB265"/>
    <w:multiLevelType w:val="singleLevel"/>
    <w:tmpl w:val="5A5BB265"/>
    <w:lvl w:ilvl="0" w:tentative="0">
      <w:start w:val="1"/>
      <w:numFmt w:val="decimalEnclosedCircleChinese"/>
      <w:suff w:val="nothing"/>
      <w:lvlText w:val="%1　"/>
      <w:lvlJc w:val="left"/>
      <w:pPr>
        <w:ind w:left="0" w:firstLine="400"/>
      </w:pPr>
      <w:rPr>
        <w:rFonts w:hint="eastAsia"/>
      </w:rPr>
    </w:lvl>
  </w:abstractNum>
  <w:abstractNum w:abstractNumId="30">
    <w:nsid w:val="5E04E084"/>
    <w:multiLevelType w:val="singleLevel"/>
    <w:tmpl w:val="5E04E084"/>
    <w:lvl w:ilvl="0" w:tentative="0">
      <w:start w:val="5"/>
      <w:numFmt w:val="chineseCounting"/>
      <w:suff w:val="nothing"/>
      <w:lvlText w:val="%1、"/>
      <w:lvlJc w:val="left"/>
      <w:rPr>
        <w:rFonts w:hint="eastAsia"/>
      </w:rPr>
    </w:lvl>
  </w:abstractNum>
  <w:abstractNum w:abstractNumId="31">
    <w:nsid w:val="74F1060D"/>
    <w:multiLevelType w:val="multilevel"/>
    <w:tmpl w:val="74F1060D"/>
    <w:lvl w:ilvl="0" w:tentative="0">
      <w:start w:val="1"/>
      <w:numFmt w:val="decimal"/>
      <w:pStyle w:val="194"/>
      <w:lvlText w:val="图%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78F87289"/>
    <w:multiLevelType w:val="singleLevel"/>
    <w:tmpl w:val="78F87289"/>
    <w:lvl w:ilvl="0" w:tentative="0">
      <w:start w:val="1"/>
      <w:numFmt w:val="upperLetter"/>
      <w:lvlText w:val="%1."/>
      <w:lvlJc w:val="left"/>
      <w:pPr>
        <w:ind w:left="425" w:hanging="425"/>
      </w:pPr>
      <w:rPr>
        <w:rFonts w:hint="default"/>
      </w:rPr>
    </w:lvl>
  </w:abstractNum>
  <w:abstractNum w:abstractNumId="33">
    <w:nsid w:val="7E3914C3"/>
    <w:multiLevelType w:val="multilevel"/>
    <w:tmpl w:val="7E3914C3"/>
    <w:lvl w:ilvl="0" w:tentative="0">
      <w:start w:val="1"/>
      <w:numFmt w:val="decimal"/>
      <w:lvlText w:val="表%1"/>
      <w:lvlJc w:val="left"/>
      <w:pPr>
        <w:tabs>
          <w:tab w:val="left" w:pos="900"/>
        </w:tabs>
        <w:ind w:left="900" w:hanging="420"/>
      </w:pPr>
      <w:rPr>
        <w:rFonts w:hint="eastAsia"/>
      </w:rPr>
    </w:lvl>
    <w:lvl w:ilvl="1" w:tentative="0">
      <w:start w:val="1"/>
      <w:numFmt w:val="decimal"/>
      <w:pStyle w:val="215"/>
      <w:lvlText w:val="表%2"/>
      <w:lvlJc w:val="left"/>
      <w:pPr>
        <w:tabs>
          <w:tab w:val="left" w:pos="840"/>
        </w:tabs>
        <w:ind w:left="840" w:hanging="420"/>
      </w:pPr>
      <w:rPr>
        <w:rFonts w:hint="default" w:ascii="Arial" w:hAnsi="Arial" w:cs="Arial"/>
        <w:b/>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9"/>
  </w:num>
  <w:num w:numId="2">
    <w:abstractNumId w:val="9"/>
  </w:num>
  <w:num w:numId="3">
    <w:abstractNumId w:val="2"/>
  </w:num>
  <w:num w:numId="4">
    <w:abstractNumId w:val="28"/>
  </w:num>
  <w:num w:numId="5">
    <w:abstractNumId w:val="31"/>
  </w:num>
  <w:num w:numId="6">
    <w:abstractNumId w:val="33"/>
  </w:num>
  <w:num w:numId="7">
    <w:abstractNumId w:val="3"/>
  </w:num>
  <w:num w:numId="8">
    <w:abstractNumId w:val="6"/>
  </w:num>
  <w:num w:numId="9">
    <w:abstractNumId w:val="22"/>
  </w:num>
  <w:num w:numId="10">
    <w:abstractNumId w:val="27"/>
  </w:num>
  <w:num w:numId="11">
    <w:abstractNumId w:val="26"/>
  </w:num>
  <w:num w:numId="12">
    <w:abstractNumId w:val="32"/>
  </w:num>
  <w:num w:numId="13">
    <w:abstractNumId w:val="18"/>
  </w:num>
  <w:num w:numId="14">
    <w:abstractNumId w:val="11"/>
  </w:num>
  <w:num w:numId="15">
    <w:abstractNumId w:val="24"/>
  </w:num>
  <w:num w:numId="16">
    <w:abstractNumId w:val="7"/>
  </w:num>
  <w:num w:numId="17">
    <w:abstractNumId w:val="12"/>
  </w:num>
  <w:num w:numId="18">
    <w:abstractNumId w:val="15"/>
  </w:num>
  <w:num w:numId="19">
    <w:abstractNumId w:val="1"/>
  </w:num>
  <w:num w:numId="20">
    <w:abstractNumId w:val="8"/>
  </w:num>
  <w:num w:numId="21">
    <w:abstractNumId w:val="4"/>
  </w:num>
  <w:num w:numId="22">
    <w:abstractNumId w:val="25"/>
  </w:num>
  <w:num w:numId="23">
    <w:abstractNumId w:val="16"/>
  </w:num>
  <w:num w:numId="24">
    <w:abstractNumId w:val="20"/>
  </w:num>
  <w:num w:numId="25">
    <w:abstractNumId w:val="23"/>
  </w:num>
  <w:num w:numId="26">
    <w:abstractNumId w:val="14"/>
  </w:num>
  <w:num w:numId="27">
    <w:abstractNumId w:val="17"/>
  </w:num>
  <w:num w:numId="28">
    <w:abstractNumId w:val="0"/>
  </w:num>
  <w:num w:numId="29">
    <w:abstractNumId w:val="10"/>
  </w:num>
  <w:num w:numId="30">
    <w:abstractNumId w:val="13"/>
  </w:num>
  <w:num w:numId="31">
    <w:abstractNumId w:val="21"/>
  </w:num>
  <w:num w:numId="32">
    <w:abstractNumId w:val="29"/>
  </w:num>
  <w:num w:numId="33">
    <w:abstractNumId w:val="5"/>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1MThiYzYwMTczN2MwYjAzYTA1MjhjMjcwZmY2MjIifQ=="/>
  </w:docVars>
  <w:rsids>
    <w:rsidRoot w:val="00172A27"/>
    <w:rsid w:val="00000C8F"/>
    <w:rsid w:val="00000F16"/>
    <w:rsid w:val="00001686"/>
    <w:rsid w:val="000027F8"/>
    <w:rsid w:val="00002AA6"/>
    <w:rsid w:val="00002DC5"/>
    <w:rsid w:val="00002E2B"/>
    <w:rsid w:val="00003037"/>
    <w:rsid w:val="00003AAC"/>
    <w:rsid w:val="000049E7"/>
    <w:rsid w:val="00004BFF"/>
    <w:rsid w:val="0000540E"/>
    <w:rsid w:val="00005A72"/>
    <w:rsid w:val="00005D24"/>
    <w:rsid w:val="0000712B"/>
    <w:rsid w:val="00007FD3"/>
    <w:rsid w:val="000100E0"/>
    <w:rsid w:val="0001034C"/>
    <w:rsid w:val="00010AC0"/>
    <w:rsid w:val="000127AC"/>
    <w:rsid w:val="00012EFB"/>
    <w:rsid w:val="00015974"/>
    <w:rsid w:val="00015C16"/>
    <w:rsid w:val="00015C49"/>
    <w:rsid w:val="0001635E"/>
    <w:rsid w:val="00016D43"/>
    <w:rsid w:val="00017373"/>
    <w:rsid w:val="00017C96"/>
    <w:rsid w:val="00017EC9"/>
    <w:rsid w:val="0002099D"/>
    <w:rsid w:val="000215B1"/>
    <w:rsid w:val="000221F3"/>
    <w:rsid w:val="0002223A"/>
    <w:rsid w:val="00022837"/>
    <w:rsid w:val="00024C2C"/>
    <w:rsid w:val="00024E7B"/>
    <w:rsid w:val="00026DD5"/>
    <w:rsid w:val="00027964"/>
    <w:rsid w:val="00031321"/>
    <w:rsid w:val="00031D33"/>
    <w:rsid w:val="00031E2E"/>
    <w:rsid w:val="00032502"/>
    <w:rsid w:val="00034810"/>
    <w:rsid w:val="00035583"/>
    <w:rsid w:val="0003597F"/>
    <w:rsid w:val="00036DA3"/>
    <w:rsid w:val="000376BD"/>
    <w:rsid w:val="00037C40"/>
    <w:rsid w:val="000406D0"/>
    <w:rsid w:val="000408C0"/>
    <w:rsid w:val="00040C37"/>
    <w:rsid w:val="00041FE6"/>
    <w:rsid w:val="000434D5"/>
    <w:rsid w:val="00044839"/>
    <w:rsid w:val="00044AC7"/>
    <w:rsid w:val="00045397"/>
    <w:rsid w:val="000454A8"/>
    <w:rsid w:val="000469D0"/>
    <w:rsid w:val="00047889"/>
    <w:rsid w:val="00047A8D"/>
    <w:rsid w:val="000510BC"/>
    <w:rsid w:val="00052EAB"/>
    <w:rsid w:val="000540DE"/>
    <w:rsid w:val="00054EBB"/>
    <w:rsid w:val="00056249"/>
    <w:rsid w:val="000563BB"/>
    <w:rsid w:val="000567E5"/>
    <w:rsid w:val="00057A9F"/>
    <w:rsid w:val="00061009"/>
    <w:rsid w:val="00064607"/>
    <w:rsid w:val="0006477D"/>
    <w:rsid w:val="00064AC3"/>
    <w:rsid w:val="00064DD3"/>
    <w:rsid w:val="00065BFF"/>
    <w:rsid w:val="0006778E"/>
    <w:rsid w:val="000707FF"/>
    <w:rsid w:val="0007088C"/>
    <w:rsid w:val="00071109"/>
    <w:rsid w:val="000714FF"/>
    <w:rsid w:val="0007242F"/>
    <w:rsid w:val="0007244D"/>
    <w:rsid w:val="0007256C"/>
    <w:rsid w:val="00074DDE"/>
    <w:rsid w:val="00075494"/>
    <w:rsid w:val="00075BD5"/>
    <w:rsid w:val="00075C47"/>
    <w:rsid w:val="000765B7"/>
    <w:rsid w:val="00076DDA"/>
    <w:rsid w:val="00077A2F"/>
    <w:rsid w:val="000808CC"/>
    <w:rsid w:val="00080B97"/>
    <w:rsid w:val="00081AEB"/>
    <w:rsid w:val="00081CEE"/>
    <w:rsid w:val="00082491"/>
    <w:rsid w:val="00082F21"/>
    <w:rsid w:val="0008420E"/>
    <w:rsid w:val="0008463D"/>
    <w:rsid w:val="000855C8"/>
    <w:rsid w:val="0008698C"/>
    <w:rsid w:val="000870FF"/>
    <w:rsid w:val="00090CCD"/>
    <w:rsid w:val="00091082"/>
    <w:rsid w:val="00091197"/>
    <w:rsid w:val="00091A10"/>
    <w:rsid w:val="000923F9"/>
    <w:rsid w:val="0009311B"/>
    <w:rsid w:val="00093D8D"/>
    <w:rsid w:val="00093DDC"/>
    <w:rsid w:val="000941B6"/>
    <w:rsid w:val="000A00FD"/>
    <w:rsid w:val="000A077B"/>
    <w:rsid w:val="000A1040"/>
    <w:rsid w:val="000A171F"/>
    <w:rsid w:val="000A231E"/>
    <w:rsid w:val="000A38D6"/>
    <w:rsid w:val="000A3C9D"/>
    <w:rsid w:val="000A5286"/>
    <w:rsid w:val="000A714D"/>
    <w:rsid w:val="000A777D"/>
    <w:rsid w:val="000B00A8"/>
    <w:rsid w:val="000B029A"/>
    <w:rsid w:val="000B0788"/>
    <w:rsid w:val="000B0B1E"/>
    <w:rsid w:val="000B155B"/>
    <w:rsid w:val="000B1B33"/>
    <w:rsid w:val="000B2AE9"/>
    <w:rsid w:val="000B3571"/>
    <w:rsid w:val="000B47E4"/>
    <w:rsid w:val="000B4C7D"/>
    <w:rsid w:val="000B514D"/>
    <w:rsid w:val="000B515F"/>
    <w:rsid w:val="000B582C"/>
    <w:rsid w:val="000B592F"/>
    <w:rsid w:val="000B6252"/>
    <w:rsid w:val="000B67AF"/>
    <w:rsid w:val="000B6C1E"/>
    <w:rsid w:val="000C1CF9"/>
    <w:rsid w:val="000C26D1"/>
    <w:rsid w:val="000C3455"/>
    <w:rsid w:val="000C3D62"/>
    <w:rsid w:val="000C3EA3"/>
    <w:rsid w:val="000C4017"/>
    <w:rsid w:val="000C4668"/>
    <w:rsid w:val="000C5E9D"/>
    <w:rsid w:val="000C6CEE"/>
    <w:rsid w:val="000C7170"/>
    <w:rsid w:val="000D2A39"/>
    <w:rsid w:val="000D446D"/>
    <w:rsid w:val="000D4E30"/>
    <w:rsid w:val="000D56C7"/>
    <w:rsid w:val="000D6C69"/>
    <w:rsid w:val="000D6FE1"/>
    <w:rsid w:val="000E05E9"/>
    <w:rsid w:val="000E07E0"/>
    <w:rsid w:val="000E137D"/>
    <w:rsid w:val="000E1712"/>
    <w:rsid w:val="000E1B4D"/>
    <w:rsid w:val="000E262D"/>
    <w:rsid w:val="000E3365"/>
    <w:rsid w:val="000E6822"/>
    <w:rsid w:val="000E70B4"/>
    <w:rsid w:val="000E7C4A"/>
    <w:rsid w:val="000E7DC7"/>
    <w:rsid w:val="000E7EC4"/>
    <w:rsid w:val="000F09E3"/>
    <w:rsid w:val="000F0A25"/>
    <w:rsid w:val="000F0C5D"/>
    <w:rsid w:val="000F2015"/>
    <w:rsid w:val="000F2536"/>
    <w:rsid w:val="000F27F8"/>
    <w:rsid w:val="000F2972"/>
    <w:rsid w:val="000F30D2"/>
    <w:rsid w:val="000F4D3C"/>
    <w:rsid w:val="000F5A40"/>
    <w:rsid w:val="000F720C"/>
    <w:rsid w:val="000F757A"/>
    <w:rsid w:val="000F77E2"/>
    <w:rsid w:val="001008D8"/>
    <w:rsid w:val="00101B71"/>
    <w:rsid w:val="001035D1"/>
    <w:rsid w:val="001036F9"/>
    <w:rsid w:val="001039A5"/>
    <w:rsid w:val="0010495A"/>
    <w:rsid w:val="001058E0"/>
    <w:rsid w:val="00105941"/>
    <w:rsid w:val="00106257"/>
    <w:rsid w:val="001069A0"/>
    <w:rsid w:val="00106FB0"/>
    <w:rsid w:val="00107986"/>
    <w:rsid w:val="00111AE4"/>
    <w:rsid w:val="00113015"/>
    <w:rsid w:val="00113980"/>
    <w:rsid w:val="00113DBD"/>
    <w:rsid w:val="00114513"/>
    <w:rsid w:val="00114939"/>
    <w:rsid w:val="00114BAF"/>
    <w:rsid w:val="00115565"/>
    <w:rsid w:val="00115807"/>
    <w:rsid w:val="001162D0"/>
    <w:rsid w:val="00116613"/>
    <w:rsid w:val="001170C4"/>
    <w:rsid w:val="0011732E"/>
    <w:rsid w:val="00120778"/>
    <w:rsid w:val="00121606"/>
    <w:rsid w:val="00121AFA"/>
    <w:rsid w:val="00122A82"/>
    <w:rsid w:val="00122B7A"/>
    <w:rsid w:val="00123569"/>
    <w:rsid w:val="00123843"/>
    <w:rsid w:val="001243F7"/>
    <w:rsid w:val="0012453C"/>
    <w:rsid w:val="00124919"/>
    <w:rsid w:val="00125554"/>
    <w:rsid w:val="00125F59"/>
    <w:rsid w:val="001260C9"/>
    <w:rsid w:val="0012660C"/>
    <w:rsid w:val="00126721"/>
    <w:rsid w:val="00126807"/>
    <w:rsid w:val="00126CF6"/>
    <w:rsid w:val="0012714E"/>
    <w:rsid w:val="001276AE"/>
    <w:rsid w:val="001278AD"/>
    <w:rsid w:val="001279A0"/>
    <w:rsid w:val="0013019D"/>
    <w:rsid w:val="00130982"/>
    <w:rsid w:val="00130B94"/>
    <w:rsid w:val="00131513"/>
    <w:rsid w:val="001315EF"/>
    <w:rsid w:val="00131C18"/>
    <w:rsid w:val="001321E7"/>
    <w:rsid w:val="00132E27"/>
    <w:rsid w:val="001339C3"/>
    <w:rsid w:val="0013463D"/>
    <w:rsid w:val="0013519F"/>
    <w:rsid w:val="001359CD"/>
    <w:rsid w:val="00135B26"/>
    <w:rsid w:val="00136CB4"/>
    <w:rsid w:val="00137675"/>
    <w:rsid w:val="00137CF9"/>
    <w:rsid w:val="00140934"/>
    <w:rsid w:val="00141AE8"/>
    <w:rsid w:val="00142DF6"/>
    <w:rsid w:val="00143D88"/>
    <w:rsid w:val="00146CCC"/>
    <w:rsid w:val="0014715D"/>
    <w:rsid w:val="00147622"/>
    <w:rsid w:val="0015003B"/>
    <w:rsid w:val="001501A6"/>
    <w:rsid w:val="001509DB"/>
    <w:rsid w:val="00151359"/>
    <w:rsid w:val="00151F3E"/>
    <w:rsid w:val="0015224C"/>
    <w:rsid w:val="00152374"/>
    <w:rsid w:val="00153E7C"/>
    <w:rsid w:val="001540B2"/>
    <w:rsid w:val="0015417D"/>
    <w:rsid w:val="00154D4F"/>
    <w:rsid w:val="00155550"/>
    <w:rsid w:val="00155BD4"/>
    <w:rsid w:val="001561A8"/>
    <w:rsid w:val="00156804"/>
    <w:rsid w:val="001569C9"/>
    <w:rsid w:val="001577A1"/>
    <w:rsid w:val="001607F4"/>
    <w:rsid w:val="00161021"/>
    <w:rsid w:val="00161221"/>
    <w:rsid w:val="00161561"/>
    <w:rsid w:val="00163153"/>
    <w:rsid w:val="001636A8"/>
    <w:rsid w:val="00163FAC"/>
    <w:rsid w:val="00164176"/>
    <w:rsid w:val="0016540F"/>
    <w:rsid w:val="00166731"/>
    <w:rsid w:val="00166DAB"/>
    <w:rsid w:val="00167C5C"/>
    <w:rsid w:val="00170EAC"/>
    <w:rsid w:val="001712E8"/>
    <w:rsid w:val="00171B7A"/>
    <w:rsid w:val="0017228C"/>
    <w:rsid w:val="001729E4"/>
    <w:rsid w:val="001729F3"/>
    <w:rsid w:val="00172A27"/>
    <w:rsid w:val="00172E1C"/>
    <w:rsid w:val="0017356A"/>
    <w:rsid w:val="00174701"/>
    <w:rsid w:val="00174ABE"/>
    <w:rsid w:val="00174FE0"/>
    <w:rsid w:val="00175718"/>
    <w:rsid w:val="0017586D"/>
    <w:rsid w:val="00175BB1"/>
    <w:rsid w:val="0017676F"/>
    <w:rsid w:val="0017678C"/>
    <w:rsid w:val="00176BEC"/>
    <w:rsid w:val="00176FD9"/>
    <w:rsid w:val="00177637"/>
    <w:rsid w:val="0018020F"/>
    <w:rsid w:val="00180BAB"/>
    <w:rsid w:val="00180BDB"/>
    <w:rsid w:val="00180F35"/>
    <w:rsid w:val="001824ED"/>
    <w:rsid w:val="00184091"/>
    <w:rsid w:val="0018508D"/>
    <w:rsid w:val="0018551B"/>
    <w:rsid w:val="0018749B"/>
    <w:rsid w:val="0018755E"/>
    <w:rsid w:val="00187941"/>
    <w:rsid w:val="00187F35"/>
    <w:rsid w:val="00190608"/>
    <w:rsid w:val="00192430"/>
    <w:rsid w:val="00193709"/>
    <w:rsid w:val="00193C3D"/>
    <w:rsid w:val="00194CE7"/>
    <w:rsid w:val="00195225"/>
    <w:rsid w:val="00195254"/>
    <w:rsid w:val="001953AC"/>
    <w:rsid w:val="001963E3"/>
    <w:rsid w:val="00197B4E"/>
    <w:rsid w:val="001A02FB"/>
    <w:rsid w:val="001A061F"/>
    <w:rsid w:val="001A0D75"/>
    <w:rsid w:val="001A114C"/>
    <w:rsid w:val="001A35AD"/>
    <w:rsid w:val="001A3C83"/>
    <w:rsid w:val="001A3DAB"/>
    <w:rsid w:val="001A4BC2"/>
    <w:rsid w:val="001A5ADF"/>
    <w:rsid w:val="001A6401"/>
    <w:rsid w:val="001A726D"/>
    <w:rsid w:val="001B07A7"/>
    <w:rsid w:val="001B1D09"/>
    <w:rsid w:val="001B213A"/>
    <w:rsid w:val="001B223E"/>
    <w:rsid w:val="001B23CD"/>
    <w:rsid w:val="001B2507"/>
    <w:rsid w:val="001B2C22"/>
    <w:rsid w:val="001B2C4E"/>
    <w:rsid w:val="001B2DB3"/>
    <w:rsid w:val="001B306B"/>
    <w:rsid w:val="001B4578"/>
    <w:rsid w:val="001B4D75"/>
    <w:rsid w:val="001B5A86"/>
    <w:rsid w:val="001B5F7E"/>
    <w:rsid w:val="001B6190"/>
    <w:rsid w:val="001C0666"/>
    <w:rsid w:val="001C1315"/>
    <w:rsid w:val="001C252A"/>
    <w:rsid w:val="001C2691"/>
    <w:rsid w:val="001C2E75"/>
    <w:rsid w:val="001C3DDC"/>
    <w:rsid w:val="001C3F64"/>
    <w:rsid w:val="001C42CF"/>
    <w:rsid w:val="001C44CF"/>
    <w:rsid w:val="001C4A47"/>
    <w:rsid w:val="001C504A"/>
    <w:rsid w:val="001C57C2"/>
    <w:rsid w:val="001C5D79"/>
    <w:rsid w:val="001C64D6"/>
    <w:rsid w:val="001C753E"/>
    <w:rsid w:val="001C7928"/>
    <w:rsid w:val="001D0040"/>
    <w:rsid w:val="001D03BE"/>
    <w:rsid w:val="001D04B7"/>
    <w:rsid w:val="001D0BC9"/>
    <w:rsid w:val="001D21EB"/>
    <w:rsid w:val="001D2566"/>
    <w:rsid w:val="001D2B00"/>
    <w:rsid w:val="001D30CA"/>
    <w:rsid w:val="001D352E"/>
    <w:rsid w:val="001D4171"/>
    <w:rsid w:val="001D47C1"/>
    <w:rsid w:val="001D519E"/>
    <w:rsid w:val="001D7448"/>
    <w:rsid w:val="001D748E"/>
    <w:rsid w:val="001D7C2B"/>
    <w:rsid w:val="001E0BDC"/>
    <w:rsid w:val="001E1163"/>
    <w:rsid w:val="001E12DD"/>
    <w:rsid w:val="001E1B95"/>
    <w:rsid w:val="001E22E8"/>
    <w:rsid w:val="001E2AB7"/>
    <w:rsid w:val="001E2C95"/>
    <w:rsid w:val="001E30FA"/>
    <w:rsid w:val="001E345F"/>
    <w:rsid w:val="001E39D4"/>
    <w:rsid w:val="001E5569"/>
    <w:rsid w:val="001E5D56"/>
    <w:rsid w:val="001E62A0"/>
    <w:rsid w:val="001F0500"/>
    <w:rsid w:val="001F0635"/>
    <w:rsid w:val="001F11CA"/>
    <w:rsid w:val="001F1CF5"/>
    <w:rsid w:val="001F364B"/>
    <w:rsid w:val="001F3D14"/>
    <w:rsid w:val="001F40F1"/>
    <w:rsid w:val="001F4CA2"/>
    <w:rsid w:val="001F5932"/>
    <w:rsid w:val="001F637D"/>
    <w:rsid w:val="001F6762"/>
    <w:rsid w:val="001F6AE9"/>
    <w:rsid w:val="001F7140"/>
    <w:rsid w:val="001F7611"/>
    <w:rsid w:val="001F7AFB"/>
    <w:rsid w:val="001F7E5A"/>
    <w:rsid w:val="00200281"/>
    <w:rsid w:val="0020136A"/>
    <w:rsid w:val="00201A99"/>
    <w:rsid w:val="00202170"/>
    <w:rsid w:val="00202AE5"/>
    <w:rsid w:val="002031E5"/>
    <w:rsid w:val="00205A92"/>
    <w:rsid w:val="00206C8B"/>
    <w:rsid w:val="002072AD"/>
    <w:rsid w:val="00207867"/>
    <w:rsid w:val="002102A1"/>
    <w:rsid w:val="00212CAA"/>
    <w:rsid w:val="0021386E"/>
    <w:rsid w:val="00214610"/>
    <w:rsid w:val="00214684"/>
    <w:rsid w:val="00214A5E"/>
    <w:rsid w:val="002164F3"/>
    <w:rsid w:val="00217A87"/>
    <w:rsid w:val="00217A8D"/>
    <w:rsid w:val="0022144F"/>
    <w:rsid w:val="0022169C"/>
    <w:rsid w:val="00221E8E"/>
    <w:rsid w:val="00221F26"/>
    <w:rsid w:val="00222701"/>
    <w:rsid w:val="0022341C"/>
    <w:rsid w:val="00223BA5"/>
    <w:rsid w:val="00224B6B"/>
    <w:rsid w:val="002254A7"/>
    <w:rsid w:val="002254BE"/>
    <w:rsid w:val="002261F0"/>
    <w:rsid w:val="002278B7"/>
    <w:rsid w:val="00231ABB"/>
    <w:rsid w:val="00231D4B"/>
    <w:rsid w:val="00232145"/>
    <w:rsid w:val="002329DB"/>
    <w:rsid w:val="00233B07"/>
    <w:rsid w:val="00234307"/>
    <w:rsid w:val="00236DA7"/>
    <w:rsid w:val="00237150"/>
    <w:rsid w:val="00237712"/>
    <w:rsid w:val="00237BA1"/>
    <w:rsid w:val="002400E2"/>
    <w:rsid w:val="00240743"/>
    <w:rsid w:val="00240F82"/>
    <w:rsid w:val="00241EA2"/>
    <w:rsid w:val="00244066"/>
    <w:rsid w:val="002441DB"/>
    <w:rsid w:val="002450F8"/>
    <w:rsid w:val="00245549"/>
    <w:rsid w:val="0024597E"/>
    <w:rsid w:val="002466CA"/>
    <w:rsid w:val="00247023"/>
    <w:rsid w:val="002470D7"/>
    <w:rsid w:val="002515A7"/>
    <w:rsid w:val="0025280F"/>
    <w:rsid w:val="00252E2A"/>
    <w:rsid w:val="0025335E"/>
    <w:rsid w:val="00253FEE"/>
    <w:rsid w:val="002543D5"/>
    <w:rsid w:val="00254978"/>
    <w:rsid w:val="00254EFA"/>
    <w:rsid w:val="00255DAC"/>
    <w:rsid w:val="002575AC"/>
    <w:rsid w:val="0025798E"/>
    <w:rsid w:val="0026037D"/>
    <w:rsid w:val="002605DE"/>
    <w:rsid w:val="002605E8"/>
    <w:rsid w:val="00261B65"/>
    <w:rsid w:val="00262372"/>
    <w:rsid w:val="00263717"/>
    <w:rsid w:val="00263F7C"/>
    <w:rsid w:val="002658DA"/>
    <w:rsid w:val="00266B2F"/>
    <w:rsid w:val="00266BF9"/>
    <w:rsid w:val="00266D64"/>
    <w:rsid w:val="002674AB"/>
    <w:rsid w:val="00267BBB"/>
    <w:rsid w:val="00270627"/>
    <w:rsid w:val="00271249"/>
    <w:rsid w:val="00271B44"/>
    <w:rsid w:val="00271D17"/>
    <w:rsid w:val="00272834"/>
    <w:rsid w:val="00272C57"/>
    <w:rsid w:val="00272F81"/>
    <w:rsid w:val="00273D9B"/>
    <w:rsid w:val="00274FCD"/>
    <w:rsid w:val="00275B59"/>
    <w:rsid w:val="002771E7"/>
    <w:rsid w:val="00277A7B"/>
    <w:rsid w:val="002802AA"/>
    <w:rsid w:val="00280BFD"/>
    <w:rsid w:val="00280E01"/>
    <w:rsid w:val="00282A15"/>
    <w:rsid w:val="00282B0A"/>
    <w:rsid w:val="00282BA1"/>
    <w:rsid w:val="00283DAB"/>
    <w:rsid w:val="00284209"/>
    <w:rsid w:val="00285163"/>
    <w:rsid w:val="002867C9"/>
    <w:rsid w:val="00287805"/>
    <w:rsid w:val="002879AF"/>
    <w:rsid w:val="00290A5F"/>
    <w:rsid w:val="00290B8D"/>
    <w:rsid w:val="00292593"/>
    <w:rsid w:val="00293270"/>
    <w:rsid w:val="00293573"/>
    <w:rsid w:val="00294277"/>
    <w:rsid w:val="00294F8A"/>
    <w:rsid w:val="002979C1"/>
    <w:rsid w:val="002A01EB"/>
    <w:rsid w:val="002A0A92"/>
    <w:rsid w:val="002A1EB3"/>
    <w:rsid w:val="002A2F6C"/>
    <w:rsid w:val="002A6E10"/>
    <w:rsid w:val="002A761B"/>
    <w:rsid w:val="002B0672"/>
    <w:rsid w:val="002B08B7"/>
    <w:rsid w:val="002B1B90"/>
    <w:rsid w:val="002B2CD9"/>
    <w:rsid w:val="002B2D43"/>
    <w:rsid w:val="002B38A5"/>
    <w:rsid w:val="002B3B37"/>
    <w:rsid w:val="002B55C5"/>
    <w:rsid w:val="002B5D37"/>
    <w:rsid w:val="002B64F4"/>
    <w:rsid w:val="002B7136"/>
    <w:rsid w:val="002C2898"/>
    <w:rsid w:val="002C301E"/>
    <w:rsid w:val="002C4667"/>
    <w:rsid w:val="002C468B"/>
    <w:rsid w:val="002C4A72"/>
    <w:rsid w:val="002C671C"/>
    <w:rsid w:val="002D1A07"/>
    <w:rsid w:val="002D2347"/>
    <w:rsid w:val="002D2783"/>
    <w:rsid w:val="002D3D2E"/>
    <w:rsid w:val="002D3F2E"/>
    <w:rsid w:val="002D458A"/>
    <w:rsid w:val="002D45A9"/>
    <w:rsid w:val="002D7327"/>
    <w:rsid w:val="002D7B0C"/>
    <w:rsid w:val="002E2147"/>
    <w:rsid w:val="002E2208"/>
    <w:rsid w:val="002E269F"/>
    <w:rsid w:val="002E3DAA"/>
    <w:rsid w:val="002E433B"/>
    <w:rsid w:val="002E719A"/>
    <w:rsid w:val="002E78FA"/>
    <w:rsid w:val="002E7943"/>
    <w:rsid w:val="002E7C3E"/>
    <w:rsid w:val="002F0987"/>
    <w:rsid w:val="002F0FFC"/>
    <w:rsid w:val="002F154C"/>
    <w:rsid w:val="002F43F1"/>
    <w:rsid w:val="002F499F"/>
    <w:rsid w:val="002F78D4"/>
    <w:rsid w:val="002F7CFA"/>
    <w:rsid w:val="00300E81"/>
    <w:rsid w:val="0030117C"/>
    <w:rsid w:val="00301444"/>
    <w:rsid w:val="003023D3"/>
    <w:rsid w:val="00302972"/>
    <w:rsid w:val="00303142"/>
    <w:rsid w:val="00303486"/>
    <w:rsid w:val="0030373F"/>
    <w:rsid w:val="00303E2B"/>
    <w:rsid w:val="0030619B"/>
    <w:rsid w:val="00307715"/>
    <w:rsid w:val="00307E2D"/>
    <w:rsid w:val="00310157"/>
    <w:rsid w:val="003103D2"/>
    <w:rsid w:val="00311681"/>
    <w:rsid w:val="00311815"/>
    <w:rsid w:val="0031208E"/>
    <w:rsid w:val="003124B0"/>
    <w:rsid w:val="003128BA"/>
    <w:rsid w:val="0031356A"/>
    <w:rsid w:val="00313DFE"/>
    <w:rsid w:val="003140CA"/>
    <w:rsid w:val="00314A34"/>
    <w:rsid w:val="0031503A"/>
    <w:rsid w:val="00315539"/>
    <w:rsid w:val="00316CB2"/>
    <w:rsid w:val="00320662"/>
    <w:rsid w:val="00321366"/>
    <w:rsid w:val="00321402"/>
    <w:rsid w:val="00322C77"/>
    <w:rsid w:val="003236FF"/>
    <w:rsid w:val="00323B20"/>
    <w:rsid w:val="00323D4F"/>
    <w:rsid w:val="00324C83"/>
    <w:rsid w:val="00326433"/>
    <w:rsid w:val="00326C7F"/>
    <w:rsid w:val="00327F50"/>
    <w:rsid w:val="00331046"/>
    <w:rsid w:val="00331CA8"/>
    <w:rsid w:val="003328AC"/>
    <w:rsid w:val="00332CBE"/>
    <w:rsid w:val="00332DA4"/>
    <w:rsid w:val="00332ED3"/>
    <w:rsid w:val="00333299"/>
    <w:rsid w:val="003345D5"/>
    <w:rsid w:val="003351CB"/>
    <w:rsid w:val="003351EF"/>
    <w:rsid w:val="003356CC"/>
    <w:rsid w:val="0033646C"/>
    <w:rsid w:val="00336824"/>
    <w:rsid w:val="0033748A"/>
    <w:rsid w:val="003377DD"/>
    <w:rsid w:val="0034083B"/>
    <w:rsid w:val="0034129A"/>
    <w:rsid w:val="00342645"/>
    <w:rsid w:val="00342676"/>
    <w:rsid w:val="003431A5"/>
    <w:rsid w:val="0034337E"/>
    <w:rsid w:val="00343445"/>
    <w:rsid w:val="0034403B"/>
    <w:rsid w:val="003440B1"/>
    <w:rsid w:val="00344942"/>
    <w:rsid w:val="00347941"/>
    <w:rsid w:val="00347D63"/>
    <w:rsid w:val="00350405"/>
    <w:rsid w:val="00350C04"/>
    <w:rsid w:val="00350ECE"/>
    <w:rsid w:val="00351635"/>
    <w:rsid w:val="003517F6"/>
    <w:rsid w:val="00351E1B"/>
    <w:rsid w:val="00354B81"/>
    <w:rsid w:val="00356084"/>
    <w:rsid w:val="00356764"/>
    <w:rsid w:val="00356DDB"/>
    <w:rsid w:val="0035710E"/>
    <w:rsid w:val="003579FB"/>
    <w:rsid w:val="0036039F"/>
    <w:rsid w:val="00360C0F"/>
    <w:rsid w:val="00361014"/>
    <w:rsid w:val="00361862"/>
    <w:rsid w:val="00361C6E"/>
    <w:rsid w:val="00362271"/>
    <w:rsid w:val="003630EC"/>
    <w:rsid w:val="00363C8C"/>
    <w:rsid w:val="003643A3"/>
    <w:rsid w:val="003643E0"/>
    <w:rsid w:val="0036551B"/>
    <w:rsid w:val="003661DF"/>
    <w:rsid w:val="003675D4"/>
    <w:rsid w:val="003679CD"/>
    <w:rsid w:val="00370986"/>
    <w:rsid w:val="00372079"/>
    <w:rsid w:val="00372AD0"/>
    <w:rsid w:val="00373496"/>
    <w:rsid w:val="00375B6E"/>
    <w:rsid w:val="003761FD"/>
    <w:rsid w:val="003772A6"/>
    <w:rsid w:val="0038086E"/>
    <w:rsid w:val="00380E74"/>
    <w:rsid w:val="00382CE2"/>
    <w:rsid w:val="00383364"/>
    <w:rsid w:val="003834E7"/>
    <w:rsid w:val="003837C4"/>
    <w:rsid w:val="00383A48"/>
    <w:rsid w:val="003840C5"/>
    <w:rsid w:val="00384106"/>
    <w:rsid w:val="00384308"/>
    <w:rsid w:val="003857BA"/>
    <w:rsid w:val="00385907"/>
    <w:rsid w:val="00385E1A"/>
    <w:rsid w:val="00387190"/>
    <w:rsid w:val="00390611"/>
    <w:rsid w:val="0039113F"/>
    <w:rsid w:val="00391614"/>
    <w:rsid w:val="00391C5C"/>
    <w:rsid w:val="00391D23"/>
    <w:rsid w:val="00392192"/>
    <w:rsid w:val="00392D02"/>
    <w:rsid w:val="0039362F"/>
    <w:rsid w:val="00395766"/>
    <w:rsid w:val="003966A8"/>
    <w:rsid w:val="00396A34"/>
    <w:rsid w:val="00397522"/>
    <w:rsid w:val="003975F5"/>
    <w:rsid w:val="00397755"/>
    <w:rsid w:val="003A00BD"/>
    <w:rsid w:val="003A0D82"/>
    <w:rsid w:val="003A10B0"/>
    <w:rsid w:val="003A1F1E"/>
    <w:rsid w:val="003A209B"/>
    <w:rsid w:val="003A26C2"/>
    <w:rsid w:val="003A3F91"/>
    <w:rsid w:val="003A495A"/>
    <w:rsid w:val="003A6902"/>
    <w:rsid w:val="003A77F3"/>
    <w:rsid w:val="003A7C5C"/>
    <w:rsid w:val="003A7D94"/>
    <w:rsid w:val="003B0C05"/>
    <w:rsid w:val="003B0DFE"/>
    <w:rsid w:val="003B0F49"/>
    <w:rsid w:val="003B17D0"/>
    <w:rsid w:val="003B253F"/>
    <w:rsid w:val="003B2A23"/>
    <w:rsid w:val="003B3194"/>
    <w:rsid w:val="003B3725"/>
    <w:rsid w:val="003B380E"/>
    <w:rsid w:val="003B453B"/>
    <w:rsid w:val="003B63B4"/>
    <w:rsid w:val="003B6970"/>
    <w:rsid w:val="003B7FF8"/>
    <w:rsid w:val="003C0BAA"/>
    <w:rsid w:val="003C1370"/>
    <w:rsid w:val="003C1A03"/>
    <w:rsid w:val="003C1C5B"/>
    <w:rsid w:val="003C3BF1"/>
    <w:rsid w:val="003C6359"/>
    <w:rsid w:val="003C65D0"/>
    <w:rsid w:val="003D0218"/>
    <w:rsid w:val="003D0949"/>
    <w:rsid w:val="003D0A09"/>
    <w:rsid w:val="003D0F99"/>
    <w:rsid w:val="003D0FC2"/>
    <w:rsid w:val="003D1291"/>
    <w:rsid w:val="003D1F3A"/>
    <w:rsid w:val="003D2A94"/>
    <w:rsid w:val="003D2E9C"/>
    <w:rsid w:val="003D2EA0"/>
    <w:rsid w:val="003D37AC"/>
    <w:rsid w:val="003D3EF4"/>
    <w:rsid w:val="003D462B"/>
    <w:rsid w:val="003D519C"/>
    <w:rsid w:val="003D5709"/>
    <w:rsid w:val="003D6FD7"/>
    <w:rsid w:val="003D6FE7"/>
    <w:rsid w:val="003D7744"/>
    <w:rsid w:val="003D7857"/>
    <w:rsid w:val="003E017D"/>
    <w:rsid w:val="003E2161"/>
    <w:rsid w:val="003E2287"/>
    <w:rsid w:val="003E29D3"/>
    <w:rsid w:val="003E3EBC"/>
    <w:rsid w:val="003E48F4"/>
    <w:rsid w:val="003E6289"/>
    <w:rsid w:val="003E6FBD"/>
    <w:rsid w:val="003F0B4C"/>
    <w:rsid w:val="003F0B94"/>
    <w:rsid w:val="003F0FC9"/>
    <w:rsid w:val="003F106A"/>
    <w:rsid w:val="003F172C"/>
    <w:rsid w:val="003F2324"/>
    <w:rsid w:val="003F2DF8"/>
    <w:rsid w:val="003F396A"/>
    <w:rsid w:val="003F4932"/>
    <w:rsid w:val="003F545B"/>
    <w:rsid w:val="003F5527"/>
    <w:rsid w:val="003F55B5"/>
    <w:rsid w:val="003F5FF8"/>
    <w:rsid w:val="003F6AFA"/>
    <w:rsid w:val="003F6F69"/>
    <w:rsid w:val="003F74E6"/>
    <w:rsid w:val="003F77C2"/>
    <w:rsid w:val="003F7B45"/>
    <w:rsid w:val="003F7ECE"/>
    <w:rsid w:val="00400B60"/>
    <w:rsid w:val="00401A6D"/>
    <w:rsid w:val="00402BEE"/>
    <w:rsid w:val="00403B5C"/>
    <w:rsid w:val="00404771"/>
    <w:rsid w:val="00404A5D"/>
    <w:rsid w:val="00404D73"/>
    <w:rsid w:val="00404FA9"/>
    <w:rsid w:val="00405030"/>
    <w:rsid w:val="00405577"/>
    <w:rsid w:val="00406EFE"/>
    <w:rsid w:val="00406FA1"/>
    <w:rsid w:val="00410517"/>
    <w:rsid w:val="00411037"/>
    <w:rsid w:val="00411421"/>
    <w:rsid w:val="00411574"/>
    <w:rsid w:val="00411B28"/>
    <w:rsid w:val="0041226F"/>
    <w:rsid w:val="004124C6"/>
    <w:rsid w:val="00412FB8"/>
    <w:rsid w:val="004130A2"/>
    <w:rsid w:val="00413DA1"/>
    <w:rsid w:val="004144CA"/>
    <w:rsid w:val="00414736"/>
    <w:rsid w:val="004165F1"/>
    <w:rsid w:val="00416E3B"/>
    <w:rsid w:val="0042031D"/>
    <w:rsid w:val="004209D8"/>
    <w:rsid w:val="00421073"/>
    <w:rsid w:val="0042142B"/>
    <w:rsid w:val="00423FDC"/>
    <w:rsid w:val="004244D8"/>
    <w:rsid w:val="004249A2"/>
    <w:rsid w:val="0042601A"/>
    <w:rsid w:val="004268B8"/>
    <w:rsid w:val="00427304"/>
    <w:rsid w:val="00427373"/>
    <w:rsid w:val="00427ABD"/>
    <w:rsid w:val="004301E1"/>
    <w:rsid w:val="00430E8A"/>
    <w:rsid w:val="00431D10"/>
    <w:rsid w:val="004325EA"/>
    <w:rsid w:val="004327D6"/>
    <w:rsid w:val="0043301E"/>
    <w:rsid w:val="0043320C"/>
    <w:rsid w:val="00433445"/>
    <w:rsid w:val="00433944"/>
    <w:rsid w:val="00433CCD"/>
    <w:rsid w:val="004341E4"/>
    <w:rsid w:val="004354A2"/>
    <w:rsid w:val="00436893"/>
    <w:rsid w:val="00437605"/>
    <w:rsid w:val="00440F7A"/>
    <w:rsid w:val="0044136C"/>
    <w:rsid w:val="00441B51"/>
    <w:rsid w:val="00443923"/>
    <w:rsid w:val="00443E3A"/>
    <w:rsid w:val="00444003"/>
    <w:rsid w:val="00444EF4"/>
    <w:rsid w:val="00445349"/>
    <w:rsid w:val="00446667"/>
    <w:rsid w:val="0044722B"/>
    <w:rsid w:val="00447ED5"/>
    <w:rsid w:val="004500AE"/>
    <w:rsid w:val="004502A2"/>
    <w:rsid w:val="00450AB1"/>
    <w:rsid w:val="004510C9"/>
    <w:rsid w:val="004514D4"/>
    <w:rsid w:val="00451D3F"/>
    <w:rsid w:val="00451EA5"/>
    <w:rsid w:val="00452A50"/>
    <w:rsid w:val="00454445"/>
    <w:rsid w:val="00454862"/>
    <w:rsid w:val="00454FB3"/>
    <w:rsid w:val="0045574E"/>
    <w:rsid w:val="0045682C"/>
    <w:rsid w:val="00457E0A"/>
    <w:rsid w:val="0046011E"/>
    <w:rsid w:val="0046023F"/>
    <w:rsid w:val="00460FB0"/>
    <w:rsid w:val="004639B8"/>
    <w:rsid w:val="0046427F"/>
    <w:rsid w:val="00464570"/>
    <w:rsid w:val="004655DF"/>
    <w:rsid w:val="00465C54"/>
    <w:rsid w:val="00466EA3"/>
    <w:rsid w:val="00467361"/>
    <w:rsid w:val="0046787A"/>
    <w:rsid w:val="00467A27"/>
    <w:rsid w:val="00467A6A"/>
    <w:rsid w:val="0047012B"/>
    <w:rsid w:val="004702A2"/>
    <w:rsid w:val="0047089D"/>
    <w:rsid w:val="004728FF"/>
    <w:rsid w:val="0047293E"/>
    <w:rsid w:val="00472B1B"/>
    <w:rsid w:val="00473863"/>
    <w:rsid w:val="00473933"/>
    <w:rsid w:val="00473AB8"/>
    <w:rsid w:val="0047473F"/>
    <w:rsid w:val="00474E65"/>
    <w:rsid w:val="0047534E"/>
    <w:rsid w:val="00475B17"/>
    <w:rsid w:val="00475FFB"/>
    <w:rsid w:val="00476E06"/>
    <w:rsid w:val="004773D4"/>
    <w:rsid w:val="00481597"/>
    <w:rsid w:val="00481991"/>
    <w:rsid w:val="00481CF6"/>
    <w:rsid w:val="00483215"/>
    <w:rsid w:val="00483CF0"/>
    <w:rsid w:val="0048530B"/>
    <w:rsid w:val="00485664"/>
    <w:rsid w:val="00485681"/>
    <w:rsid w:val="0048615F"/>
    <w:rsid w:val="0048688C"/>
    <w:rsid w:val="0049183F"/>
    <w:rsid w:val="00492319"/>
    <w:rsid w:val="00492FBC"/>
    <w:rsid w:val="00494549"/>
    <w:rsid w:val="0049685F"/>
    <w:rsid w:val="00497110"/>
    <w:rsid w:val="00497769"/>
    <w:rsid w:val="004A0426"/>
    <w:rsid w:val="004A127F"/>
    <w:rsid w:val="004A4761"/>
    <w:rsid w:val="004A4D2A"/>
    <w:rsid w:val="004A50B5"/>
    <w:rsid w:val="004A58B3"/>
    <w:rsid w:val="004A5BF6"/>
    <w:rsid w:val="004A6F93"/>
    <w:rsid w:val="004A719D"/>
    <w:rsid w:val="004A7428"/>
    <w:rsid w:val="004A753E"/>
    <w:rsid w:val="004A75FD"/>
    <w:rsid w:val="004A7C5A"/>
    <w:rsid w:val="004B01EE"/>
    <w:rsid w:val="004B04A3"/>
    <w:rsid w:val="004B1617"/>
    <w:rsid w:val="004B1BAB"/>
    <w:rsid w:val="004B221C"/>
    <w:rsid w:val="004B285B"/>
    <w:rsid w:val="004B2A35"/>
    <w:rsid w:val="004B378B"/>
    <w:rsid w:val="004B4829"/>
    <w:rsid w:val="004B4E12"/>
    <w:rsid w:val="004B57F9"/>
    <w:rsid w:val="004B70EA"/>
    <w:rsid w:val="004B75B6"/>
    <w:rsid w:val="004B767D"/>
    <w:rsid w:val="004C04D8"/>
    <w:rsid w:val="004C0BF1"/>
    <w:rsid w:val="004C10DC"/>
    <w:rsid w:val="004C1355"/>
    <w:rsid w:val="004C16C8"/>
    <w:rsid w:val="004C1CBB"/>
    <w:rsid w:val="004C25D8"/>
    <w:rsid w:val="004C2F82"/>
    <w:rsid w:val="004C3C48"/>
    <w:rsid w:val="004C430E"/>
    <w:rsid w:val="004C6034"/>
    <w:rsid w:val="004C609C"/>
    <w:rsid w:val="004C6C2C"/>
    <w:rsid w:val="004C7904"/>
    <w:rsid w:val="004D0592"/>
    <w:rsid w:val="004D0C85"/>
    <w:rsid w:val="004D1EE7"/>
    <w:rsid w:val="004D202D"/>
    <w:rsid w:val="004D269A"/>
    <w:rsid w:val="004D2FED"/>
    <w:rsid w:val="004D3871"/>
    <w:rsid w:val="004D418C"/>
    <w:rsid w:val="004D43FF"/>
    <w:rsid w:val="004D48C3"/>
    <w:rsid w:val="004D5593"/>
    <w:rsid w:val="004D6290"/>
    <w:rsid w:val="004D7176"/>
    <w:rsid w:val="004E010D"/>
    <w:rsid w:val="004E2A4C"/>
    <w:rsid w:val="004E4A17"/>
    <w:rsid w:val="004E6E03"/>
    <w:rsid w:val="004E72F0"/>
    <w:rsid w:val="004E7653"/>
    <w:rsid w:val="004F080C"/>
    <w:rsid w:val="004F09CA"/>
    <w:rsid w:val="004F0C23"/>
    <w:rsid w:val="004F0D76"/>
    <w:rsid w:val="004F0DC9"/>
    <w:rsid w:val="004F1127"/>
    <w:rsid w:val="004F15DF"/>
    <w:rsid w:val="004F184C"/>
    <w:rsid w:val="004F224E"/>
    <w:rsid w:val="004F26E1"/>
    <w:rsid w:val="004F29B5"/>
    <w:rsid w:val="004F3411"/>
    <w:rsid w:val="004F3E44"/>
    <w:rsid w:val="004F4AA2"/>
    <w:rsid w:val="004F4D28"/>
    <w:rsid w:val="004F58C7"/>
    <w:rsid w:val="004F5F51"/>
    <w:rsid w:val="004F5F90"/>
    <w:rsid w:val="004F5FAB"/>
    <w:rsid w:val="004F6107"/>
    <w:rsid w:val="004F6DEA"/>
    <w:rsid w:val="0050017D"/>
    <w:rsid w:val="00501917"/>
    <w:rsid w:val="00502772"/>
    <w:rsid w:val="00502C32"/>
    <w:rsid w:val="00502CDD"/>
    <w:rsid w:val="00502DAA"/>
    <w:rsid w:val="005032B2"/>
    <w:rsid w:val="00503DA5"/>
    <w:rsid w:val="00506335"/>
    <w:rsid w:val="00506650"/>
    <w:rsid w:val="00506D72"/>
    <w:rsid w:val="00507533"/>
    <w:rsid w:val="0050761F"/>
    <w:rsid w:val="00507B18"/>
    <w:rsid w:val="00507C7A"/>
    <w:rsid w:val="005107B5"/>
    <w:rsid w:val="005108A8"/>
    <w:rsid w:val="00511297"/>
    <w:rsid w:val="00511F4A"/>
    <w:rsid w:val="00512031"/>
    <w:rsid w:val="005126E4"/>
    <w:rsid w:val="00512822"/>
    <w:rsid w:val="00512E13"/>
    <w:rsid w:val="0051358C"/>
    <w:rsid w:val="005138C8"/>
    <w:rsid w:val="00513C78"/>
    <w:rsid w:val="00514272"/>
    <w:rsid w:val="005143E5"/>
    <w:rsid w:val="0051479E"/>
    <w:rsid w:val="00514D88"/>
    <w:rsid w:val="00514DA8"/>
    <w:rsid w:val="00515C1A"/>
    <w:rsid w:val="00515EB0"/>
    <w:rsid w:val="0051697D"/>
    <w:rsid w:val="00516CF7"/>
    <w:rsid w:val="00516DAF"/>
    <w:rsid w:val="005171FD"/>
    <w:rsid w:val="005177AF"/>
    <w:rsid w:val="005200E2"/>
    <w:rsid w:val="00520B5A"/>
    <w:rsid w:val="0052290A"/>
    <w:rsid w:val="00522A36"/>
    <w:rsid w:val="005230E6"/>
    <w:rsid w:val="0052518D"/>
    <w:rsid w:val="005263F9"/>
    <w:rsid w:val="00530249"/>
    <w:rsid w:val="00530A70"/>
    <w:rsid w:val="00530BCD"/>
    <w:rsid w:val="00531664"/>
    <w:rsid w:val="005329FC"/>
    <w:rsid w:val="00532E1C"/>
    <w:rsid w:val="005331E5"/>
    <w:rsid w:val="00534D41"/>
    <w:rsid w:val="0053572A"/>
    <w:rsid w:val="00537BDD"/>
    <w:rsid w:val="00540924"/>
    <w:rsid w:val="00540E0B"/>
    <w:rsid w:val="00540E63"/>
    <w:rsid w:val="00540F1B"/>
    <w:rsid w:val="00541A10"/>
    <w:rsid w:val="005422F6"/>
    <w:rsid w:val="0054268A"/>
    <w:rsid w:val="005438AE"/>
    <w:rsid w:val="00543D40"/>
    <w:rsid w:val="00543E2F"/>
    <w:rsid w:val="00544359"/>
    <w:rsid w:val="00544892"/>
    <w:rsid w:val="00545EF6"/>
    <w:rsid w:val="00546EA6"/>
    <w:rsid w:val="00546F37"/>
    <w:rsid w:val="00546FBC"/>
    <w:rsid w:val="00550D42"/>
    <w:rsid w:val="00550D44"/>
    <w:rsid w:val="00550E4E"/>
    <w:rsid w:val="00551937"/>
    <w:rsid w:val="005527EE"/>
    <w:rsid w:val="0055370D"/>
    <w:rsid w:val="00554020"/>
    <w:rsid w:val="00554F80"/>
    <w:rsid w:val="0055528A"/>
    <w:rsid w:val="0055608A"/>
    <w:rsid w:val="00556230"/>
    <w:rsid w:val="00557661"/>
    <w:rsid w:val="00557C2F"/>
    <w:rsid w:val="00557D80"/>
    <w:rsid w:val="00557DE3"/>
    <w:rsid w:val="0056152B"/>
    <w:rsid w:val="00561A4B"/>
    <w:rsid w:val="005620B7"/>
    <w:rsid w:val="005629BF"/>
    <w:rsid w:val="00562CEA"/>
    <w:rsid w:val="00563E98"/>
    <w:rsid w:val="005647A0"/>
    <w:rsid w:val="00565962"/>
    <w:rsid w:val="00565DC4"/>
    <w:rsid w:val="00566479"/>
    <w:rsid w:val="0056666B"/>
    <w:rsid w:val="005666B2"/>
    <w:rsid w:val="0056675E"/>
    <w:rsid w:val="00567F33"/>
    <w:rsid w:val="005700BE"/>
    <w:rsid w:val="0057022A"/>
    <w:rsid w:val="0057118D"/>
    <w:rsid w:val="0057198B"/>
    <w:rsid w:val="00571B92"/>
    <w:rsid w:val="00571DB0"/>
    <w:rsid w:val="005720CE"/>
    <w:rsid w:val="00573107"/>
    <w:rsid w:val="00573E85"/>
    <w:rsid w:val="005741B6"/>
    <w:rsid w:val="00574300"/>
    <w:rsid w:val="005745A0"/>
    <w:rsid w:val="00575F07"/>
    <w:rsid w:val="00576561"/>
    <w:rsid w:val="00576593"/>
    <w:rsid w:val="0057705B"/>
    <w:rsid w:val="005779B7"/>
    <w:rsid w:val="00580B3C"/>
    <w:rsid w:val="00580F16"/>
    <w:rsid w:val="00581DC1"/>
    <w:rsid w:val="005827EB"/>
    <w:rsid w:val="00582FAC"/>
    <w:rsid w:val="005843DB"/>
    <w:rsid w:val="005857A3"/>
    <w:rsid w:val="00585E4E"/>
    <w:rsid w:val="00586706"/>
    <w:rsid w:val="00586F36"/>
    <w:rsid w:val="00587302"/>
    <w:rsid w:val="00587AA2"/>
    <w:rsid w:val="00587B7A"/>
    <w:rsid w:val="005909EE"/>
    <w:rsid w:val="00590D71"/>
    <w:rsid w:val="00590E60"/>
    <w:rsid w:val="00591CCE"/>
    <w:rsid w:val="00591D27"/>
    <w:rsid w:val="00592D62"/>
    <w:rsid w:val="005932BC"/>
    <w:rsid w:val="0059436F"/>
    <w:rsid w:val="005948B3"/>
    <w:rsid w:val="00594D0A"/>
    <w:rsid w:val="00595D6F"/>
    <w:rsid w:val="00596381"/>
    <w:rsid w:val="00596F77"/>
    <w:rsid w:val="00597A3E"/>
    <w:rsid w:val="005A0161"/>
    <w:rsid w:val="005A0268"/>
    <w:rsid w:val="005A048F"/>
    <w:rsid w:val="005A0715"/>
    <w:rsid w:val="005A09B9"/>
    <w:rsid w:val="005A1AB9"/>
    <w:rsid w:val="005A377C"/>
    <w:rsid w:val="005A453B"/>
    <w:rsid w:val="005A5184"/>
    <w:rsid w:val="005A5CAA"/>
    <w:rsid w:val="005A6D91"/>
    <w:rsid w:val="005B2072"/>
    <w:rsid w:val="005B2316"/>
    <w:rsid w:val="005B27FC"/>
    <w:rsid w:val="005B29AC"/>
    <w:rsid w:val="005B2AF2"/>
    <w:rsid w:val="005B2E51"/>
    <w:rsid w:val="005B326A"/>
    <w:rsid w:val="005B3D3B"/>
    <w:rsid w:val="005B447D"/>
    <w:rsid w:val="005B4F90"/>
    <w:rsid w:val="005B4F96"/>
    <w:rsid w:val="005B5278"/>
    <w:rsid w:val="005B5C97"/>
    <w:rsid w:val="005B701A"/>
    <w:rsid w:val="005B7055"/>
    <w:rsid w:val="005B7D62"/>
    <w:rsid w:val="005C0C77"/>
    <w:rsid w:val="005C102C"/>
    <w:rsid w:val="005C20EC"/>
    <w:rsid w:val="005C21EA"/>
    <w:rsid w:val="005C2769"/>
    <w:rsid w:val="005C2C7B"/>
    <w:rsid w:val="005C2C85"/>
    <w:rsid w:val="005C3900"/>
    <w:rsid w:val="005C435D"/>
    <w:rsid w:val="005C4914"/>
    <w:rsid w:val="005C4ADD"/>
    <w:rsid w:val="005C4CAF"/>
    <w:rsid w:val="005C68A7"/>
    <w:rsid w:val="005C7AC4"/>
    <w:rsid w:val="005D0752"/>
    <w:rsid w:val="005D17B9"/>
    <w:rsid w:val="005D2AD0"/>
    <w:rsid w:val="005D2D0E"/>
    <w:rsid w:val="005D3D08"/>
    <w:rsid w:val="005D4904"/>
    <w:rsid w:val="005D50A3"/>
    <w:rsid w:val="005D697B"/>
    <w:rsid w:val="005D69F7"/>
    <w:rsid w:val="005D6B5B"/>
    <w:rsid w:val="005D6C47"/>
    <w:rsid w:val="005E0065"/>
    <w:rsid w:val="005E0236"/>
    <w:rsid w:val="005E040D"/>
    <w:rsid w:val="005E11B3"/>
    <w:rsid w:val="005E12B9"/>
    <w:rsid w:val="005E160C"/>
    <w:rsid w:val="005E27B2"/>
    <w:rsid w:val="005E65C8"/>
    <w:rsid w:val="005E6627"/>
    <w:rsid w:val="005E71F2"/>
    <w:rsid w:val="005E7384"/>
    <w:rsid w:val="005E742F"/>
    <w:rsid w:val="005E7FF2"/>
    <w:rsid w:val="005F16E5"/>
    <w:rsid w:val="005F1D01"/>
    <w:rsid w:val="005F1DF5"/>
    <w:rsid w:val="005F25A5"/>
    <w:rsid w:val="005F3518"/>
    <w:rsid w:val="005F3613"/>
    <w:rsid w:val="005F4513"/>
    <w:rsid w:val="005F4540"/>
    <w:rsid w:val="005F4BD8"/>
    <w:rsid w:val="005F4C91"/>
    <w:rsid w:val="005F5200"/>
    <w:rsid w:val="005F5CEE"/>
    <w:rsid w:val="005F5FFB"/>
    <w:rsid w:val="005F6A4E"/>
    <w:rsid w:val="005F748A"/>
    <w:rsid w:val="00600809"/>
    <w:rsid w:val="00600A8F"/>
    <w:rsid w:val="006015DE"/>
    <w:rsid w:val="006019DA"/>
    <w:rsid w:val="00602448"/>
    <w:rsid w:val="00602762"/>
    <w:rsid w:val="00602E95"/>
    <w:rsid w:val="0060379E"/>
    <w:rsid w:val="006067CA"/>
    <w:rsid w:val="00610472"/>
    <w:rsid w:val="00610DB7"/>
    <w:rsid w:val="00611704"/>
    <w:rsid w:val="00611F77"/>
    <w:rsid w:val="006127CA"/>
    <w:rsid w:val="00612CAE"/>
    <w:rsid w:val="00613D50"/>
    <w:rsid w:val="00613FBF"/>
    <w:rsid w:val="00616742"/>
    <w:rsid w:val="00617E90"/>
    <w:rsid w:val="006206CB"/>
    <w:rsid w:val="0062070E"/>
    <w:rsid w:val="0062107A"/>
    <w:rsid w:val="00621B4F"/>
    <w:rsid w:val="00621D8B"/>
    <w:rsid w:val="00622066"/>
    <w:rsid w:val="006226C7"/>
    <w:rsid w:val="00623E86"/>
    <w:rsid w:val="00624F87"/>
    <w:rsid w:val="00625327"/>
    <w:rsid w:val="0062612C"/>
    <w:rsid w:val="0062622E"/>
    <w:rsid w:val="0062666B"/>
    <w:rsid w:val="00626689"/>
    <w:rsid w:val="006269E5"/>
    <w:rsid w:val="006272C7"/>
    <w:rsid w:val="006274EB"/>
    <w:rsid w:val="006278D7"/>
    <w:rsid w:val="00627A15"/>
    <w:rsid w:val="0063315C"/>
    <w:rsid w:val="006331C2"/>
    <w:rsid w:val="00633798"/>
    <w:rsid w:val="006342C7"/>
    <w:rsid w:val="00634306"/>
    <w:rsid w:val="006349D4"/>
    <w:rsid w:val="006355AF"/>
    <w:rsid w:val="00635799"/>
    <w:rsid w:val="0063768B"/>
    <w:rsid w:val="00637763"/>
    <w:rsid w:val="006379FB"/>
    <w:rsid w:val="00637A55"/>
    <w:rsid w:val="00640854"/>
    <w:rsid w:val="006412D8"/>
    <w:rsid w:val="00641A86"/>
    <w:rsid w:val="00642B44"/>
    <w:rsid w:val="0064442D"/>
    <w:rsid w:val="00645C9B"/>
    <w:rsid w:val="00645D0B"/>
    <w:rsid w:val="00646D29"/>
    <w:rsid w:val="00647530"/>
    <w:rsid w:val="00650A91"/>
    <w:rsid w:val="00650D0E"/>
    <w:rsid w:val="0065106E"/>
    <w:rsid w:val="006511DF"/>
    <w:rsid w:val="00651BB2"/>
    <w:rsid w:val="00651BDC"/>
    <w:rsid w:val="00652B41"/>
    <w:rsid w:val="00652C2A"/>
    <w:rsid w:val="00652F4B"/>
    <w:rsid w:val="0065328A"/>
    <w:rsid w:val="00653836"/>
    <w:rsid w:val="00653A17"/>
    <w:rsid w:val="00655C15"/>
    <w:rsid w:val="006601A8"/>
    <w:rsid w:val="00660DD7"/>
    <w:rsid w:val="00661C16"/>
    <w:rsid w:val="00661CDB"/>
    <w:rsid w:val="00661F7A"/>
    <w:rsid w:val="00662693"/>
    <w:rsid w:val="0066339A"/>
    <w:rsid w:val="006636D3"/>
    <w:rsid w:val="00663BA0"/>
    <w:rsid w:val="00666B8E"/>
    <w:rsid w:val="00666F05"/>
    <w:rsid w:val="00667760"/>
    <w:rsid w:val="006704DD"/>
    <w:rsid w:val="006712EE"/>
    <w:rsid w:val="00671981"/>
    <w:rsid w:val="00671CA1"/>
    <w:rsid w:val="00672194"/>
    <w:rsid w:val="00672C86"/>
    <w:rsid w:val="006740AD"/>
    <w:rsid w:val="0067459D"/>
    <w:rsid w:val="00675693"/>
    <w:rsid w:val="00675C95"/>
    <w:rsid w:val="00675CD7"/>
    <w:rsid w:val="006769C8"/>
    <w:rsid w:val="00676C1E"/>
    <w:rsid w:val="00677D03"/>
    <w:rsid w:val="00680000"/>
    <w:rsid w:val="00680572"/>
    <w:rsid w:val="00681D88"/>
    <w:rsid w:val="00682639"/>
    <w:rsid w:val="00683EB0"/>
    <w:rsid w:val="00684EB8"/>
    <w:rsid w:val="00685212"/>
    <w:rsid w:val="006854DB"/>
    <w:rsid w:val="006855C0"/>
    <w:rsid w:val="00687C73"/>
    <w:rsid w:val="00690FCE"/>
    <w:rsid w:val="006914B5"/>
    <w:rsid w:val="00694445"/>
    <w:rsid w:val="00694E2B"/>
    <w:rsid w:val="0069744B"/>
    <w:rsid w:val="006979D8"/>
    <w:rsid w:val="006A14CF"/>
    <w:rsid w:val="006A2A73"/>
    <w:rsid w:val="006A3C6A"/>
    <w:rsid w:val="006B0C66"/>
    <w:rsid w:val="006B0DF9"/>
    <w:rsid w:val="006B0FA5"/>
    <w:rsid w:val="006B1059"/>
    <w:rsid w:val="006B2449"/>
    <w:rsid w:val="006B27B5"/>
    <w:rsid w:val="006B29CE"/>
    <w:rsid w:val="006B2D30"/>
    <w:rsid w:val="006B341C"/>
    <w:rsid w:val="006B3663"/>
    <w:rsid w:val="006B4C19"/>
    <w:rsid w:val="006B504E"/>
    <w:rsid w:val="006B55A3"/>
    <w:rsid w:val="006B6DD2"/>
    <w:rsid w:val="006B7554"/>
    <w:rsid w:val="006B770F"/>
    <w:rsid w:val="006B7BD3"/>
    <w:rsid w:val="006C086E"/>
    <w:rsid w:val="006C0CAE"/>
    <w:rsid w:val="006C0F08"/>
    <w:rsid w:val="006C177A"/>
    <w:rsid w:val="006C2B67"/>
    <w:rsid w:val="006C53D3"/>
    <w:rsid w:val="006C7A35"/>
    <w:rsid w:val="006C7F32"/>
    <w:rsid w:val="006D0D73"/>
    <w:rsid w:val="006D1515"/>
    <w:rsid w:val="006D3075"/>
    <w:rsid w:val="006D5604"/>
    <w:rsid w:val="006D60E8"/>
    <w:rsid w:val="006D6A51"/>
    <w:rsid w:val="006E0DAC"/>
    <w:rsid w:val="006E0DB5"/>
    <w:rsid w:val="006E1B40"/>
    <w:rsid w:val="006E1DCA"/>
    <w:rsid w:val="006E1EF4"/>
    <w:rsid w:val="006E2A8C"/>
    <w:rsid w:val="006E3478"/>
    <w:rsid w:val="006E37F1"/>
    <w:rsid w:val="006E3DE5"/>
    <w:rsid w:val="006E3F73"/>
    <w:rsid w:val="006E3FED"/>
    <w:rsid w:val="006E6A09"/>
    <w:rsid w:val="006E77AC"/>
    <w:rsid w:val="006E78AC"/>
    <w:rsid w:val="006F0FBC"/>
    <w:rsid w:val="006F1049"/>
    <w:rsid w:val="006F157A"/>
    <w:rsid w:val="006F33E5"/>
    <w:rsid w:val="006F3AB3"/>
    <w:rsid w:val="006F4581"/>
    <w:rsid w:val="006F4AC6"/>
    <w:rsid w:val="006F5389"/>
    <w:rsid w:val="006F5A20"/>
    <w:rsid w:val="006F5C64"/>
    <w:rsid w:val="006F6DF9"/>
    <w:rsid w:val="006F6E2A"/>
    <w:rsid w:val="00700859"/>
    <w:rsid w:val="007008C9"/>
    <w:rsid w:val="00700F56"/>
    <w:rsid w:val="00701AD8"/>
    <w:rsid w:val="00702179"/>
    <w:rsid w:val="0070241B"/>
    <w:rsid w:val="007029C5"/>
    <w:rsid w:val="0070349A"/>
    <w:rsid w:val="00703D7C"/>
    <w:rsid w:val="0070404C"/>
    <w:rsid w:val="007040D7"/>
    <w:rsid w:val="007044A5"/>
    <w:rsid w:val="00704D17"/>
    <w:rsid w:val="00705078"/>
    <w:rsid w:val="007050BE"/>
    <w:rsid w:val="007052C2"/>
    <w:rsid w:val="007054EF"/>
    <w:rsid w:val="0071012A"/>
    <w:rsid w:val="00710498"/>
    <w:rsid w:val="00710614"/>
    <w:rsid w:val="007111E1"/>
    <w:rsid w:val="007115D2"/>
    <w:rsid w:val="0071208A"/>
    <w:rsid w:val="0071249F"/>
    <w:rsid w:val="0071271D"/>
    <w:rsid w:val="00712C01"/>
    <w:rsid w:val="00713BCD"/>
    <w:rsid w:val="00713E7C"/>
    <w:rsid w:val="00713EF7"/>
    <w:rsid w:val="00714102"/>
    <w:rsid w:val="00714342"/>
    <w:rsid w:val="007143D4"/>
    <w:rsid w:val="007147E6"/>
    <w:rsid w:val="00714A94"/>
    <w:rsid w:val="007152EE"/>
    <w:rsid w:val="007152FD"/>
    <w:rsid w:val="00716378"/>
    <w:rsid w:val="007165CD"/>
    <w:rsid w:val="00717C54"/>
    <w:rsid w:val="0072135D"/>
    <w:rsid w:val="00721564"/>
    <w:rsid w:val="00723504"/>
    <w:rsid w:val="00723910"/>
    <w:rsid w:val="0072411F"/>
    <w:rsid w:val="00725302"/>
    <w:rsid w:val="00725383"/>
    <w:rsid w:val="00725D3F"/>
    <w:rsid w:val="00727431"/>
    <w:rsid w:val="007277F5"/>
    <w:rsid w:val="00727F3E"/>
    <w:rsid w:val="00730903"/>
    <w:rsid w:val="00730E5F"/>
    <w:rsid w:val="00731621"/>
    <w:rsid w:val="0073359B"/>
    <w:rsid w:val="00733836"/>
    <w:rsid w:val="00734095"/>
    <w:rsid w:val="007350C2"/>
    <w:rsid w:val="00735323"/>
    <w:rsid w:val="007356C0"/>
    <w:rsid w:val="00735F43"/>
    <w:rsid w:val="007368C0"/>
    <w:rsid w:val="007403EE"/>
    <w:rsid w:val="00740635"/>
    <w:rsid w:val="00741B66"/>
    <w:rsid w:val="00742FC3"/>
    <w:rsid w:val="0074304C"/>
    <w:rsid w:val="00744212"/>
    <w:rsid w:val="0074471E"/>
    <w:rsid w:val="00744ADF"/>
    <w:rsid w:val="00744E35"/>
    <w:rsid w:val="00745811"/>
    <w:rsid w:val="00746F76"/>
    <w:rsid w:val="007470E9"/>
    <w:rsid w:val="0075008F"/>
    <w:rsid w:val="0075092C"/>
    <w:rsid w:val="00750D83"/>
    <w:rsid w:val="00751020"/>
    <w:rsid w:val="00751884"/>
    <w:rsid w:val="00752B8C"/>
    <w:rsid w:val="00752CFD"/>
    <w:rsid w:val="0075412E"/>
    <w:rsid w:val="0075524B"/>
    <w:rsid w:val="00755C49"/>
    <w:rsid w:val="00755D9A"/>
    <w:rsid w:val="00755EA3"/>
    <w:rsid w:val="00756B88"/>
    <w:rsid w:val="00756BE4"/>
    <w:rsid w:val="00756C49"/>
    <w:rsid w:val="00757977"/>
    <w:rsid w:val="00757D0F"/>
    <w:rsid w:val="0076112C"/>
    <w:rsid w:val="00762512"/>
    <w:rsid w:val="007636B6"/>
    <w:rsid w:val="00763B51"/>
    <w:rsid w:val="00764B6E"/>
    <w:rsid w:val="00764D68"/>
    <w:rsid w:val="007651C4"/>
    <w:rsid w:val="0076528A"/>
    <w:rsid w:val="00765690"/>
    <w:rsid w:val="007663C3"/>
    <w:rsid w:val="00770013"/>
    <w:rsid w:val="00770822"/>
    <w:rsid w:val="00770BF8"/>
    <w:rsid w:val="007710BC"/>
    <w:rsid w:val="007711A4"/>
    <w:rsid w:val="00771491"/>
    <w:rsid w:val="007718A3"/>
    <w:rsid w:val="00771D74"/>
    <w:rsid w:val="007728AA"/>
    <w:rsid w:val="00772D51"/>
    <w:rsid w:val="00773456"/>
    <w:rsid w:val="00774BB6"/>
    <w:rsid w:val="00775066"/>
    <w:rsid w:val="00775FD9"/>
    <w:rsid w:val="00776723"/>
    <w:rsid w:val="00776B3A"/>
    <w:rsid w:val="00776D48"/>
    <w:rsid w:val="007775F2"/>
    <w:rsid w:val="007800FA"/>
    <w:rsid w:val="00780AFB"/>
    <w:rsid w:val="00780C87"/>
    <w:rsid w:val="00780DD8"/>
    <w:rsid w:val="00781380"/>
    <w:rsid w:val="0078179C"/>
    <w:rsid w:val="00781EA3"/>
    <w:rsid w:val="0078287D"/>
    <w:rsid w:val="00782B74"/>
    <w:rsid w:val="00783BA1"/>
    <w:rsid w:val="007849C0"/>
    <w:rsid w:val="00786057"/>
    <w:rsid w:val="0078629B"/>
    <w:rsid w:val="00786BFB"/>
    <w:rsid w:val="007871B1"/>
    <w:rsid w:val="00790C0D"/>
    <w:rsid w:val="007916DB"/>
    <w:rsid w:val="00791DD5"/>
    <w:rsid w:val="007925AD"/>
    <w:rsid w:val="007940F9"/>
    <w:rsid w:val="00794105"/>
    <w:rsid w:val="00794AD0"/>
    <w:rsid w:val="0079567F"/>
    <w:rsid w:val="00796CBE"/>
    <w:rsid w:val="00797ED2"/>
    <w:rsid w:val="007A0628"/>
    <w:rsid w:val="007A0F12"/>
    <w:rsid w:val="007A22DE"/>
    <w:rsid w:val="007A25FA"/>
    <w:rsid w:val="007A329A"/>
    <w:rsid w:val="007A367C"/>
    <w:rsid w:val="007A375D"/>
    <w:rsid w:val="007A4FFA"/>
    <w:rsid w:val="007A6D18"/>
    <w:rsid w:val="007A6E87"/>
    <w:rsid w:val="007A7A44"/>
    <w:rsid w:val="007A7AAA"/>
    <w:rsid w:val="007B02C5"/>
    <w:rsid w:val="007B0326"/>
    <w:rsid w:val="007B0600"/>
    <w:rsid w:val="007B13D9"/>
    <w:rsid w:val="007B1AC9"/>
    <w:rsid w:val="007B33A3"/>
    <w:rsid w:val="007B3894"/>
    <w:rsid w:val="007B3BE2"/>
    <w:rsid w:val="007B5E6E"/>
    <w:rsid w:val="007B73CD"/>
    <w:rsid w:val="007B7510"/>
    <w:rsid w:val="007B7639"/>
    <w:rsid w:val="007B7671"/>
    <w:rsid w:val="007C0417"/>
    <w:rsid w:val="007C0E25"/>
    <w:rsid w:val="007C1392"/>
    <w:rsid w:val="007C163B"/>
    <w:rsid w:val="007C294B"/>
    <w:rsid w:val="007C30C6"/>
    <w:rsid w:val="007C3459"/>
    <w:rsid w:val="007C3606"/>
    <w:rsid w:val="007C3797"/>
    <w:rsid w:val="007C3EC3"/>
    <w:rsid w:val="007C40DF"/>
    <w:rsid w:val="007C43C6"/>
    <w:rsid w:val="007C4AF3"/>
    <w:rsid w:val="007C5BEA"/>
    <w:rsid w:val="007C5E0E"/>
    <w:rsid w:val="007C5EC2"/>
    <w:rsid w:val="007C654E"/>
    <w:rsid w:val="007C65AB"/>
    <w:rsid w:val="007C7116"/>
    <w:rsid w:val="007C747B"/>
    <w:rsid w:val="007C7F6F"/>
    <w:rsid w:val="007D0F06"/>
    <w:rsid w:val="007D0F86"/>
    <w:rsid w:val="007D1205"/>
    <w:rsid w:val="007D16FC"/>
    <w:rsid w:val="007D36B7"/>
    <w:rsid w:val="007D37FB"/>
    <w:rsid w:val="007D3A57"/>
    <w:rsid w:val="007D55CA"/>
    <w:rsid w:val="007D599A"/>
    <w:rsid w:val="007D5B12"/>
    <w:rsid w:val="007D5B64"/>
    <w:rsid w:val="007D5DD8"/>
    <w:rsid w:val="007D5F24"/>
    <w:rsid w:val="007D632C"/>
    <w:rsid w:val="007D7877"/>
    <w:rsid w:val="007D7B69"/>
    <w:rsid w:val="007D7C1F"/>
    <w:rsid w:val="007D7D10"/>
    <w:rsid w:val="007E0B65"/>
    <w:rsid w:val="007E0CAD"/>
    <w:rsid w:val="007E0D05"/>
    <w:rsid w:val="007E0D89"/>
    <w:rsid w:val="007E150E"/>
    <w:rsid w:val="007E1BC9"/>
    <w:rsid w:val="007E1F29"/>
    <w:rsid w:val="007E26B3"/>
    <w:rsid w:val="007E2F1A"/>
    <w:rsid w:val="007E30D4"/>
    <w:rsid w:val="007E350E"/>
    <w:rsid w:val="007E3CDC"/>
    <w:rsid w:val="007E4466"/>
    <w:rsid w:val="007E4E9B"/>
    <w:rsid w:val="007E5558"/>
    <w:rsid w:val="007E5D2F"/>
    <w:rsid w:val="007E7135"/>
    <w:rsid w:val="007E79F5"/>
    <w:rsid w:val="007F010A"/>
    <w:rsid w:val="007F04BF"/>
    <w:rsid w:val="007F23EE"/>
    <w:rsid w:val="007F2F79"/>
    <w:rsid w:val="007F34D4"/>
    <w:rsid w:val="007F6545"/>
    <w:rsid w:val="007F65E0"/>
    <w:rsid w:val="007F6A66"/>
    <w:rsid w:val="007F6C71"/>
    <w:rsid w:val="00800536"/>
    <w:rsid w:val="00800792"/>
    <w:rsid w:val="00800946"/>
    <w:rsid w:val="008010B1"/>
    <w:rsid w:val="00801541"/>
    <w:rsid w:val="00801BA2"/>
    <w:rsid w:val="008028D3"/>
    <w:rsid w:val="00802D1D"/>
    <w:rsid w:val="00802D90"/>
    <w:rsid w:val="0080570E"/>
    <w:rsid w:val="008059AA"/>
    <w:rsid w:val="008072A0"/>
    <w:rsid w:val="00810B87"/>
    <w:rsid w:val="00812940"/>
    <w:rsid w:val="00812F28"/>
    <w:rsid w:val="008131C8"/>
    <w:rsid w:val="008132B2"/>
    <w:rsid w:val="00813B4E"/>
    <w:rsid w:val="00814B55"/>
    <w:rsid w:val="00815290"/>
    <w:rsid w:val="00815ACC"/>
    <w:rsid w:val="00816D82"/>
    <w:rsid w:val="00816DC2"/>
    <w:rsid w:val="008170BA"/>
    <w:rsid w:val="00822003"/>
    <w:rsid w:val="0082256B"/>
    <w:rsid w:val="008225C1"/>
    <w:rsid w:val="00822D4A"/>
    <w:rsid w:val="008230A0"/>
    <w:rsid w:val="00825873"/>
    <w:rsid w:val="00825D07"/>
    <w:rsid w:val="00826469"/>
    <w:rsid w:val="00826A22"/>
    <w:rsid w:val="00826A58"/>
    <w:rsid w:val="0082716F"/>
    <w:rsid w:val="00827B8A"/>
    <w:rsid w:val="00830517"/>
    <w:rsid w:val="008305FC"/>
    <w:rsid w:val="00831C9C"/>
    <w:rsid w:val="00831D8A"/>
    <w:rsid w:val="00833A75"/>
    <w:rsid w:val="00835C4E"/>
    <w:rsid w:val="00835D20"/>
    <w:rsid w:val="00836DC5"/>
    <w:rsid w:val="00836E0A"/>
    <w:rsid w:val="00837A7F"/>
    <w:rsid w:val="00840E72"/>
    <w:rsid w:val="00840FFC"/>
    <w:rsid w:val="008410BB"/>
    <w:rsid w:val="008411D6"/>
    <w:rsid w:val="0084274E"/>
    <w:rsid w:val="00843CC8"/>
    <w:rsid w:val="008447B3"/>
    <w:rsid w:val="0084551A"/>
    <w:rsid w:val="00846F16"/>
    <w:rsid w:val="00846FF1"/>
    <w:rsid w:val="00847321"/>
    <w:rsid w:val="008503B7"/>
    <w:rsid w:val="00850E7C"/>
    <w:rsid w:val="008512A7"/>
    <w:rsid w:val="00851302"/>
    <w:rsid w:val="00854521"/>
    <w:rsid w:val="008553E3"/>
    <w:rsid w:val="00855855"/>
    <w:rsid w:val="00855B32"/>
    <w:rsid w:val="00855CDF"/>
    <w:rsid w:val="008561A6"/>
    <w:rsid w:val="00856865"/>
    <w:rsid w:val="008575A4"/>
    <w:rsid w:val="00860062"/>
    <w:rsid w:val="008607E3"/>
    <w:rsid w:val="00860846"/>
    <w:rsid w:val="00860C80"/>
    <w:rsid w:val="00860F4D"/>
    <w:rsid w:val="008610C6"/>
    <w:rsid w:val="00862509"/>
    <w:rsid w:val="00863474"/>
    <w:rsid w:val="00863E2B"/>
    <w:rsid w:val="00864104"/>
    <w:rsid w:val="0086462C"/>
    <w:rsid w:val="00864C0B"/>
    <w:rsid w:val="00864C28"/>
    <w:rsid w:val="008653B5"/>
    <w:rsid w:val="0086547B"/>
    <w:rsid w:val="00865597"/>
    <w:rsid w:val="0086564C"/>
    <w:rsid w:val="00865774"/>
    <w:rsid w:val="00867C83"/>
    <w:rsid w:val="00867FF8"/>
    <w:rsid w:val="0087118C"/>
    <w:rsid w:val="0087197D"/>
    <w:rsid w:val="00872128"/>
    <w:rsid w:val="00872A81"/>
    <w:rsid w:val="00872D33"/>
    <w:rsid w:val="00873013"/>
    <w:rsid w:val="008743E1"/>
    <w:rsid w:val="00874799"/>
    <w:rsid w:val="00876034"/>
    <w:rsid w:val="00876540"/>
    <w:rsid w:val="00876701"/>
    <w:rsid w:val="00876927"/>
    <w:rsid w:val="00876ADC"/>
    <w:rsid w:val="00876C02"/>
    <w:rsid w:val="00876DBA"/>
    <w:rsid w:val="00876EE7"/>
    <w:rsid w:val="008807D2"/>
    <w:rsid w:val="008809EB"/>
    <w:rsid w:val="00880D0E"/>
    <w:rsid w:val="0088119C"/>
    <w:rsid w:val="0088153C"/>
    <w:rsid w:val="00881884"/>
    <w:rsid w:val="00881A41"/>
    <w:rsid w:val="008822D8"/>
    <w:rsid w:val="00882D13"/>
    <w:rsid w:val="00883784"/>
    <w:rsid w:val="00883F01"/>
    <w:rsid w:val="008842F1"/>
    <w:rsid w:val="0088571C"/>
    <w:rsid w:val="00885FDA"/>
    <w:rsid w:val="00886384"/>
    <w:rsid w:val="00886511"/>
    <w:rsid w:val="00886D6D"/>
    <w:rsid w:val="008902EE"/>
    <w:rsid w:val="00890FE2"/>
    <w:rsid w:val="0089197A"/>
    <w:rsid w:val="00893D60"/>
    <w:rsid w:val="008940AD"/>
    <w:rsid w:val="00894A0F"/>
    <w:rsid w:val="00895921"/>
    <w:rsid w:val="00895AE4"/>
    <w:rsid w:val="008960B1"/>
    <w:rsid w:val="00896E78"/>
    <w:rsid w:val="00896F8D"/>
    <w:rsid w:val="00897128"/>
    <w:rsid w:val="008A0435"/>
    <w:rsid w:val="008A0771"/>
    <w:rsid w:val="008A1123"/>
    <w:rsid w:val="008A1E1A"/>
    <w:rsid w:val="008A267B"/>
    <w:rsid w:val="008A36E8"/>
    <w:rsid w:val="008A3A81"/>
    <w:rsid w:val="008A4874"/>
    <w:rsid w:val="008A490A"/>
    <w:rsid w:val="008A4FA5"/>
    <w:rsid w:val="008A542E"/>
    <w:rsid w:val="008A5CF0"/>
    <w:rsid w:val="008A5F36"/>
    <w:rsid w:val="008A7494"/>
    <w:rsid w:val="008A7882"/>
    <w:rsid w:val="008A7BAD"/>
    <w:rsid w:val="008B00D4"/>
    <w:rsid w:val="008B0A64"/>
    <w:rsid w:val="008B1C39"/>
    <w:rsid w:val="008B2D67"/>
    <w:rsid w:val="008B3182"/>
    <w:rsid w:val="008B3D4D"/>
    <w:rsid w:val="008B3E72"/>
    <w:rsid w:val="008B518C"/>
    <w:rsid w:val="008B5391"/>
    <w:rsid w:val="008B79B7"/>
    <w:rsid w:val="008C04A1"/>
    <w:rsid w:val="008C147C"/>
    <w:rsid w:val="008C203A"/>
    <w:rsid w:val="008C221F"/>
    <w:rsid w:val="008C27A7"/>
    <w:rsid w:val="008C3ED1"/>
    <w:rsid w:val="008C3F1F"/>
    <w:rsid w:val="008C401C"/>
    <w:rsid w:val="008C4CDE"/>
    <w:rsid w:val="008C4DD1"/>
    <w:rsid w:val="008C5F00"/>
    <w:rsid w:val="008C6341"/>
    <w:rsid w:val="008C6551"/>
    <w:rsid w:val="008C65E0"/>
    <w:rsid w:val="008C6A4C"/>
    <w:rsid w:val="008D0900"/>
    <w:rsid w:val="008D0B42"/>
    <w:rsid w:val="008D1F4D"/>
    <w:rsid w:val="008D2938"/>
    <w:rsid w:val="008D4A78"/>
    <w:rsid w:val="008D4A7F"/>
    <w:rsid w:val="008D4D61"/>
    <w:rsid w:val="008D511C"/>
    <w:rsid w:val="008D5A90"/>
    <w:rsid w:val="008D66FF"/>
    <w:rsid w:val="008D6761"/>
    <w:rsid w:val="008D75CA"/>
    <w:rsid w:val="008E065B"/>
    <w:rsid w:val="008E0B1F"/>
    <w:rsid w:val="008E18DA"/>
    <w:rsid w:val="008E1E08"/>
    <w:rsid w:val="008E1F75"/>
    <w:rsid w:val="008E26F8"/>
    <w:rsid w:val="008E32B3"/>
    <w:rsid w:val="008E3C4E"/>
    <w:rsid w:val="008E491B"/>
    <w:rsid w:val="008E6CCA"/>
    <w:rsid w:val="008E751A"/>
    <w:rsid w:val="008F0D07"/>
    <w:rsid w:val="008F0F07"/>
    <w:rsid w:val="008F12A4"/>
    <w:rsid w:val="008F1C15"/>
    <w:rsid w:val="008F1DCC"/>
    <w:rsid w:val="008F2464"/>
    <w:rsid w:val="008F38FC"/>
    <w:rsid w:val="008F41F7"/>
    <w:rsid w:val="008F4438"/>
    <w:rsid w:val="008F4A3C"/>
    <w:rsid w:val="008F6288"/>
    <w:rsid w:val="008F66E2"/>
    <w:rsid w:val="008F7493"/>
    <w:rsid w:val="009008B8"/>
    <w:rsid w:val="00901188"/>
    <w:rsid w:val="009014D5"/>
    <w:rsid w:val="00901D89"/>
    <w:rsid w:val="00902900"/>
    <w:rsid w:val="00903084"/>
    <w:rsid w:val="0090394D"/>
    <w:rsid w:val="0090420E"/>
    <w:rsid w:val="0090440B"/>
    <w:rsid w:val="00905047"/>
    <w:rsid w:val="009054D0"/>
    <w:rsid w:val="00905774"/>
    <w:rsid w:val="00905A1A"/>
    <w:rsid w:val="00906D73"/>
    <w:rsid w:val="00910D96"/>
    <w:rsid w:val="009113D8"/>
    <w:rsid w:val="00912560"/>
    <w:rsid w:val="0091280A"/>
    <w:rsid w:val="00912F7C"/>
    <w:rsid w:val="00913527"/>
    <w:rsid w:val="00913D6C"/>
    <w:rsid w:val="00914100"/>
    <w:rsid w:val="0091645E"/>
    <w:rsid w:val="009164E2"/>
    <w:rsid w:val="009173B8"/>
    <w:rsid w:val="00917886"/>
    <w:rsid w:val="00917B2D"/>
    <w:rsid w:val="00920C96"/>
    <w:rsid w:val="009215B8"/>
    <w:rsid w:val="009215F5"/>
    <w:rsid w:val="0092316A"/>
    <w:rsid w:val="0092512E"/>
    <w:rsid w:val="00925501"/>
    <w:rsid w:val="00925F0E"/>
    <w:rsid w:val="0092613C"/>
    <w:rsid w:val="00926AB9"/>
    <w:rsid w:val="00927CEE"/>
    <w:rsid w:val="00930B31"/>
    <w:rsid w:val="009320C3"/>
    <w:rsid w:val="009328C5"/>
    <w:rsid w:val="009339DC"/>
    <w:rsid w:val="00934245"/>
    <w:rsid w:val="009344F3"/>
    <w:rsid w:val="00934894"/>
    <w:rsid w:val="009348A3"/>
    <w:rsid w:val="0093530F"/>
    <w:rsid w:val="009354C7"/>
    <w:rsid w:val="009404B8"/>
    <w:rsid w:val="009406C5"/>
    <w:rsid w:val="009409F3"/>
    <w:rsid w:val="00940BC4"/>
    <w:rsid w:val="00940F91"/>
    <w:rsid w:val="00941165"/>
    <w:rsid w:val="00941558"/>
    <w:rsid w:val="00943CC2"/>
    <w:rsid w:val="00943FB5"/>
    <w:rsid w:val="0094456A"/>
    <w:rsid w:val="009470C6"/>
    <w:rsid w:val="009475B2"/>
    <w:rsid w:val="0095003E"/>
    <w:rsid w:val="00950216"/>
    <w:rsid w:val="00950FFC"/>
    <w:rsid w:val="00952D4A"/>
    <w:rsid w:val="00952F3C"/>
    <w:rsid w:val="009537A4"/>
    <w:rsid w:val="00954EF3"/>
    <w:rsid w:val="00955473"/>
    <w:rsid w:val="009560D2"/>
    <w:rsid w:val="009578FB"/>
    <w:rsid w:val="00957974"/>
    <w:rsid w:val="00957D46"/>
    <w:rsid w:val="00960153"/>
    <w:rsid w:val="009602BB"/>
    <w:rsid w:val="0096069E"/>
    <w:rsid w:val="009624F8"/>
    <w:rsid w:val="0096260A"/>
    <w:rsid w:val="00962F4A"/>
    <w:rsid w:val="00963478"/>
    <w:rsid w:val="00963A94"/>
    <w:rsid w:val="009641C5"/>
    <w:rsid w:val="0096481D"/>
    <w:rsid w:val="009648B7"/>
    <w:rsid w:val="0096506A"/>
    <w:rsid w:val="00965F53"/>
    <w:rsid w:val="009674E4"/>
    <w:rsid w:val="00967CD1"/>
    <w:rsid w:val="0097008F"/>
    <w:rsid w:val="00970500"/>
    <w:rsid w:val="00970751"/>
    <w:rsid w:val="00970E6E"/>
    <w:rsid w:val="00971700"/>
    <w:rsid w:val="0097210E"/>
    <w:rsid w:val="0097306C"/>
    <w:rsid w:val="0097344D"/>
    <w:rsid w:val="0097372E"/>
    <w:rsid w:val="0097411F"/>
    <w:rsid w:val="009743E2"/>
    <w:rsid w:val="00974D11"/>
    <w:rsid w:val="0097542A"/>
    <w:rsid w:val="0097677A"/>
    <w:rsid w:val="00976DBC"/>
    <w:rsid w:val="00976E85"/>
    <w:rsid w:val="0097724E"/>
    <w:rsid w:val="00977C80"/>
    <w:rsid w:val="00977E8E"/>
    <w:rsid w:val="00977F3A"/>
    <w:rsid w:val="009801B2"/>
    <w:rsid w:val="00980A9F"/>
    <w:rsid w:val="009814AD"/>
    <w:rsid w:val="00982C07"/>
    <w:rsid w:val="00983482"/>
    <w:rsid w:val="009834F2"/>
    <w:rsid w:val="009840AF"/>
    <w:rsid w:val="009843A5"/>
    <w:rsid w:val="009855B4"/>
    <w:rsid w:val="0098615E"/>
    <w:rsid w:val="00986789"/>
    <w:rsid w:val="00987584"/>
    <w:rsid w:val="00987E34"/>
    <w:rsid w:val="0099050D"/>
    <w:rsid w:val="0099059A"/>
    <w:rsid w:val="00991C0C"/>
    <w:rsid w:val="00991F6F"/>
    <w:rsid w:val="009924B4"/>
    <w:rsid w:val="00992D7B"/>
    <w:rsid w:val="00993524"/>
    <w:rsid w:val="00993601"/>
    <w:rsid w:val="00993B25"/>
    <w:rsid w:val="00994A83"/>
    <w:rsid w:val="00994E7F"/>
    <w:rsid w:val="0099522E"/>
    <w:rsid w:val="00995535"/>
    <w:rsid w:val="009957B5"/>
    <w:rsid w:val="00995E4A"/>
    <w:rsid w:val="00996792"/>
    <w:rsid w:val="00997B5F"/>
    <w:rsid w:val="009A10E9"/>
    <w:rsid w:val="009A216B"/>
    <w:rsid w:val="009A24AC"/>
    <w:rsid w:val="009A347F"/>
    <w:rsid w:val="009A3544"/>
    <w:rsid w:val="009A3EA3"/>
    <w:rsid w:val="009A4D40"/>
    <w:rsid w:val="009A55A6"/>
    <w:rsid w:val="009A782D"/>
    <w:rsid w:val="009A7A82"/>
    <w:rsid w:val="009A7E13"/>
    <w:rsid w:val="009B0745"/>
    <w:rsid w:val="009B1195"/>
    <w:rsid w:val="009B19CB"/>
    <w:rsid w:val="009B1A5E"/>
    <w:rsid w:val="009B219F"/>
    <w:rsid w:val="009B255A"/>
    <w:rsid w:val="009B350C"/>
    <w:rsid w:val="009B3B16"/>
    <w:rsid w:val="009B41FA"/>
    <w:rsid w:val="009B4D77"/>
    <w:rsid w:val="009B531A"/>
    <w:rsid w:val="009B6572"/>
    <w:rsid w:val="009B75ED"/>
    <w:rsid w:val="009C015F"/>
    <w:rsid w:val="009C2935"/>
    <w:rsid w:val="009C2E40"/>
    <w:rsid w:val="009C2E64"/>
    <w:rsid w:val="009C38CD"/>
    <w:rsid w:val="009C3900"/>
    <w:rsid w:val="009C526E"/>
    <w:rsid w:val="009C5384"/>
    <w:rsid w:val="009C547C"/>
    <w:rsid w:val="009C6020"/>
    <w:rsid w:val="009C6E6D"/>
    <w:rsid w:val="009C6EE1"/>
    <w:rsid w:val="009C6F7E"/>
    <w:rsid w:val="009C76DE"/>
    <w:rsid w:val="009C7FDA"/>
    <w:rsid w:val="009D10E5"/>
    <w:rsid w:val="009D18B0"/>
    <w:rsid w:val="009D2265"/>
    <w:rsid w:val="009D3630"/>
    <w:rsid w:val="009D43B3"/>
    <w:rsid w:val="009D599C"/>
    <w:rsid w:val="009D679A"/>
    <w:rsid w:val="009D72AB"/>
    <w:rsid w:val="009D7EAF"/>
    <w:rsid w:val="009E0262"/>
    <w:rsid w:val="009E0EAB"/>
    <w:rsid w:val="009E13C2"/>
    <w:rsid w:val="009E1468"/>
    <w:rsid w:val="009E1954"/>
    <w:rsid w:val="009E19C4"/>
    <w:rsid w:val="009E1C29"/>
    <w:rsid w:val="009E30C8"/>
    <w:rsid w:val="009E3AF5"/>
    <w:rsid w:val="009E514E"/>
    <w:rsid w:val="009E5C3F"/>
    <w:rsid w:val="009E6305"/>
    <w:rsid w:val="009E6EE2"/>
    <w:rsid w:val="009E754E"/>
    <w:rsid w:val="009F072C"/>
    <w:rsid w:val="009F1616"/>
    <w:rsid w:val="009F1A5C"/>
    <w:rsid w:val="009F337F"/>
    <w:rsid w:val="009F76C2"/>
    <w:rsid w:val="009F7D6D"/>
    <w:rsid w:val="00A00238"/>
    <w:rsid w:val="00A002FB"/>
    <w:rsid w:val="00A01963"/>
    <w:rsid w:val="00A025DC"/>
    <w:rsid w:val="00A02728"/>
    <w:rsid w:val="00A031CB"/>
    <w:rsid w:val="00A0534A"/>
    <w:rsid w:val="00A05F8B"/>
    <w:rsid w:val="00A06598"/>
    <w:rsid w:val="00A06769"/>
    <w:rsid w:val="00A072AC"/>
    <w:rsid w:val="00A1018F"/>
    <w:rsid w:val="00A102E0"/>
    <w:rsid w:val="00A105CB"/>
    <w:rsid w:val="00A10801"/>
    <w:rsid w:val="00A1294C"/>
    <w:rsid w:val="00A131E6"/>
    <w:rsid w:val="00A13B9D"/>
    <w:rsid w:val="00A14227"/>
    <w:rsid w:val="00A144DD"/>
    <w:rsid w:val="00A14EB7"/>
    <w:rsid w:val="00A16816"/>
    <w:rsid w:val="00A16C5D"/>
    <w:rsid w:val="00A20770"/>
    <w:rsid w:val="00A20E34"/>
    <w:rsid w:val="00A21872"/>
    <w:rsid w:val="00A22426"/>
    <w:rsid w:val="00A22A39"/>
    <w:rsid w:val="00A22C29"/>
    <w:rsid w:val="00A2330D"/>
    <w:rsid w:val="00A254E8"/>
    <w:rsid w:val="00A255BE"/>
    <w:rsid w:val="00A260F8"/>
    <w:rsid w:val="00A26149"/>
    <w:rsid w:val="00A2692E"/>
    <w:rsid w:val="00A26AEC"/>
    <w:rsid w:val="00A26B58"/>
    <w:rsid w:val="00A278E0"/>
    <w:rsid w:val="00A3059D"/>
    <w:rsid w:val="00A308F7"/>
    <w:rsid w:val="00A30A4E"/>
    <w:rsid w:val="00A316DE"/>
    <w:rsid w:val="00A31AC3"/>
    <w:rsid w:val="00A31E6E"/>
    <w:rsid w:val="00A32EF0"/>
    <w:rsid w:val="00A334B5"/>
    <w:rsid w:val="00A33751"/>
    <w:rsid w:val="00A33814"/>
    <w:rsid w:val="00A34B5A"/>
    <w:rsid w:val="00A366B0"/>
    <w:rsid w:val="00A36792"/>
    <w:rsid w:val="00A36AE2"/>
    <w:rsid w:val="00A36B79"/>
    <w:rsid w:val="00A36E41"/>
    <w:rsid w:val="00A4006C"/>
    <w:rsid w:val="00A40498"/>
    <w:rsid w:val="00A40C46"/>
    <w:rsid w:val="00A40E88"/>
    <w:rsid w:val="00A4215F"/>
    <w:rsid w:val="00A428FE"/>
    <w:rsid w:val="00A42D18"/>
    <w:rsid w:val="00A439A3"/>
    <w:rsid w:val="00A43B0E"/>
    <w:rsid w:val="00A43D36"/>
    <w:rsid w:val="00A43FF5"/>
    <w:rsid w:val="00A44092"/>
    <w:rsid w:val="00A46F79"/>
    <w:rsid w:val="00A47295"/>
    <w:rsid w:val="00A475DD"/>
    <w:rsid w:val="00A47674"/>
    <w:rsid w:val="00A47EFE"/>
    <w:rsid w:val="00A503FA"/>
    <w:rsid w:val="00A51738"/>
    <w:rsid w:val="00A51F0C"/>
    <w:rsid w:val="00A51F34"/>
    <w:rsid w:val="00A5205B"/>
    <w:rsid w:val="00A53C0F"/>
    <w:rsid w:val="00A54067"/>
    <w:rsid w:val="00A54FD5"/>
    <w:rsid w:val="00A55ADA"/>
    <w:rsid w:val="00A55FEE"/>
    <w:rsid w:val="00A5685D"/>
    <w:rsid w:val="00A56A96"/>
    <w:rsid w:val="00A56E04"/>
    <w:rsid w:val="00A57106"/>
    <w:rsid w:val="00A57268"/>
    <w:rsid w:val="00A5738E"/>
    <w:rsid w:val="00A5767D"/>
    <w:rsid w:val="00A577BA"/>
    <w:rsid w:val="00A57B58"/>
    <w:rsid w:val="00A6011E"/>
    <w:rsid w:val="00A605D0"/>
    <w:rsid w:val="00A60975"/>
    <w:rsid w:val="00A60AEE"/>
    <w:rsid w:val="00A616A4"/>
    <w:rsid w:val="00A61A3E"/>
    <w:rsid w:val="00A61C2D"/>
    <w:rsid w:val="00A61C5C"/>
    <w:rsid w:val="00A6321B"/>
    <w:rsid w:val="00A63ACA"/>
    <w:rsid w:val="00A64600"/>
    <w:rsid w:val="00A64791"/>
    <w:rsid w:val="00A64B59"/>
    <w:rsid w:val="00A64F9F"/>
    <w:rsid w:val="00A652C9"/>
    <w:rsid w:val="00A668D7"/>
    <w:rsid w:val="00A70B5A"/>
    <w:rsid w:val="00A70DFB"/>
    <w:rsid w:val="00A71237"/>
    <w:rsid w:val="00A71476"/>
    <w:rsid w:val="00A71F05"/>
    <w:rsid w:val="00A72621"/>
    <w:rsid w:val="00A72A03"/>
    <w:rsid w:val="00A74378"/>
    <w:rsid w:val="00A74F22"/>
    <w:rsid w:val="00A755D5"/>
    <w:rsid w:val="00A7710E"/>
    <w:rsid w:val="00A77E17"/>
    <w:rsid w:val="00A800DF"/>
    <w:rsid w:val="00A80128"/>
    <w:rsid w:val="00A8091B"/>
    <w:rsid w:val="00A80AB2"/>
    <w:rsid w:val="00A8160A"/>
    <w:rsid w:val="00A816FE"/>
    <w:rsid w:val="00A81AAC"/>
    <w:rsid w:val="00A83C15"/>
    <w:rsid w:val="00A85585"/>
    <w:rsid w:val="00A85E1D"/>
    <w:rsid w:val="00A868E4"/>
    <w:rsid w:val="00A86F3F"/>
    <w:rsid w:val="00A87437"/>
    <w:rsid w:val="00A87CED"/>
    <w:rsid w:val="00A87D1E"/>
    <w:rsid w:val="00A90BF5"/>
    <w:rsid w:val="00A91151"/>
    <w:rsid w:val="00A917F8"/>
    <w:rsid w:val="00A91A3C"/>
    <w:rsid w:val="00A9286E"/>
    <w:rsid w:val="00A92909"/>
    <w:rsid w:val="00A929B9"/>
    <w:rsid w:val="00A92DFD"/>
    <w:rsid w:val="00A93573"/>
    <w:rsid w:val="00A93B2D"/>
    <w:rsid w:val="00A93EA8"/>
    <w:rsid w:val="00A941EF"/>
    <w:rsid w:val="00A95156"/>
    <w:rsid w:val="00A959C2"/>
    <w:rsid w:val="00A96084"/>
    <w:rsid w:val="00A96DFD"/>
    <w:rsid w:val="00A97FC1"/>
    <w:rsid w:val="00AA0300"/>
    <w:rsid w:val="00AA0478"/>
    <w:rsid w:val="00AA04D2"/>
    <w:rsid w:val="00AA0B71"/>
    <w:rsid w:val="00AA0D8B"/>
    <w:rsid w:val="00AA0EA5"/>
    <w:rsid w:val="00AA2DB1"/>
    <w:rsid w:val="00AA37EA"/>
    <w:rsid w:val="00AA37EB"/>
    <w:rsid w:val="00AA3DB5"/>
    <w:rsid w:val="00AA3F01"/>
    <w:rsid w:val="00AA581A"/>
    <w:rsid w:val="00AA6E48"/>
    <w:rsid w:val="00AA7397"/>
    <w:rsid w:val="00AA7464"/>
    <w:rsid w:val="00AA7865"/>
    <w:rsid w:val="00AB102A"/>
    <w:rsid w:val="00AB105E"/>
    <w:rsid w:val="00AB14D1"/>
    <w:rsid w:val="00AB271C"/>
    <w:rsid w:val="00AB3361"/>
    <w:rsid w:val="00AB34CC"/>
    <w:rsid w:val="00AB3AF2"/>
    <w:rsid w:val="00AB4D6D"/>
    <w:rsid w:val="00AB4EE8"/>
    <w:rsid w:val="00AB5340"/>
    <w:rsid w:val="00AB5562"/>
    <w:rsid w:val="00AB594C"/>
    <w:rsid w:val="00AB66FC"/>
    <w:rsid w:val="00AB7013"/>
    <w:rsid w:val="00AB7586"/>
    <w:rsid w:val="00AB7C84"/>
    <w:rsid w:val="00AB7E33"/>
    <w:rsid w:val="00AC08BC"/>
    <w:rsid w:val="00AC145D"/>
    <w:rsid w:val="00AC1686"/>
    <w:rsid w:val="00AC1714"/>
    <w:rsid w:val="00AC1F42"/>
    <w:rsid w:val="00AC297E"/>
    <w:rsid w:val="00AC2DD2"/>
    <w:rsid w:val="00AC452A"/>
    <w:rsid w:val="00AC54B6"/>
    <w:rsid w:val="00AC61AC"/>
    <w:rsid w:val="00AC7FF4"/>
    <w:rsid w:val="00AD0010"/>
    <w:rsid w:val="00AD0108"/>
    <w:rsid w:val="00AD096D"/>
    <w:rsid w:val="00AD16E1"/>
    <w:rsid w:val="00AD1EFC"/>
    <w:rsid w:val="00AD23B6"/>
    <w:rsid w:val="00AD395D"/>
    <w:rsid w:val="00AD3A62"/>
    <w:rsid w:val="00AD3E51"/>
    <w:rsid w:val="00AD46AC"/>
    <w:rsid w:val="00AD502D"/>
    <w:rsid w:val="00AD5C8C"/>
    <w:rsid w:val="00AD721E"/>
    <w:rsid w:val="00AD7654"/>
    <w:rsid w:val="00AD768E"/>
    <w:rsid w:val="00AD7829"/>
    <w:rsid w:val="00AD7F7B"/>
    <w:rsid w:val="00AD7FF8"/>
    <w:rsid w:val="00AE066B"/>
    <w:rsid w:val="00AE1465"/>
    <w:rsid w:val="00AE1949"/>
    <w:rsid w:val="00AE22FC"/>
    <w:rsid w:val="00AE2786"/>
    <w:rsid w:val="00AE3970"/>
    <w:rsid w:val="00AE3C38"/>
    <w:rsid w:val="00AE3DAC"/>
    <w:rsid w:val="00AE44E7"/>
    <w:rsid w:val="00AE5AEB"/>
    <w:rsid w:val="00AE5D66"/>
    <w:rsid w:val="00AE7DAE"/>
    <w:rsid w:val="00AF0B30"/>
    <w:rsid w:val="00AF27DC"/>
    <w:rsid w:val="00AF3192"/>
    <w:rsid w:val="00AF4095"/>
    <w:rsid w:val="00AF435A"/>
    <w:rsid w:val="00AF43C7"/>
    <w:rsid w:val="00AF440F"/>
    <w:rsid w:val="00AF4F56"/>
    <w:rsid w:val="00AF5AE1"/>
    <w:rsid w:val="00AF5C20"/>
    <w:rsid w:val="00AF6106"/>
    <w:rsid w:val="00AF75D2"/>
    <w:rsid w:val="00AF7794"/>
    <w:rsid w:val="00AF7AD2"/>
    <w:rsid w:val="00AF7F45"/>
    <w:rsid w:val="00B00F72"/>
    <w:rsid w:val="00B010EF"/>
    <w:rsid w:val="00B013EB"/>
    <w:rsid w:val="00B01CC6"/>
    <w:rsid w:val="00B0312D"/>
    <w:rsid w:val="00B04DBC"/>
    <w:rsid w:val="00B05148"/>
    <w:rsid w:val="00B05D1B"/>
    <w:rsid w:val="00B06F87"/>
    <w:rsid w:val="00B0727A"/>
    <w:rsid w:val="00B076EE"/>
    <w:rsid w:val="00B07BA8"/>
    <w:rsid w:val="00B1092E"/>
    <w:rsid w:val="00B12369"/>
    <w:rsid w:val="00B128AA"/>
    <w:rsid w:val="00B12E22"/>
    <w:rsid w:val="00B133F9"/>
    <w:rsid w:val="00B13417"/>
    <w:rsid w:val="00B134B0"/>
    <w:rsid w:val="00B136F2"/>
    <w:rsid w:val="00B14EBB"/>
    <w:rsid w:val="00B1522C"/>
    <w:rsid w:val="00B152A4"/>
    <w:rsid w:val="00B1532A"/>
    <w:rsid w:val="00B1538A"/>
    <w:rsid w:val="00B15E86"/>
    <w:rsid w:val="00B16DCC"/>
    <w:rsid w:val="00B17B78"/>
    <w:rsid w:val="00B17DD1"/>
    <w:rsid w:val="00B20076"/>
    <w:rsid w:val="00B20996"/>
    <w:rsid w:val="00B20AB5"/>
    <w:rsid w:val="00B20B83"/>
    <w:rsid w:val="00B21D6A"/>
    <w:rsid w:val="00B22C25"/>
    <w:rsid w:val="00B23FF1"/>
    <w:rsid w:val="00B2465D"/>
    <w:rsid w:val="00B246F3"/>
    <w:rsid w:val="00B2521E"/>
    <w:rsid w:val="00B257DD"/>
    <w:rsid w:val="00B258BA"/>
    <w:rsid w:val="00B25CF2"/>
    <w:rsid w:val="00B2612C"/>
    <w:rsid w:val="00B26802"/>
    <w:rsid w:val="00B27151"/>
    <w:rsid w:val="00B2772D"/>
    <w:rsid w:val="00B27B68"/>
    <w:rsid w:val="00B30185"/>
    <w:rsid w:val="00B34681"/>
    <w:rsid w:val="00B34E83"/>
    <w:rsid w:val="00B3559E"/>
    <w:rsid w:val="00B35B2E"/>
    <w:rsid w:val="00B35F50"/>
    <w:rsid w:val="00B361D8"/>
    <w:rsid w:val="00B363F3"/>
    <w:rsid w:val="00B3776F"/>
    <w:rsid w:val="00B37971"/>
    <w:rsid w:val="00B37BAA"/>
    <w:rsid w:val="00B40B8F"/>
    <w:rsid w:val="00B417C3"/>
    <w:rsid w:val="00B4193F"/>
    <w:rsid w:val="00B425B5"/>
    <w:rsid w:val="00B42A0F"/>
    <w:rsid w:val="00B430D4"/>
    <w:rsid w:val="00B43311"/>
    <w:rsid w:val="00B43EC6"/>
    <w:rsid w:val="00B43F26"/>
    <w:rsid w:val="00B442B9"/>
    <w:rsid w:val="00B445A3"/>
    <w:rsid w:val="00B44913"/>
    <w:rsid w:val="00B454BF"/>
    <w:rsid w:val="00B45BBF"/>
    <w:rsid w:val="00B4695E"/>
    <w:rsid w:val="00B471FA"/>
    <w:rsid w:val="00B47D4F"/>
    <w:rsid w:val="00B50603"/>
    <w:rsid w:val="00B508B1"/>
    <w:rsid w:val="00B50F27"/>
    <w:rsid w:val="00B51FA8"/>
    <w:rsid w:val="00B52BB9"/>
    <w:rsid w:val="00B5406A"/>
    <w:rsid w:val="00B549DB"/>
    <w:rsid w:val="00B553FB"/>
    <w:rsid w:val="00B55B3D"/>
    <w:rsid w:val="00B55D07"/>
    <w:rsid w:val="00B6025A"/>
    <w:rsid w:val="00B606E9"/>
    <w:rsid w:val="00B60A72"/>
    <w:rsid w:val="00B611C2"/>
    <w:rsid w:val="00B614CF"/>
    <w:rsid w:val="00B61D41"/>
    <w:rsid w:val="00B6209E"/>
    <w:rsid w:val="00B625E1"/>
    <w:rsid w:val="00B62B01"/>
    <w:rsid w:val="00B6303D"/>
    <w:rsid w:val="00B63591"/>
    <w:rsid w:val="00B6395E"/>
    <w:rsid w:val="00B63AA7"/>
    <w:rsid w:val="00B643BE"/>
    <w:rsid w:val="00B65584"/>
    <w:rsid w:val="00B65A48"/>
    <w:rsid w:val="00B670E0"/>
    <w:rsid w:val="00B7032F"/>
    <w:rsid w:val="00B70BDC"/>
    <w:rsid w:val="00B71133"/>
    <w:rsid w:val="00B715ED"/>
    <w:rsid w:val="00B718FF"/>
    <w:rsid w:val="00B71D7C"/>
    <w:rsid w:val="00B71E71"/>
    <w:rsid w:val="00B72595"/>
    <w:rsid w:val="00B725BE"/>
    <w:rsid w:val="00B7323B"/>
    <w:rsid w:val="00B73C8D"/>
    <w:rsid w:val="00B73FE0"/>
    <w:rsid w:val="00B74722"/>
    <w:rsid w:val="00B74EC4"/>
    <w:rsid w:val="00B75702"/>
    <w:rsid w:val="00B75E30"/>
    <w:rsid w:val="00B76533"/>
    <w:rsid w:val="00B76EDB"/>
    <w:rsid w:val="00B80231"/>
    <w:rsid w:val="00B81313"/>
    <w:rsid w:val="00B82924"/>
    <w:rsid w:val="00B834DF"/>
    <w:rsid w:val="00B83935"/>
    <w:rsid w:val="00B839FA"/>
    <w:rsid w:val="00B85266"/>
    <w:rsid w:val="00B853A7"/>
    <w:rsid w:val="00B853CE"/>
    <w:rsid w:val="00B85F01"/>
    <w:rsid w:val="00B85FC7"/>
    <w:rsid w:val="00B8655B"/>
    <w:rsid w:val="00B86867"/>
    <w:rsid w:val="00B87509"/>
    <w:rsid w:val="00B905E6"/>
    <w:rsid w:val="00B913AD"/>
    <w:rsid w:val="00B91E5F"/>
    <w:rsid w:val="00B92185"/>
    <w:rsid w:val="00B952B0"/>
    <w:rsid w:val="00B95755"/>
    <w:rsid w:val="00B96474"/>
    <w:rsid w:val="00B97F6F"/>
    <w:rsid w:val="00BA1011"/>
    <w:rsid w:val="00BA1E93"/>
    <w:rsid w:val="00BA2ED5"/>
    <w:rsid w:val="00BA3AB1"/>
    <w:rsid w:val="00BA3D29"/>
    <w:rsid w:val="00BA4C58"/>
    <w:rsid w:val="00BA6215"/>
    <w:rsid w:val="00BA6545"/>
    <w:rsid w:val="00BA7912"/>
    <w:rsid w:val="00BA7FD0"/>
    <w:rsid w:val="00BB011E"/>
    <w:rsid w:val="00BB1780"/>
    <w:rsid w:val="00BB1839"/>
    <w:rsid w:val="00BB1CDB"/>
    <w:rsid w:val="00BB1EC8"/>
    <w:rsid w:val="00BB26F4"/>
    <w:rsid w:val="00BB2DDF"/>
    <w:rsid w:val="00BB304B"/>
    <w:rsid w:val="00BB3A36"/>
    <w:rsid w:val="00BB500D"/>
    <w:rsid w:val="00BB5F37"/>
    <w:rsid w:val="00BB6981"/>
    <w:rsid w:val="00BC026C"/>
    <w:rsid w:val="00BC063F"/>
    <w:rsid w:val="00BC094A"/>
    <w:rsid w:val="00BC0D29"/>
    <w:rsid w:val="00BC2053"/>
    <w:rsid w:val="00BC2320"/>
    <w:rsid w:val="00BC5F05"/>
    <w:rsid w:val="00BC63B1"/>
    <w:rsid w:val="00BD0B91"/>
    <w:rsid w:val="00BD1171"/>
    <w:rsid w:val="00BD2004"/>
    <w:rsid w:val="00BD34BC"/>
    <w:rsid w:val="00BD3976"/>
    <w:rsid w:val="00BD4033"/>
    <w:rsid w:val="00BD5BC7"/>
    <w:rsid w:val="00BD6CAD"/>
    <w:rsid w:val="00BE00A1"/>
    <w:rsid w:val="00BE0C2C"/>
    <w:rsid w:val="00BE18BB"/>
    <w:rsid w:val="00BE28DA"/>
    <w:rsid w:val="00BE2B02"/>
    <w:rsid w:val="00BF0A56"/>
    <w:rsid w:val="00BF158A"/>
    <w:rsid w:val="00BF2A4D"/>
    <w:rsid w:val="00BF2A94"/>
    <w:rsid w:val="00BF2FDC"/>
    <w:rsid w:val="00BF3632"/>
    <w:rsid w:val="00BF3761"/>
    <w:rsid w:val="00BF3AF1"/>
    <w:rsid w:val="00BF3F27"/>
    <w:rsid w:val="00BF4054"/>
    <w:rsid w:val="00BF498C"/>
    <w:rsid w:val="00BF4EAF"/>
    <w:rsid w:val="00BF569D"/>
    <w:rsid w:val="00BF56EC"/>
    <w:rsid w:val="00BF5912"/>
    <w:rsid w:val="00BF5BD7"/>
    <w:rsid w:val="00BF5F8C"/>
    <w:rsid w:val="00BF67BE"/>
    <w:rsid w:val="00BF708E"/>
    <w:rsid w:val="00BF7098"/>
    <w:rsid w:val="00BF7207"/>
    <w:rsid w:val="00BF7B57"/>
    <w:rsid w:val="00BF7E3A"/>
    <w:rsid w:val="00C00A34"/>
    <w:rsid w:val="00C011F8"/>
    <w:rsid w:val="00C02A11"/>
    <w:rsid w:val="00C03E75"/>
    <w:rsid w:val="00C0445C"/>
    <w:rsid w:val="00C04E2B"/>
    <w:rsid w:val="00C04F65"/>
    <w:rsid w:val="00C05E43"/>
    <w:rsid w:val="00C07989"/>
    <w:rsid w:val="00C07A6F"/>
    <w:rsid w:val="00C07F71"/>
    <w:rsid w:val="00C10DF7"/>
    <w:rsid w:val="00C143EE"/>
    <w:rsid w:val="00C15047"/>
    <w:rsid w:val="00C15166"/>
    <w:rsid w:val="00C152F9"/>
    <w:rsid w:val="00C16211"/>
    <w:rsid w:val="00C1690F"/>
    <w:rsid w:val="00C2131B"/>
    <w:rsid w:val="00C21A62"/>
    <w:rsid w:val="00C22238"/>
    <w:rsid w:val="00C22869"/>
    <w:rsid w:val="00C230A8"/>
    <w:rsid w:val="00C23131"/>
    <w:rsid w:val="00C2317B"/>
    <w:rsid w:val="00C251A5"/>
    <w:rsid w:val="00C256B3"/>
    <w:rsid w:val="00C2587C"/>
    <w:rsid w:val="00C26E3B"/>
    <w:rsid w:val="00C272EE"/>
    <w:rsid w:val="00C27AE1"/>
    <w:rsid w:val="00C30187"/>
    <w:rsid w:val="00C3034D"/>
    <w:rsid w:val="00C303B0"/>
    <w:rsid w:val="00C303E6"/>
    <w:rsid w:val="00C304CC"/>
    <w:rsid w:val="00C30A1F"/>
    <w:rsid w:val="00C31222"/>
    <w:rsid w:val="00C31CC4"/>
    <w:rsid w:val="00C3257C"/>
    <w:rsid w:val="00C331C6"/>
    <w:rsid w:val="00C332B7"/>
    <w:rsid w:val="00C33600"/>
    <w:rsid w:val="00C33A6D"/>
    <w:rsid w:val="00C340E2"/>
    <w:rsid w:val="00C3410D"/>
    <w:rsid w:val="00C35D3A"/>
    <w:rsid w:val="00C36C07"/>
    <w:rsid w:val="00C36EFE"/>
    <w:rsid w:val="00C3743B"/>
    <w:rsid w:val="00C37AE0"/>
    <w:rsid w:val="00C406B9"/>
    <w:rsid w:val="00C409EA"/>
    <w:rsid w:val="00C40A3C"/>
    <w:rsid w:val="00C417F4"/>
    <w:rsid w:val="00C422F6"/>
    <w:rsid w:val="00C425B6"/>
    <w:rsid w:val="00C43175"/>
    <w:rsid w:val="00C44278"/>
    <w:rsid w:val="00C444BC"/>
    <w:rsid w:val="00C4541F"/>
    <w:rsid w:val="00C461B7"/>
    <w:rsid w:val="00C47A3F"/>
    <w:rsid w:val="00C47AAC"/>
    <w:rsid w:val="00C47FFA"/>
    <w:rsid w:val="00C51094"/>
    <w:rsid w:val="00C512B5"/>
    <w:rsid w:val="00C51FCB"/>
    <w:rsid w:val="00C52700"/>
    <w:rsid w:val="00C5270B"/>
    <w:rsid w:val="00C52977"/>
    <w:rsid w:val="00C52CAB"/>
    <w:rsid w:val="00C52F2B"/>
    <w:rsid w:val="00C533A1"/>
    <w:rsid w:val="00C537CC"/>
    <w:rsid w:val="00C53ED9"/>
    <w:rsid w:val="00C54425"/>
    <w:rsid w:val="00C55392"/>
    <w:rsid w:val="00C553B8"/>
    <w:rsid w:val="00C5590C"/>
    <w:rsid w:val="00C55C90"/>
    <w:rsid w:val="00C567D5"/>
    <w:rsid w:val="00C5695B"/>
    <w:rsid w:val="00C57062"/>
    <w:rsid w:val="00C602D3"/>
    <w:rsid w:val="00C60899"/>
    <w:rsid w:val="00C6263E"/>
    <w:rsid w:val="00C652D3"/>
    <w:rsid w:val="00C6531E"/>
    <w:rsid w:val="00C66007"/>
    <w:rsid w:val="00C66680"/>
    <w:rsid w:val="00C66D30"/>
    <w:rsid w:val="00C673B7"/>
    <w:rsid w:val="00C6759C"/>
    <w:rsid w:val="00C679DE"/>
    <w:rsid w:val="00C70F85"/>
    <w:rsid w:val="00C710F7"/>
    <w:rsid w:val="00C71771"/>
    <w:rsid w:val="00C72204"/>
    <w:rsid w:val="00C72BC6"/>
    <w:rsid w:val="00C73976"/>
    <w:rsid w:val="00C73A8F"/>
    <w:rsid w:val="00C7403C"/>
    <w:rsid w:val="00C752E1"/>
    <w:rsid w:val="00C76197"/>
    <w:rsid w:val="00C766DA"/>
    <w:rsid w:val="00C7685E"/>
    <w:rsid w:val="00C804C2"/>
    <w:rsid w:val="00C80853"/>
    <w:rsid w:val="00C82D59"/>
    <w:rsid w:val="00C853A5"/>
    <w:rsid w:val="00C862FF"/>
    <w:rsid w:val="00C86E4D"/>
    <w:rsid w:val="00C87883"/>
    <w:rsid w:val="00C879BE"/>
    <w:rsid w:val="00C910B5"/>
    <w:rsid w:val="00C91421"/>
    <w:rsid w:val="00C929F9"/>
    <w:rsid w:val="00C92F05"/>
    <w:rsid w:val="00C94005"/>
    <w:rsid w:val="00C94A65"/>
    <w:rsid w:val="00C95359"/>
    <w:rsid w:val="00C967A5"/>
    <w:rsid w:val="00C971E2"/>
    <w:rsid w:val="00C972C1"/>
    <w:rsid w:val="00CA0C24"/>
    <w:rsid w:val="00CA1860"/>
    <w:rsid w:val="00CA1C58"/>
    <w:rsid w:val="00CA25F1"/>
    <w:rsid w:val="00CA5B93"/>
    <w:rsid w:val="00CA6D3F"/>
    <w:rsid w:val="00CA6E69"/>
    <w:rsid w:val="00CA7AC1"/>
    <w:rsid w:val="00CB06E0"/>
    <w:rsid w:val="00CB089F"/>
    <w:rsid w:val="00CB1032"/>
    <w:rsid w:val="00CB1DE0"/>
    <w:rsid w:val="00CB24EF"/>
    <w:rsid w:val="00CB2C98"/>
    <w:rsid w:val="00CB37A2"/>
    <w:rsid w:val="00CB3CA0"/>
    <w:rsid w:val="00CB48BC"/>
    <w:rsid w:val="00CB5408"/>
    <w:rsid w:val="00CB5A29"/>
    <w:rsid w:val="00CB5EC7"/>
    <w:rsid w:val="00CB6317"/>
    <w:rsid w:val="00CB705A"/>
    <w:rsid w:val="00CB727E"/>
    <w:rsid w:val="00CB7661"/>
    <w:rsid w:val="00CB78B9"/>
    <w:rsid w:val="00CC0305"/>
    <w:rsid w:val="00CC0BAE"/>
    <w:rsid w:val="00CC187C"/>
    <w:rsid w:val="00CC1974"/>
    <w:rsid w:val="00CC1E2B"/>
    <w:rsid w:val="00CC1E3B"/>
    <w:rsid w:val="00CC3115"/>
    <w:rsid w:val="00CC38B2"/>
    <w:rsid w:val="00CC3A18"/>
    <w:rsid w:val="00CC4607"/>
    <w:rsid w:val="00CC52F2"/>
    <w:rsid w:val="00CC68A4"/>
    <w:rsid w:val="00CC6A56"/>
    <w:rsid w:val="00CD1BC5"/>
    <w:rsid w:val="00CD255C"/>
    <w:rsid w:val="00CD2668"/>
    <w:rsid w:val="00CD2819"/>
    <w:rsid w:val="00CD2D45"/>
    <w:rsid w:val="00CD2FE6"/>
    <w:rsid w:val="00CD3687"/>
    <w:rsid w:val="00CD3857"/>
    <w:rsid w:val="00CD3AB2"/>
    <w:rsid w:val="00CD4350"/>
    <w:rsid w:val="00CD47E4"/>
    <w:rsid w:val="00CD4829"/>
    <w:rsid w:val="00CD499E"/>
    <w:rsid w:val="00CD52FC"/>
    <w:rsid w:val="00CD5C64"/>
    <w:rsid w:val="00CD688F"/>
    <w:rsid w:val="00CD7346"/>
    <w:rsid w:val="00CD757B"/>
    <w:rsid w:val="00CD79E2"/>
    <w:rsid w:val="00CE0018"/>
    <w:rsid w:val="00CE0D8D"/>
    <w:rsid w:val="00CE14E2"/>
    <w:rsid w:val="00CE320B"/>
    <w:rsid w:val="00CE347A"/>
    <w:rsid w:val="00CE4416"/>
    <w:rsid w:val="00CE47F9"/>
    <w:rsid w:val="00CE4A43"/>
    <w:rsid w:val="00CE4BF3"/>
    <w:rsid w:val="00CE5284"/>
    <w:rsid w:val="00CE5A29"/>
    <w:rsid w:val="00CE5EDE"/>
    <w:rsid w:val="00CF0068"/>
    <w:rsid w:val="00CF0A22"/>
    <w:rsid w:val="00CF166C"/>
    <w:rsid w:val="00CF1887"/>
    <w:rsid w:val="00CF1EF4"/>
    <w:rsid w:val="00CF3A71"/>
    <w:rsid w:val="00CF3B74"/>
    <w:rsid w:val="00CF3FE4"/>
    <w:rsid w:val="00CF428C"/>
    <w:rsid w:val="00CF4499"/>
    <w:rsid w:val="00CF4A67"/>
    <w:rsid w:val="00CF4BFF"/>
    <w:rsid w:val="00CF4CD8"/>
    <w:rsid w:val="00CF4EFE"/>
    <w:rsid w:val="00CF5A02"/>
    <w:rsid w:val="00CF5AFB"/>
    <w:rsid w:val="00CF5CFF"/>
    <w:rsid w:val="00CF7EE6"/>
    <w:rsid w:val="00D00650"/>
    <w:rsid w:val="00D006AD"/>
    <w:rsid w:val="00D01130"/>
    <w:rsid w:val="00D012DB"/>
    <w:rsid w:val="00D01ED0"/>
    <w:rsid w:val="00D036C8"/>
    <w:rsid w:val="00D03A04"/>
    <w:rsid w:val="00D04013"/>
    <w:rsid w:val="00D04381"/>
    <w:rsid w:val="00D0488F"/>
    <w:rsid w:val="00D055CE"/>
    <w:rsid w:val="00D07785"/>
    <w:rsid w:val="00D0781D"/>
    <w:rsid w:val="00D10B23"/>
    <w:rsid w:val="00D1125B"/>
    <w:rsid w:val="00D1136C"/>
    <w:rsid w:val="00D1247C"/>
    <w:rsid w:val="00D124C2"/>
    <w:rsid w:val="00D125D8"/>
    <w:rsid w:val="00D13EE9"/>
    <w:rsid w:val="00D13FE0"/>
    <w:rsid w:val="00D154C9"/>
    <w:rsid w:val="00D160EB"/>
    <w:rsid w:val="00D203DA"/>
    <w:rsid w:val="00D20B4A"/>
    <w:rsid w:val="00D20C89"/>
    <w:rsid w:val="00D20F9F"/>
    <w:rsid w:val="00D21CD4"/>
    <w:rsid w:val="00D21FE7"/>
    <w:rsid w:val="00D221A1"/>
    <w:rsid w:val="00D22334"/>
    <w:rsid w:val="00D22451"/>
    <w:rsid w:val="00D2268D"/>
    <w:rsid w:val="00D234C4"/>
    <w:rsid w:val="00D23A18"/>
    <w:rsid w:val="00D24ADD"/>
    <w:rsid w:val="00D2568F"/>
    <w:rsid w:val="00D25872"/>
    <w:rsid w:val="00D259C7"/>
    <w:rsid w:val="00D26A0B"/>
    <w:rsid w:val="00D2712A"/>
    <w:rsid w:val="00D274EC"/>
    <w:rsid w:val="00D2755F"/>
    <w:rsid w:val="00D27ACA"/>
    <w:rsid w:val="00D30CB3"/>
    <w:rsid w:val="00D311D2"/>
    <w:rsid w:val="00D31880"/>
    <w:rsid w:val="00D322BD"/>
    <w:rsid w:val="00D32952"/>
    <w:rsid w:val="00D3365E"/>
    <w:rsid w:val="00D33CCD"/>
    <w:rsid w:val="00D33D0A"/>
    <w:rsid w:val="00D34265"/>
    <w:rsid w:val="00D346F2"/>
    <w:rsid w:val="00D348C5"/>
    <w:rsid w:val="00D362A0"/>
    <w:rsid w:val="00D375E3"/>
    <w:rsid w:val="00D37B04"/>
    <w:rsid w:val="00D405DC"/>
    <w:rsid w:val="00D41288"/>
    <w:rsid w:val="00D415E9"/>
    <w:rsid w:val="00D41DC9"/>
    <w:rsid w:val="00D4276B"/>
    <w:rsid w:val="00D431DA"/>
    <w:rsid w:val="00D432F9"/>
    <w:rsid w:val="00D43A36"/>
    <w:rsid w:val="00D43CBF"/>
    <w:rsid w:val="00D4413B"/>
    <w:rsid w:val="00D44C63"/>
    <w:rsid w:val="00D45316"/>
    <w:rsid w:val="00D45BEE"/>
    <w:rsid w:val="00D465B1"/>
    <w:rsid w:val="00D4684E"/>
    <w:rsid w:val="00D46EF7"/>
    <w:rsid w:val="00D4742A"/>
    <w:rsid w:val="00D47A0B"/>
    <w:rsid w:val="00D52BE6"/>
    <w:rsid w:val="00D53112"/>
    <w:rsid w:val="00D533A2"/>
    <w:rsid w:val="00D53891"/>
    <w:rsid w:val="00D53F37"/>
    <w:rsid w:val="00D559EB"/>
    <w:rsid w:val="00D56684"/>
    <w:rsid w:val="00D568F0"/>
    <w:rsid w:val="00D57D26"/>
    <w:rsid w:val="00D60B87"/>
    <w:rsid w:val="00D6137A"/>
    <w:rsid w:val="00D61DDD"/>
    <w:rsid w:val="00D62BF9"/>
    <w:rsid w:val="00D63D98"/>
    <w:rsid w:val="00D63EF9"/>
    <w:rsid w:val="00D63FEF"/>
    <w:rsid w:val="00D644D4"/>
    <w:rsid w:val="00D65B88"/>
    <w:rsid w:val="00D65E05"/>
    <w:rsid w:val="00D665E7"/>
    <w:rsid w:val="00D669BC"/>
    <w:rsid w:val="00D7053F"/>
    <w:rsid w:val="00D71EF8"/>
    <w:rsid w:val="00D71F9B"/>
    <w:rsid w:val="00D7387D"/>
    <w:rsid w:val="00D73923"/>
    <w:rsid w:val="00D740B2"/>
    <w:rsid w:val="00D7472D"/>
    <w:rsid w:val="00D74A53"/>
    <w:rsid w:val="00D75139"/>
    <w:rsid w:val="00D7537F"/>
    <w:rsid w:val="00D762C2"/>
    <w:rsid w:val="00D7678D"/>
    <w:rsid w:val="00D77670"/>
    <w:rsid w:val="00D77707"/>
    <w:rsid w:val="00D77953"/>
    <w:rsid w:val="00D80DA5"/>
    <w:rsid w:val="00D814D5"/>
    <w:rsid w:val="00D82134"/>
    <w:rsid w:val="00D82BAD"/>
    <w:rsid w:val="00D84825"/>
    <w:rsid w:val="00D852CC"/>
    <w:rsid w:val="00D85DFF"/>
    <w:rsid w:val="00D860C5"/>
    <w:rsid w:val="00D86C8F"/>
    <w:rsid w:val="00D87A1F"/>
    <w:rsid w:val="00D9014F"/>
    <w:rsid w:val="00D906E5"/>
    <w:rsid w:val="00D9086B"/>
    <w:rsid w:val="00D90EE2"/>
    <w:rsid w:val="00D921DC"/>
    <w:rsid w:val="00D941DB"/>
    <w:rsid w:val="00D944BD"/>
    <w:rsid w:val="00D954E5"/>
    <w:rsid w:val="00D95D94"/>
    <w:rsid w:val="00D95F99"/>
    <w:rsid w:val="00D960B7"/>
    <w:rsid w:val="00D96E12"/>
    <w:rsid w:val="00D96E2F"/>
    <w:rsid w:val="00DA08E3"/>
    <w:rsid w:val="00DA136A"/>
    <w:rsid w:val="00DA16F3"/>
    <w:rsid w:val="00DA395F"/>
    <w:rsid w:val="00DA39C3"/>
    <w:rsid w:val="00DA4637"/>
    <w:rsid w:val="00DA4F08"/>
    <w:rsid w:val="00DA5111"/>
    <w:rsid w:val="00DA5A00"/>
    <w:rsid w:val="00DA5C2F"/>
    <w:rsid w:val="00DA61B0"/>
    <w:rsid w:val="00DA6E3B"/>
    <w:rsid w:val="00DB1034"/>
    <w:rsid w:val="00DB10FA"/>
    <w:rsid w:val="00DB1D97"/>
    <w:rsid w:val="00DB2399"/>
    <w:rsid w:val="00DB41D0"/>
    <w:rsid w:val="00DB498F"/>
    <w:rsid w:val="00DB4C63"/>
    <w:rsid w:val="00DB650A"/>
    <w:rsid w:val="00DB6EA1"/>
    <w:rsid w:val="00DB75C9"/>
    <w:rsid w:val="00DB7D71"/>
    <w:rsid w:val="00DC271A"/>
    <w:rsid w:val="00DC2AC7"/>
    <w:rsid w:val="00DC342E"/>
    <w:rsid w:val="00DC3FA8"/>
    <w:rsid w:val="00DC67CE"/>
    <w:rsid w:val="00DC715E"/>
    <w:rsid w:val="00DC759C"/>
    <w:rsid w:val="00DD0675"/>
    <w:rsid w:val="00DD0951"/>
    <w:rsid w:val="00DD1257"/>
    <w:rsid w:val="00DD169A"/>
    <w:rsid w:val="00DD1885"/>
    <w:rsid w:val="00DD1957"/>
    <w:rsid w:val="00DD3430"/>
    <w:rsid w:val="00DD48B2"/>
    <w:rsid w:val="00DD48D2"/>
    <w:rsid w:val="00DD5146"/>
    <w:rsid w:val="00DD515F"/>
    <w:rsid w:val="00DD53A2"/>
    <w:rsid w:val="00DD551A"/>
    <w:rsid w:val="00DD6060"/>
    <w:rsid w:val="00DD6232"/>
    <w:rsid w:val="00DD69C3"/>
    <w:rsid w:val="00DD6FA0"/>
    <w:rsid w:val="00DD6FA2"/>
    <w:rsid w:val="00DD714F"/>
    <w:rsid w:val="00DD7721"/>
    <w:rsid w:val="00DD77F6"/>
    <w:rsid w:val="00DE0175"/>
    <w:rsid w:val="00DE0B18"/>
    <w:rsid w:val="00DE1A94"/>
    <w:rsid w:val="00DE1BB2"/>
    <w:rsid w:val="00DE3586"/>
    <w:rsid w:val="00DE488D"/>
    <w:rsid w:val="00DE4CD7"/>
    <w:rsid w:val="00DE6506"/>
    <w:rsid w:val="00DE76D1"/>
    <w:rsid w:val="00DE7B52"/>
    <w:rsid w:val="00DF0E93"/>
    <w:rsid w:val="00DF176E"/>
    <w:rsid w:val="00DF27EF"/>
    <w:rsid w:val="00DF352D"/>
    <w:rsid w:val="00DF360E"/>
    <w:rsid w:val="00DF3A80"/>
    <w:rsid w:val="00DF4C59"/>
    <w:rsid w:val="00DF510A"/>
    <w:rsid w:val="00DF55D4"/>
    <w:rsid w:val="00DF6971"/>
    <w:rsid w:val="00DF6DC4"/>
    <w:rsid w:val="00DF734A"/>
    <w:rsid w:val="00DF79CE"/>
    <w:rsid w:val="00E00869"/>
    <w:rsid w:val="00E00A07"/>
    <w:rsid w:val="00E00C3D"/>
    <w:rsid w:val="00E014DB"/>
    <w:rsid w:val="00E01B9A"/>
    <w:rsid w:val="00E02447"/>
    <w:rsid w:val="00E02C59"/>
    <w:rsid w:val="00E02D52"/>
    <w:rsid w:val="00E032FF"/>
    <w:rsid w:val="00E04D42"/>
    <w:rsid w:val="00E04EE7"/>
    <w:rsid w:val="00E0667E"/>
    <w:rsid w:val="00E072AB"/>
    <w:rsid w:val="00E0757F"/>
    <w:rsid w:val="00E106ED"/>
    <w:rsid w:val="00E11A69"/>
    <w:rsid w:val="00E11E56"/>
    <w:rsid w:val="00E12D3A"/>
    <w:rsid w:val="00E134DD"/>
    <w:rsid w:val="00E13E24"/>
    <w:rsid w:val="00E144D0"/>
    <w:rsid w:val="00E14929"/>
    <w:rsid w:val="00E1541A"/>
    <w:rsid w:val="00E15F27"/>
    <w:rsid w:val="00E170F7"/>
    <w:rsid w:val="00E17F03"/>
    <w:rsid w:val="00E201FE"/>
    <w:rsid w:val="00E20F45"/>
    <w:rsid w:val="00E21DDB"/>
    <w:rsid w:val="00E22ED0"/>
    <w:rsid w:val="00E231F6"/>
    <w:rsid w:val="00E2388A"/>
    <w:rsid w:val="00E241B5"/>
    <w:rsid w:val="00E2432B"/>
    <w:rsid w:val="00E26C04"/>
    <w:rsid w:val="00E276A3"/>
    <w:rsid w:val="00E27922"/>
    <w:rsid w:val="00E2793B"/>
    <w:rsid w:val="00E303E7"/>
    <w:rsid w:val="00E30446"/>
    <w:rsid w:val="00E31F7F"/>
    <w:rsid w:val="00E31FDE"/>
    <w:rsid w:val="00E321B3"/>
    <w:rsid w:val="00E32DE1"/>
    <w:rsid w:val="00E334EA"/>
    <w:rsid w:val="00E336EC"/>
    <w:rsid w:val="00E35F52"/>
    <w:rsid w:val="00E36893"/>
    <w:rsid w:val="00E36B3B"/>
    <w:rsid w:val="00E370E8"/>
    <w:rsid w:val="00E373EB"/>
    <w:rsid w:val="00E402EF"/>
    <w:rsid w:val="00E40DDD"/>
    <w:rsid w:val="00E4103F"/>
    <w:rsid w:val="00E4108F"/>
    <w:rsid w:val="00E431C9"/>
    <w:rsid w:val="00E440E9"/>
    <w:rsid w:val="00E441D6"/>
    <w:rsid w:val="00E44454"/>
    <w:rsid w:val="00E448C8"/>
    <w:rsid w:val="00E455FE"/>
    <w:rsid w:val="00E5058B"/>
    <w:rsid w:val="00E50D56"/>
    <w:rsid w:val="00E5113D"/>
    <w:rsid w:val="00E5133F"/>
    <w:rsid w:val="00E518F2"/>
    <w:rsid w:val="00E51CEF"/>
    <w:rsid w:val="00E525CF"/>
    <w:rsid w:val="00E52B9A"/>
    <w:rsid w:val="00E532A8"/>
    <w:rsid w:val="00E53932"/>
    <w:rsid w:val="00E53F16"/>
    <w:rsid w:val="00E54D09"/>
    <w:rsid w:val="00E55DBB"/>
    <w:rsid w:val="00E563DF"/>
    <w:rsid w:val="00E56475"/>
    <w:rsid w:val="00E57881"/>
    <w:rsid w:val="00E57987"/>
    <w:rsid w:val="00E60091"/>
    <w:rsid w:val="00E6022A"/>
    <w:rsid w:val="00E6045F"/>
    <w:rsid w:val="00E61181"/>
    <w:rsid w:val="00E619BD"/>
    <w:rsid w:val="00E61B4A"/>
    <w:rsid w:val="00E61E4E"/>
    <w:rsid w:val="00E62794"/>
    <w:rsid w:val="00E62E67"/>
    <w:rsid w:val="00E62E6F"/>
    <w:rsid w:val="00E64417"/>
    <w:rsid w:val="00E64671"/>
    <w:rsid w:val="00E64D70"/>
    <w:rsid w:val="00E65DD7"/>
    <w:rsid w:val="00E66137"/>
    <w:rsid w:val="00E675BD"/>
    <w:rsid w:val="00E676E0"/>
    <w:rsid w:val="00E6772B"/>
    <w:rsid w:val="00E678EA"/>
    <w:rsid w:val="00E70430"/>
    <w:rsid w:val="00E7066E"/>
    <w:rsid w:val="00E7149A"/>
    <w:rsid w:val="00E73523"/>
    <w:rsid w:val="00E74D08"/>
    <w:rsid w:val="00E74E01"/>
    <w:rsid w:val="00E757D7"/>
    <w:rsid w:val="00E7600E"/>
    <w:rsid w:val="00E763D1"/>
    <w:rsid w:val="00E76659"/>
    <w:rsid w:val="00E80871"/>
    <w:rsid w:val="00E80C03"/>
    <w:rsid w:val="00E80E60"/>
    <w:rsid w:val="00E81131"/>
    <w:rsid w:val="00E82AD8"/>
    <w:rsid w:val="00E82B8F"/>
    <w:rsid w:val="00E8326E"/>
    <w:rsid w:val="00E83797"/>
    <w:rsid w:val="00E8490A"/>
    <w:rsid w:val="00E8548F"/>
    <w:rsid w:val="00E8597D"/>
    <w:rsid w:val="00E859FF"/>
    <w:rsid w:val="00E86150"/>
    <w:rsid w:val="00E902CB"/>
    <w:rsid w:val="00E903E5"/>
    <w:rsid w:val="00E90C7D"/>
    <w:rsid w:val="00E9540E"/>
    <w:rsid w:val="00E95AFB"/>
    <w:rsid w:val="00E95F37"/>
    <w:rsid w:val="00E96735"/>
    <w:rsid w:val="00E97C4B"/>
    <w:rsid w:val="00E97E56"/>
    <w:rsid w:val="00E97FED"/>
    <w:rsid w:val="00EA013A"/>
    <w:rsid w:val="00EA1234"/>
    <w:rsid w:val="00EA1347"/>
    <w:rsid w:val="00EA1DE4"/>
    <w:rsid w:val="00EA30B8"/>
    <w:rsid w:val="00EA4216"/>
    <w:rsid w:val="00EA445E"/>
    <w:rsid w:val="00EA4485"/>
    <w:rsid w:val="00EA458B"/>
    <w:rsid w:val="00EA4830"/>
    <w:rsid w:val="00EA6582"/>
    <w:rsid w:val="00EA6B80"/>
    <w:rsid w:val="00EA6C70"/>
    <w:rsid w:val="00EA6CFC"/>
    <w:rsid w:val="00EA6FB3"/>
    <w:rsid w:val="00EB0415"/>
    <w:rsid w:val="00EB0F39"/>
    <w:rsid w:val="00EB1BC9"/>
    <w:rsid w:val="00EB49FA"/>
    <w:rsid w:val="00EB5DD3"/>
    <w:rsid w:val="00EB5E2F"/>
    <w:rsid w:val="00EB69FD"/>
    <w:rsid w:val="00EB73C9"/>
    <w:rsid w:val="00EC0CF9"/>
    <w:rsid w:val="00EC1085"/>
    <w:rsid w:val="00EC15B2"/>
    <w:rsid w:val="00EC1815"/>
    <w:rsid w:val="00EC2254"/>
    <w:rsid w:val="00EC2BB9"/>
    <w:rsid w:val="00EC406D"/>
    <w:rsid w:val="00EC426E"/>
    <w:rsid w:val="00EC436A"/>
    <w:rsid w:val="00EC4378"/>
    <w:rsid w:val="00EC44AD"/>
    <w:rsid w:val="00EC5209"/>
    <w:rsid w:val="00EC54FF"/>
    <w:rsid w:val="00EC7227"/>
    <w:rsid w:val="00EC7800"/>
    <w:rsid w:val="00ED1398"/>
    <w:rsid w:val="00ED1C82"/>
    <w:rsid w:val="00ED24A9"/>
    <w:rsid w:val="00ED32AD"/>
    <w:rsid w:val="00ED37A7"/>
    <w:rsid w:val="00ED3AD2"/>
    <w:rsid w:val="00ED52E5"/>
    <w:rsid w:val="00ED5E64"/>
    <w:rsid w:val="00ED6101"/>
    <w:rsid w:val="00ED73E9"/>
    <w:rsid w:val="00EE0DED"/>
    <w:rsid w:val="00EE174F"/>
    <w:rsid w:val="00EE1EC7"/>
    <w:rsid w:val="00EE266D"/>
    <w:rsid w:val="00EE2770"/>
    <w:rsid w:val="00EE30B7"/>
    <w:rsid w:val="00EE3582"/>
    <w:rsid w:val="00EE3C5F"/>
    <w:rsid w:val="00EE444C"/>
    <w:rsid w:val="00EE539D"/>
    <w:rsid w:val="00EE5808"/>
    <w:rsid w:val="00EE5B1F"/>
    <w:rsid w:val="00EE5CFD"/>
    <w:rsid w:val="00EE6018"/>
    <w:rsid w:val="00EE6375"/>
    <w:rsid w:val="00EE7E16"/>
    <w:rsid w:val="00EF03C7"/>
    <w:rsid w:val="00EF0A10"/>
    <w:rsid w:val="00EF0A89"/>
    <w:rsid w:val="00EF28CB"/>
    <w:rsid w:val="00EF28EF"/>
    <w:rsid w:val="00EF3137"/>
    <w:rsid w:val="00EF38A7"/>
    <w:rsid w:val="00EF402C"/>
    <w:rsid w:val="00EF4499"/>
    <w:rsid w:val="00EF5038"/>
    <w:rsid w:val="00EF661C"/>
    <w:rsid w:val="00EF78D5"/>
    <w:rsid w:val="00EF7A3A"/>
    <w:rsid w:val="00EF7F0F"/>
    <w:rsid w:val="00F00E70"/>
    <w:rsid w:val="00F01969"/>
    <w:rsid w:val="00F01D56"/>
    <w:rsid w:val="00F0319D"/>
    <w:rsid w:val="00F03D36"/>
    <w:rsid w:val="00F04BAE"/>
    <w:rsid w:val="00F075CD"/>
    <w:rsid w:val="00F113E6"/>
    <w:rsid w:val="00F11C7A"/>
    <w:rsid w:val="00F12D29"/>
    <w:rsid w:val="00F14AC9"/>
    <w:rsid w:val="00F14DD0"/>
    <w:rsid w:val="00F1507F"/>
    <w:rsid w:val="00F167D1"/>
    <w:rsid w:val="00F16FD1"/>
    <w:rsid w:val="00F17342"/>
    <w:rsid w:val="00F1741B"/>
    <w:rsid w:val="00F17BB0"/>
    <w:rsid w:val="00F20140"/>
    <w:rsid w:val="00F208EA"/>
    <w:rsid w:val="00F20F1B"/>
    <w:rsid w:val="00F21263"/>
    <w:rsid w:val="00F21480"/>
    <w:rsid w:val="00F2190B"/>
    <w:rsid w:val="00F21D5F"/>
    <w:rsid w:val="00F21E8C"/>
    <w:rsid w:val="00F225E7"/>
    <w:rsid w:val="00F227CC"/>
    <w:rsid w:val="00F22A17"/>
    <w:rsid w:val="00F2336E"/>
    <w:rsid w:val="00F25DDF"/>
    <w:rsid w:val="00F26113"/>
    <w:rsid w:val="00F26560"/>
    <w:rsid w:val="00F26F19"/>
    <w:rsid w:val="00F27BAC"/>
    <w:rsid w:val="00F27DCA"/>
    <w:rsid w:val="00F27F3B"/>
    <w:rsid w:val="00F31008"/>
    <w:rsid w:val="00F31F6E"/>
    <w:rsid w:val="00F31FA6"/>
    <w:rsid w:val="00F32774"/>
    <w:rsid w:val="00F327D4"/>
    <w:rsid w:val="00F33E05"/>
    <w:rsid w:val="00F34AFF"/>
    <w:rsid w:val="00F34E77"/>
    <w:rsid w:val="00F354E2"/>
    <w:rsid w:val="00F35D7F"/>
    <w:rsid w:val="00F37028"/>
    <w:rsid w:val="00F3776A"/>
    <w:rsid w:val="00F378E9"/>
    <w:rsid w:val="00F37AFB"/>
    <w:rsid w:val="00F37F00"/>
    <w:rsid w:val="00F405D3"/>
    <w:rsid w:val="00F41D1D"/>
    <w:rsid w:val="00F41FE7"/>
    <w:rsid w:val="00F42405"/>
    <w:rsid w:val="00F42FAD"/>
    <w:rsid w:val="00F43A64"/>
    <w:rsid w:val="00F458F7"/>
    <w:rsid w:val="00F46B09"/>
    <w:rsid w:val="00F46D44"/>
    <w:rsid w:val="00F479B3"/>
    <w:rsid w:val="00F50C89"/>
    <w:rsid w:val="00F50CFA"/>
    <w:rsid w:val="00F51BA6"/>
    <w:rsid w:val="00F51DBD"/>
    <w:rsid w:val="00F51F65"/>
    <w:rsid w:val="00F52FC6"/>
    <w:rsid w:val="00F54F73"/>
    <w:rsid w:val="00F5508B"/>
    <w:rsid w:val="00F55CB1"/>
    <w:rsid w:val="00F5638B"/>
    <w:rsid w:val="00F5643C"/>
    <w:rsid w:val="00F574EC"/>
    <w:rsid w:val="00F57C2C"/>
    <w:rsid w:val="00F60970"/>
    <w:rsid w:val="00F6120B"/>
    <w:rsid w:val="00F616E0"/>
    <w:rsid w:val="00F61AD6"/>
    <w:rsid w:val="00F61B6F"/>
    <w:rsid w:val="00F62E9B"/>
    <w:rsid w:val="00F631D6"/>
    <w:rsid w:val="00F637A4"/>
    <w:rsid w:val="00F63AB7"/>
    <w:rsid w:val="00F6589E"/>
    <w:rsid w:val="00F66331"/>
    <w:rsid w:val="00F66718"/>
    <w:rsid w:val="00F6790E"/>
    <w:rsid w:val="00F67CC1"/>
    <w:rsid w:val="00F70408"/>
    <w:rsid w:val="00F71075"/>
    <w:rsid w:val="00F7186F"/>
    <w:rsid w:val="00F71B8F"/>
    <w:rsid w:val="00F71F8D"/>
    <w:rsid w:val="00F7282C"/>
    <w:rsid w:val="00F73564"/>
    <w:rsid w:val="00F737D3"/>
    <w:rsid w:val="00F739DD"/>
    <w:rsid w:val="00F747C6"/>
    <w:rsid w:val="00F7583D"/>
    <w:rsid w:val="00F76C0D"/>
    <w:rsid w:val="00F76EEA"/>
    <w:rsid w:val="00F8103E"/>
    <w:rsid w:val="00F81825"/>
    <w:rsid w:val="00F820C0"/>
    <w:rsid w:val="00F8222C"/>
    <w:rsid w:val="00F82607"/>
    <w:rsid w:val="00F82E98"/>
    <w:rsid w:val="00F830F9"/>
    <w:rsid w:val="00F83307"/>
    <w:rsid w:val="00F83533"/>
    <w:rsid w:val="00F83ED0"/>
    <w:rsid w:val="00F84003"/>
    <w:rsid w:val="00F8460B"/>
    <w:rsid w:val="00F84859"/>
    <w:rsid w:val="00F84FA5"/>
    <w:rsid w:val="00F8506E"/>
    <w:rsid w:val="00F8583D"/>
    <w:rsid w:val="00F865BD"/>
    <w:rsid w:val="00F8699A"/>
    <w:rsid w:val="00F87318"/>
    <w:rsid w:val="00F87401"/>
    <w:rsid w:val="00F875DF"/>
    <w:rsid w:val="00F877A6"/>
    <w:rsid w:val="00F87AE3"/>
    <w:rsid w:val="00F909F4"/>
    <w:rsid w:val="00F911EA"/>
    <w:rsid w:val="00F9179E"/>
    <w:rsid w:val="00F91D6B"/>
    <w:rsid w:val="00F924BE"/>
    <w:rsid w:val="00F933CE"/>
    <w:rsid w:val="00F94AE6"/>
    <w:rsid w:val="00F94DB4"/>
    <w:rsid w:val="00F94E98"/>
    <w:rsid w:val="00F956B4"/>
    <w:rsid w:val="00F96D82"/>
    <w:rsid w:val="00F975B7"/>
    <w:rsid w:val="00FA03F6"/>
    <w:rsid w:val="00FA04CC"/>
    <w:rsid w:val="00FA0FEB"/>
    <w:rsid w:val="00FA12C5"/>
    <w:rsid w:val="00FA1A3C"/>
    <w:rsid w:val="00FA2005"/>
    <w:rsid w:val="00FA2021"/>
    <w:rsid w:val="00FA2133"/>
    <w:rsid w:val="00FA2871"/>
    <w:rsid w:val="00FA2F3E"/>
    <w:rsid w:val="00FA4F10"/>
    <w:rsid w:val="00FA533A"/>
    <w:rsid w:val="00FA7E03"/>
    <w:rsid w:val="00FB071B"/>
    <w:rsid w:val="00FB0904"/>
    <w:rsid w:val="00FB09F1"/>
    <w:rsid w:val="00FB1116"/>
    <w:rsid w:val="00FB16F6"/>
    <w:rsid w:val="00FB17D9"/>
    <w:rsid w:val="00FB1D40"/>
    <w:rsid w:val="00FB2236"/>
    <w:rsid w:val="00FB28FE"/>
    <w:rsid w:val="00FB33E2"/>
    <w:rsid w:val="00FB3DE2"/>
    <w:rsid w:val="00FB4B02"/>
    <w:rsid w:val="00FB6086"/>
    <w:rsid w:val="00FB6504"/>
    <w:rsid w:val="00FB7A8D"/>
    <w:rsid w:val="00FC00BC"/>
    <w:rsid w:val="00FC1554"/>
    <w:rsid w:val="00FC1A16"/>
    <w:rsid w:val="00FC2028"/>
    <w:rsid w:val="00FC26E7"/>
    <w:rsid w:val="00FC4A6A"/>
    <w:rsid w:val="00FC4EE9"/>
    <w:rsid w:val="00FC59A6"/>
    <w:rsid w:val="00FC5B9D"/>
    <w:rsid w:val="00FC6ECF"/>
    <w:rsid w:val="00FC7756"/>
    <w:rsid w:val="00FD0608"/>
    <w:rsid w:val="00FD0D46"/>
    <w:rsid w:val="00FD1719"/>
    <w:rsid w:val="00FD24B7"/>
    <w:rsid w:val="00FD2729"/>
    <w:rsid w:val="00FD274A"/>
    <w:rsid w:val="00FD2DCA"/>
    <w:rsid w:val="00FD3812"/>
    <w:rsid w:val="00FD3AF4"/>
    <w:rsid w:val="00FD5746"/>
    <w:rsid w:val="00FD60F0"/>
    <w:rsid w:val="00FD6F05"/>
    <w:rsid w:val="00FD7715"/>
    <w:rsid w:val="00FE2C75"/>
    <w:rsid w:val="00FE383F"/>
    <w:rsid w:val="00FE38D6"/>
    <w:rsid w:val="00FE42CB"/>
    <w:rsid w:val="00FE4526"/>
    <w:rsid w:val="00FE5806"/>
    <w:rsid w:val="00FE6427"/>
    <w:rsid w:val="00FE75D6"/>
    <w:rsid w:val="00FE7B47"/>
    <w:rsid w:val="00FE7D84"/>
    <w:rsid w:val="00FF0DDC"/>
    <w:rsid w:val="00FF1883"/>
    <w:rsid w:val="00FF21D7"/>
    <w:rsid w:val="00FF241C"/>
    <w:rsid w:val="00FF4BB3"/>
    <w:rsid w:val="00FF515D"/>
    <w:rsid w:val="00FF538F"/>
    <w:rsid w:val="00FF550A"/>
    <w:rsid w:val="00FF592F"/>
    <w:rsid w:val="00FF630D"/>
    <w:rsid w:val="00FF67C0"/>
    <w:rsid w:val="00FF68E6"/>
    <w:rsid w:val="00FF7881"/>
    <w:rsid w:val="019F5DB2"/>
    <w:rsid w:val="01FF265D"/>
    <w:rsid w:val="0227136C"/>
    <w:rsid w:val="023C4E17"/>
    <w:rsid w:val="027303A9"/>
    <w:rsid w:val="028E7910"/>
    <w:rsid w:val="029D33DC"/>
    <w:rsid w:val="02C81926"/>
    <w:rsid w:val="02E5191F"/>
    <w:rsid w:val="02F23728"/>
    <w:rsid w:val="03065469"/>
    <w:rsid w:val="03315F62"/>
    <w:rsid w:val="035A541C"/>
    <w:rsid w:val="036E6CBF"/>
    <w:rsid w:val="03BE3E45"/>
    <w:rsid w:val="03BF23F4"/>
    <w:rsid w:val="03F02FEE"/>
    <w:rsid w:val="0409646A"/>
    <w:rsid w:val="04267B2D"/>
    <w:rsid w:val="042E3C4D"/>
    <w:rsid w:val="04335DA6"/>
    <w:rsid w:val="045A7226"/>
    <w:rsid w:val="04A505B2"/>
    <w:rsid w:val="04F77866"/>
    <w:rsid w:val="051F6061"/>
    <w:rsid w:val="0538304F"/>
    <w:rsid w:val="05A80BBC"/>
    <w:rsid w:val="05E04DD4"/>
    <w:rsid w:val="061C7986"/>
    <w:rsid w:val="06763E19"/>
    <w:rsid w:val="067D59FE"/>
    <w:rsid w:val="06EB6C75"/>
    <w:rsid w:val="06EE65E5"/>
    <w:rsid w:val="06EF6CB4"/>
    <w:rsid w:val="07416B11"/>
    <w:rsid w:val="0772024C"/>
    <w:rsid w:val="078F746D"/>
    <w:rsid w:val="07945F56"/>
    <w:rsid w:val="07B7113D"/>
    <w:rsid w:val="07DA0E97"/>
    <w:rsid w:val="07F7417D"/>
    <w:rsid w:val="080305CA"/>
    <w:rsid w:val="08064D13"/>
    <w:rsid w:val="08296A9C"/>
    <w:rsid w:val="08325FD7"/>
    <w:rsid w:val="084B176A"/>
    <w:rsid w:val="084C335D"/>
    <w:rsid w:val="084E24F1"/>
    <w:rsid w:val="08832E27"/>
    <w:rsid w:val="089D01F3"/>
    <w:rsid w:val="089E6732"/>
    <w:rsid w:val="08C96A15"/>
    <w:rsid w:val="08E43B13"/>
    <w:rsid w:val="09294B1B"/>
    <w:rsid w:val="09692774"/>
    <w:rsid w:val="099C619C"/>
    <w:rsid w:val="099F36F5"/>
    <w:rsid w:val="09A550D0"/>
    <w:rsid w:val="09A56B01"/>
    <w:rsid w:val="09B5443B"/>
    <w:rsid w:val="09C7515F"/>
    <w:rsid w:val="09DD75D0"/>
    <w:rsid w:val="0A075D0B"/>
    <w:rsid w:val="0A4F01EE"/>
    <w:rsid w:val="0A764E39"/>
    <w:rsid w:val="0A797674"/>
    <w:rsid w:val="0B2538F9"/>
    <w:rsid w:val="0B330C7E"/>
    <w:rsid w:val="0B5C3366"/>
    <w:rsid w:val="0B6C3BF8"/>
    <w:rsid w:val="0BA9742D"/>
    <w:rsid w:val="0BD90CEF"/>
    <w:rsid w:val="0BD936D7"/>
    <w:rsid w:val="0BE449CE"/>
    <w:rsid w:val="0BE61950"/>
    <w:rsid w:val="0C13244B"/>
    <w:rsid w:val="0C28576C"/>
    <w:rsid w:val="0C6C4D38"/>
    <w:rsid w:val="0C917B0E"/>
    <w:rsid w:val="0C994C14"/>
    <w:rsid w:val="0C9A4D80"/>
    <w:rsid w:val="0CF36D21"/>
    <w:rsid w:val="0D0C3ACF"/>
    <w:rsid w:val="0D1B5900"/>
    <w:rsid w:val="0D805EDE"/>
    <w:rsid w:val="0E375AEE"/>
    <w:rsid w:val="0E4E1A74"/>
    <w:rsid w:val="0E786255"/>
    <w:rsid w:val="0EA24254"/>
    <w:rsid w:val="0EA74FFA"/>
    <w:rsid w:val="0ECD7425"/>
    <w:rsid w:val="0EDF2D63"/>
    <w:rsid w:val="0EE17DB9"/>
    <w:rsid w:val="0EE24651"/>
    <w:rsid w:val="0EF165C3"/>
    <w:rsid w:val="0F067E8C"/>
    <w:rsid w:val="0F0815C3"/>
    <w:rsid w:val="0F7B7580"/>
    <w:rsid w:val="0F8454CF"/>
    <w:rsid w:val="0F8B7BBE"/>
    <w:rsid w:val="0FBC58D2"/>
    <w:rsid w:val="0FCF2BD3"/>
    <w:rsid w:val="10723786"/>
    <w:rsid w:val="107F4892"/>
    <w:rsid w:val="10BE3734"/>
    <w:rsid w:val="10D437CA"/>
    <w:rsid w:val="112C6057"/>
    <w:rsid w:val="1137035B"/>
    <w:rsid w:val="11697680"/>
    <w:rsid w:val="11BA318E"/>
    <w:rsid w:val="11BF37BB"/>
    <w:rsid w:val="11BF511D"/>
    <w:rsid w:val="120175B7"/>
    <w:rsid w:val="121D5674"/>
    <w:rsid w:val="12247D59"/>
    <w:rsid w:val="124F5AB1"/>
    <w:rsid w:val="12527911"/>
    <w:rsid w:val="1264486F"/>
    <w:rsid w:val="12CA38A9"/>
    <w:rsid w:val="12D150EF"/>
    <w:rsid w:val="12D20A49"/>
    <w:rsid w:val="131F206A"/>
    <w:rsid w:val="132267A1"/>
    <w:rsid w:val="132F543B"/>
    <w:rsid w:val="135A0986"/>
    <w:rsid w:val="136F6AEC"/>
    <w:rsid w:val="13906B8F"/>
    <w:rsid w:val="13A14808"/>
    <w:rsid w:val="13BA10FB"/>
    <w:rsid w:val="13D62F2B"/>
    <w:rsid w:val="13D71CDC"/>
    <w:rsid w:val="13E50981"/>
    <w:rsid w:val="13F4401F"/>
    <w:rsid w:val="13F70546"/>
    <w:rsid w:val="14034E32"/>
    <w:rsid w:val="14044259"/>
    <w:rsid w:val="14067033"/>
    <w:rsid w:val="141172F1"/>
    <w:rsid w:val="1487023C"/>
    <w:rsid w:val="14990261"/>
    <w:rsid w:val="14C05F3B"/>
    <w:rsid w:val="14C9784D"/>
    <w:rsid w:val="154C2E02"/>
    <w:rsid w:val="155749A2"/>
    <w:rsid w:val="157B35BE"/>
    <w:rsid w:val="159D717D"/>
    <w:rsid w:val="15D71547"/>
    <w:rsid w:val="161C70ED"/>
    <w:rsid w:val="16223447"/>
    <w:rsid w:val="16456B00"/>
    <w:rsid w:val="164F4D20"/>
    <w:rsid w:val="16B94831"/>
    <w:rsid w:val="16CF2F67"/>
    <w:rsid w:val="16DD293C"/>
    <w:rsid w:val="16F25B30"/>
    <w:rsid w:val="16FD37A3"/>
    <w:rsid w:val="17287E48"/>
    <w:rsid w:val="174C1B02"/>
    <w:rsid w:val="174E71AD"/>
    <w:rsid w:val="176F0241"/>
    <w:rsid w:val="17DE539E"/>
    <w:rsid w:val="17F43CEB"/>
    <w:rsid w:val="17F73093"/>
    <w:rsid w:val="18142714"/>
    <w:rsid w:val="18363DEB"/>
    <w:rsid w:val="18973DF0"/>
    <w:rsid w:val="18B229B5"/>
    <w:rsid w:val="19366D27"/>
    <w:rsid w:val="193A1FF2"/>
    <w:rsid w:val="19557DC3"/>
    <w:rsid w:val="196565AA"/>
    <w:rsid w:val="197929AD"/>
    <w:rsid w:val="1998697F"/>
    <w:rsid w:val="1A2B4FE4"/>
    <w:rsid w:val="1A4E4FE0"/>
    <w:rsid w:val="1A557B6B"/>
    <w:rsid w:val="1A676352"/>
    <w:rsid w:val="1AD456F6"/>
    <w:rsid w:val="1B095C05"/>
    <w:rsid w:val="1B173E14"/>
    <w:rsid w:val="1B40272F"/>
    <w:rsid w:val="1BA17641"/>
    <w:rsid w:val="1BA809D0"/>
    <w:rsid w:val="1BEF5A01"/>
    <w:rsid w:val="1C063CBD"/>
    <w:rsid w:val="1C0B2959"/>
    <w:rsid w:val="1C231468"/>
    <w:rsid w:val="1C503005"/>
    <w:rsid w:val="1C662D65"/>
    <w:rsid w:val="1C932FC3"/>
    <w:rsid w:val="1CD15FE5"/>
    <w:rsid w:val="1CDA105D"/>
    <w:rsid w:val="1CE40E9E"/>
    <w:rsid w:val="1D0B7468"/>
    <w:rsid w:val="1D0E1CA0"/>
    <w:rsid w:val="1D162C62"/>
    <w:rsid w:val="1D2623C0"/>
    <w:rsid w:val="1D340A80"/>
    <w:rsid w:val="1D5D5207"/>
    <w:rsid w:val="1D7A22DE"/>
    <w:rsid w:val="1D9310AA"/>
    <w:rsid w:val="1D9575AF"/>
    <w:rsid w:val="1DAE55A6"/>
    <w:rsid w:val="1DE93669"/>
    <w:rsid w:val="1DEF28C7"/>
    <w:rsid w:val="1E4D048F"/>
    <w:rsid w:val="1E5F311A"/>
    <w:rsid w:val="1E5F77FB"/>
    <w:rsid w:val="1EB37DB8"/>
    <w:rsid w:val="1ED240E2"/>
    <w:rsid w:val="1EE86A65"/>
    <w:rsid w:val="1EEB3BC4"/>
    <w:rsid w:val="1F15637C"/>
    <w:rsid w:val="1F1C2A71"/>
    <w:rsid w:val="1F494278"/>
    <w:rsid w:val="1F81363A"/>
    <w:rsid w:val="1FE13F88"/>
    <w:rsid w:val="1FE8047E"/>
    <w:rsid w:val="20486AEC"/>
    <w:rsid w:val="206330C9"/>
    <w:rsid w:val="20875DEA"/>
    <w:rsid w:val="20C80FBF"/>
    <w:rsid w:val="20C820F9"/>
    <w:rsid w:val="20CC7CAD"/>
    <w:rsid w:val="20D30822"/>
    <w:rsid w:val="20D61B3B"/>
    <w:rsid w:val="21330C74"/>
    <w:rsid w:val="217D0B2F"/>
    <w:rsid w:val="21C00B20"/>
    <w:rsid w:val="21D26110"/>
    <w:rsid w:val="21EE28B3"/>
    <w:rsid w:val="221E5BA6"/>
    <w:rsid w:val="223051B4"/>
    <w:rsid w:val="22823526"/>
    <w:rsid w:val="22CF4E22"/>
    <w:rsid w:val="22EC6570"/>
    <w:rsid w:val="2308273E"/>
    <w:rsid w:val="23551785"/>
    <w:rsid w:val="23662920"/>
    <w:rsid w:val="239A1546"/>
    <w:rsid w:val="23CE5164"/>
    <w:rsid w:val="2447560F"/>
    <w:rsid w:val="245036EB"/>
    <w:rsid w:val="246C2243"/>
    <w:rsid w:val="24A25CAE"/>
    <w:rsid w:val="24BE67FE"/>
    <w:rsid w:val="24BF1756"/>
    <w:rsid w:val="24D61873"/>
    <w:rsid w:val="24E47196"/>
    <w:rsid w:val="24FA11D2"/>
    <w:rsid w:val="25007C89"/>
    <w:rsid w:val="250C5A9A"/>
    <w:rsid w:val="251049CF"/>
    <w:rsid w:val="2510662B"/>
    <w:rsid w:val="25255AE1"/>
    <w:rsid w:val="252F443B"/>
    <w:rsid w:val="25735BDC"/>
    <w:rsid w:val="259614D3"/>
    <w:rsid w:val="25B96644"/>
    <w:rsid w:val="25DE5658"/>
    <w:rsid w:val="25E76599"/>
    <w:rsid w:val="261972EA"/>
    <w:rsid w:val="26201DFF"/>
    <w:rsid w:val="26424704"/>
    <w:rsid w:val="2668554F"/>
    <w:rsid w:val="267067EE"/>
    <w:rsid w:val="268F7243"/>
    <w:rsid w:val="26B700CA"/>
    <w:rsid w:val="26BC7B22"/>
    <w:rsid w:val="26CB7420"/>
    <w:rsid w:val="26E83313"/>
    <w:rsid w:val="27035654"/>
    <w:rsid w:val="270B24A4"/>
    <w:rsid w:val="27152781"/>
    <w:rsid w:val="27793163"/>
    <w:rsid w:val="27C11C75"/>
    <w:rsid w:val="27C75131"/>
    <w:rsid w:val="27C81E4A"/>
    <w:rsid w:val="28033984"/>
    <w:rsid w:val="282D78C2"/>
    <w:rsid w:val="2838132E"/>
    <w:rsid w:val="28743F27"/>
    <w:rsid w:val="28814E5A"/>
    <w:rsid w:val="28BA7DAD"/>
    <w:rsid w:val="28E11933"/>
    <w:rsid w:val="28FD67FF"/>
    <w:rsid w:val="29224BC5"/>
    <w:rsid w:val="29BD4225"/>
    <w:rsid w:val="29E104EB"/>
    <w:rsid w:val="29FF2AD4"/>
    <w:rsid w:val="2A243A25"/>
    <w:rsid w:val="2A2E105E"/>
    <w:rsid w:val="2A447467"/>
    <w:rsid w:val="2A4A27B9"/>
    <w:rsid w:val="2A5F7370"/>
    <w:rsid w:val="2A5F7E91"/>
    <w:rsid w:val="2AE82855"/>
    <w:rsid w:val="2AE8564E"/>
    <w:rsid w:val="2B050FDA"/>
    <w:rsid w:val="2B155465"/>
    <w:rsid w:val="2B1E5C2B"/>
    <w:rsid w:val="2B35076F"/>
    <w:rsid w:val="2B38408E"/>
    <w:rsid w:val="2B45452D"/>
    <w:rsid w:val="2B865630"/>
    <w:rsid w:val="2BA95699"/>
    <w:rsid w:val="2BAB71D0"/>
    <w:rsid w:val="2BB00EE1"/>
    <w:rsid w:val="2BD50CF8"/>
    <w:rsid w:val="2BE6682C"/>
    <w:rsid w:val="2C187974"/>
    <w:rsid w:val="2C3C0C04"/>
    <w:rsid w:val="2C88576F"/>
    <w:rsid w:val="2C8C2F8E"/>
    <w:rsid w:val="2CD5622F"/>
    <w:rsid w:val="2D2D2394"/>
    <w:rsid w:val="2D3D68D1"/>
    <w:rsid w:val="2DCB1525"/>
    <w:rsid w:val="2DE57862"/>
    <w:rsid w:val="2E036073"/>
    <w:rsid w:val="2E0D25D3"/>
    <w:rsid w:val="2E485F6B"/>
    <w:rsid w:val="2E4A3E34"/>
    <w:rsid w:val="2E8B7394"/>
    <w:rsid w:val="2EF8434B"/>
    <w:rsid w:val="2EFC1C66"/>
    <w:rsid w:val="2F2C4BF1"/>
    <w:rsid w:val="2F3863E6"/>
    <w:rsid w:val="2F5C3BB1"/>
    <w:rsid w:val="2F72338C"/>
    <w:rsid w:val="2F8D6DC5"/>
    <w:rsid w:val="2FC3182B"/>
    <w:rsid w:val="2FF7387C"/>
    <w:rsid w:val="30317241"/>
    <w:rsid w:val="307E42E2"/>
    <w:rsid w:val="30837398"/>
    <w:rsid w:val="309A11C1"/>
    <w:rsid w:val="30B04D4B"/>
    <w:rsid w:val="30CF4618"/>
    <w:rsid w:val="30FA721B"/>
    <w:rsid w:val="31603DCF"/>
    <w:rsid w:val="317A701E"/>
    <w:rsid w:val="31A92B4D"/>
    <w:rsid w:val="31BF4931"/>
    <w:rsid w:val="31C57CFE"/>
    <w:rsid w:val="31FC2CE2"/>
    <w:rsid w:val="31FD37FA"/>
    <w:rsid w:val="320969BA"/>
    <w:rsid w:val="3210283C"/>
    <w:rsid w:val="32591FE3"/>
    <w:rsid w:val="325D3E6B"/>
    <w:rsid w:val="326D4972"/>
    <w:rsid w:val="32785148"/>
    <w:rsid w:val="32986D7E"/>
    <w:rsid w:val="32AF6B17"/>
    <w:rsid w:val="32CB6CB2"/>
    <w:rsid w:val="3357558D"/>
    <w:rsid w:val="335C2094"/>
    <w:rsid w:val="335C7FF4"/>
    <w:rsid w:val="33966E15"/>
    <w:rsid w:val="33DD5679"/>
    <w:rsid w:val="33F207A9"/>
    <w:rsid w:val="341936A6"/>
    <w:rsid w:val="342B1D46"/>
    <w:rsid w:val="34DC6B15"/>
    <w:rsid w:val="34F46665"/>
    <w:rsid w:val="34F8070E"/>
    <w:rsid w:val="34FA6363"/>
    <w:rsid w:val="35026E38"/>
    <w:rsid w:val="35546D17"/>
    <w:rsid w:val="3564209D"/>
    <w:rsid w:val="35753BC1"/>
    <w:rsid w:val="357C314F"/>
    <w:rsid w:val="358728F9"/>
    <w:rsid w:val="359758E5"/>
    <w:rsid w:val="359C73A0"/>
    <w:rsid w:val="35AA77ED"/>
    <w:rsid w:val="35C12A74"/>
    <w:rsid w:val="35F745D6"/>
    <w:rsid w:val="36104DC1"/>
    <w:rsid w:val="3619454C"/>
    <w:rsid w:val="36392EC1"/>
    <w:rsid w:val="36696A9D"/>
    <w:rsid w:val="366D0530"/>
    <w:rsid w:val="36796F3C"/>
    <w:rsid w:val="36A77A05"/>
    <w:rsid w:val="36B2012A"/>
    <w:rsid w:val="36F525CA"/>
    <w:rsid w:val="370751F9"/>
    <w:rsid w:val="370E0523"/>
    <w:rsid w:val="375F2ED9"/>
    <w:rsid w:val="3791416D"/>
    <w:rsid w:val="37AD57A6"/>
    <w:rsid w:val="37F579DB"/>
    <w:rsid w:val="38036334"/>
    <w:rsid w:val="383B234D"/>
    <w:rsid w:val="384A021D"/>
    <w:rsid w:val="386D5023"/>
    <w:rsid w:val="38A8624C"/>
    <w:rsid w:val="38D67CAD"/>
    <w:rsid w:val="39497817"/>
    <w:rsid w:val="395064D7"/>
    <w:rsid w:val="397C18D9"/>
    <w:rsid w:val="39810B66"/>
    <w:rsid w:val="39D61D1D"/>
    <w:rsid w:val="3A1338A9"/>
    <w:rsid w:val="3A324F92"/>
    <w:rsid w:val="3A6A5DD7"/>
    <w:rsid w:val="3A770354"/>
    <w:rsid w:val="3A873717"/>
    <w:rsid w:val="3AA96989"/>
    <w:rsid w:val="3AAD13B3"/>
    <w:rsid w:val="3AC747B3"/>
    <w:rsid w:val="3AE65DCF"/>
    <w:rsid w:val="3B1E0601"/>
    <w:rsid w:val="3B376A53"/>
    <w:rsid w:val="3B7F63A1"/>
    <w:rsid w:val="3C12216A"/>
    <w:rsid w:val="3C5418B4"/>
    <w:rsid w:val="3C5E0F0B"/>
    <w:rsid w:val="3CD74D8F"/>
    <w:rsid w:val="3CEE6BFC"/>
    <w:rsid w:val="3CF50AD3"/>
    <w:rsid w:val="3D820C29"/>
    <w:rsid w:val="3DC20A5D"/>
    <w:rsid w:val="3E3162AA"/>
    <w:rsid w:val="3E317486"/>
    <w:rsid w:val="3E37026C"/>
    <w:rsid w:val="3E3B64E7"/>
    <w:rsid w:val="3E8E6E05"/>
    <w:rsid w:val="3E925752"/>
    <w:rsid w:val="3EA554C0"/>
    <w:rsid w:val="3EC33CF2"/>
    <w:rsid w:val="3EC421A4"/>
    <w:rsid w:val="3ED22280"/>
    <w:rsid w:val="3EE73064"/>
    <w:rsid w:val="3EF65841"/>
    <w:rsid w:val="3FE91433"/>
    <w:rsid w:val="40363661"/>
    <w:rsid w:val="40433AFE"/>
    <w:rsid w:val="40976199"/>
    <w:rsid w:val="40B67261"/>
    <w:rsid w:val="40E76187"/>
    <w:rsid w:val="40F40090"/>
    <w:rsid w:val="4103610B"/>
    <w:rsid w:val="41404D99"/>
    <w:rsid w:val="4182569C"/>
    <w:rsid w:val="41B810BD"/>
    <w:rsid w:val="41CC6917"/>
    <w:rsid w:val="41D41309"/>
    <w:rsid w:val="42010AD9"/>
    <w:rsid w:val="422E6C98"/>
    <w:rsid w:val="42487DC6"/>
    <w:rsid w:val="4274505A"/>
    <w:rsid w:val="42890CAC"/>
    <w:rsid w:val="429C09DF"/>
    <w:rsid w:val="433F4C57"/>
    <w:rsid w:val="43F263DD"/>
    <w:rsid w:val="441E7B0B"/>
    <w:rsid w:val="445B37D5"/>
    <w:rsid w:val="446021BF"/>
    <w:rsid w:val="44782FD4"/>
    <w:rsid w:val="449B480E"/>
    <w:rsid w:val="44CE6E4A"/>
    <w:rsid w:val="44DD0E3B"/>
    <w:rsid w:val="44DE708D"/>
    <w:rsid w:val="450E1B87"/>
    <w:rsid w:val="45137FDD"/>
    <w:rsid w:val="451C1AAF"/>
    <w:rsid w:val="45224207"/>
    <w:rsid w:val="455B0AE2"/>
    <w:rsid w:val="456A21EA"/>
    <w:rsid w:val="45A2455E"/>
    <w:rsid w:val="45FA364B"/>
    <w:rsid w:val="45FB5245"/>
    <w:rsid w:val="46187E50"/>
    <w:rsid w:val="462D16C5"/>
    <w:rsid w:val="46757ED2"/>
    <w:rsid w:val="46AB4857"/>
    <w:rsid w:val="46DC0EA3"/>
    <w:rsid w:val="46F71EED"/>
    <w:rsid w:val="47232012"/>
    <w:rsid w:val="472E643E"/>
    <w:rsid w:val="47373B2F"/>
    <w:rsid w:val="47682185"/>
    <w:rsid w:val="47B114E9"/>
    <w:rsid w:val="47F46FF5"/>
    <w:rsid w:val="482B3B5A"/>
    <w:rsid w:val="484768C7"/>
    <w:rsid w:val="485F2441"/>
    <w:rsid w:val="48766CC6"/>
    <w:rsid w:val="488E356D"/>
    <w:rsid w:val="48BE2849"/>
    <w:rsid w:val="48BE4A23"/>
    <w:rsid w:val="48E64762"/>
    <w:rsid w:val="48FD2F63"/>
    <w:rsid w:val="491C0B4D"/>
    <w:rsid w:val="495A3FA5"/>
    <w:rsid w:val="498E6E67"/>
    <w:rsid w:val="49B05BF8"/>
    <w:rsid w:val="49C02E0F"/>
    <w:rsid w:val="49D515F7"/>
    <w:rsid w:val="49E0350D"/>
    <w:rsid w:val="4A245DBF"/>
    <w:rsid w:val="4A4C3CFD"/>
    <w:rsid w:val="4A8D7880"/>
    <w:rsid w:val="4A911970"/>
    <w:rsid w:val="4B0122B9"/>
    <w:rsid w:val="4B110406"/>
    <w:rsid w:val="4B345ECF"/>
    <w:rsid w:val="4B7778F3"/>
    <w:rsid w:val="4BAE2F39"/>
    <w:rsid w:val="4BB72958"/>
    <w:rsid w:val="4BD74342"/>
    <w:rsid w:val="4C21658A"/>
    <w:rsid w:val="4C7107E7"/>
    <w:rsid w:val="4C800F0E"/>
    <w:rsid w:val="4CBD46A4"/>
    <w:rsid w:val="4D096C71"/>
    <w:rsid w:val="4D31441A"/>
    <w:rsid w:val="4DB537B8"/>
    <w:rsid w:val="4DE3233B"/>
    <w:rsid w:val="4DFD4B70"/>
    <w:rsid w:val="4E550AFD"/>
    <w:rsid w:val="4E590745"/>
    <w:rsid w:val="4E702C28"/>
    <w:rsid w:val="4E7869E3"/>
    <w:rsid w:val="4E8C1453"/>
    <w:rsid w:val="4EAF1C21"/>
    <w:rsid w:val="4EB562B4"/>
    <w:rsid w:val="4EF20D27"/>
    <w:rsid w:val="4EFD2375"/>
    <w:rsid w:val="4F120955"/>
    <w:rsid w:val="4F2026F6"/>
    <w:rsid w:val="4F2E26B6"/>
    <w:rsid w:val="4F435476"/>
    <w:rsid w:val="4FF322E5"/>
    <w:rsid w:val="503A5393"/>
    <w:rsid w:val="504A738A"/>
    <w:rsid w:val="504C5902"/>
    <w:rsid w:val="5065154F"/>
    <w:rsid w:val="50B3505C"/>
    <w:rsid w:val="50FA083D"/>
    <w:rsid w:val="51241EE7"/>
    <w:rsid w:val="51452C66"/>
    <w:rsid w:val="516161A4"/>
    <w:rsid w:val="51826FF2"/>
    <w:rsid w:val="518554AD"/>
    <w:rsid w:val="5201260D"/>
    <w:rsid w:val="52352A2E"/>
    <w:rsid w:val="524F1749"/>
    <w:rsid w:val="528D20F2"/>
    <w:rsid w:val="528D3EA0"/>
    <w:rsid w:val="52B8572B"/>
    <w:rsid w:val="52CA54F7"/>
    <w:rsid w:val="52F72A1E"/>
    <w:rsid w:val="53290A37"/>
    <w:rsid w:val="533463C6"/>
    <w:rsid w:val="53861717"/>
    <w:rsid w:val="53C75206"/>
    <w:rsid w:val="53D4627C"/>
    <w:rsid w:val="53E82A77"/>
    <w:rsid w:val="540B25C6"/>
    <w:rsid w:val="545258AF"/>
    <w:rsid w:val="5452714F"/>
    <w:rsid w:val="549C1A38"/>
    <w:rsid w:val="54A23619"/>
    <w:rsid w:val="54D8088F"/>
    <w:rsid w:val="54DF7F64"/>
    <w:rsid w:val="54E97C91"/>
    <w:rsid w:val="550933FA"/>
    <w:rsid w:val="550F2CF2"/>
    <w:rsid w:val="55223B83"/>
    <w:rsid w:val="553421D0"/>
    <w:rsid w:val="55B71BBE"/>
    <w:rsid w:val="56027D53"/>
    <w:rsid w:val="560A5808"/>
    <w:rsid w:val="566A55C6"/>
    <w:rsid w:val="567058ED"/>
    <w:rsid w:val="56F75816"/>
    <w:rsid w:val="575831B8"/>
    <w:rsid w:val="57A13718"/>
    <w:rsid w:val="57E94EEE"/>
    <w:rsid w:val="58C6010C"/>
    <w:rsid w:val="590E5AF3"/>
    <w:rsid w:val="59250163"/>
    <w:rsid w:val="593A1EA2"/>
    <w:rsid w:val="594828CF"/>
    <w:rsid w:val="59735CC1"/>
    <w:rsid w:val="597A2231"/>
    <w:rsid w:val="59896BAF"/>
    <w:rsid w:val="59A0095D"/>
    <w:rsid w:val="59B9557B"/>
    <w:rsid w:val="59BD321A"/>
    <w:rsid w:val="59BF6DF1"/>
    <w:rsid w:val="59D22811"/>
    <w:rsid w:val="59EF443C"/>
    <w:rsid w:val="5A0C7421"/>
    <w:rsid w:val="5A344E39"/>
    <w:rsid w:val="5A571E3B"/>
    <w:rsid w:val="5A6000EC"/>
    <w:rsid w:val="5A6D30FA"/>
    <w:rsid w:val="5AFE4AAF"/>
    <w:rsid w:val="5B00677E"/>
    <w:rsid w:val="5B0458D9"/>
    <w:rsid w:val="5B5B259D"/>
    <w:rsid w:val="5BB95B40"/>
    <w:rsid w:val="5BBC21D6"/>
    <w:rsid w:val="5C0C6DF6"/>
    <w:rsid w:val="5C145701"/>
    <w:rsid w:val="5C232F76"/>
    <w:rsid w:val="5C621EED"/>
    <w:rsid w:val="5C672A2A"/>
    <w:rsid w:val="5C6A7000"/>
    <w:rsid w:val="5C7D5723"/>
    <w:rsid w:val="5C7D71B9"/>
    <w:rsid w:val="5C991ADE"/>
    <w:rsid w:val="5C9F4EFC"/>
    <w:rsid w:val="5CB07E76"/>
    <w:rsid w:val="5CBC0A1C"/>
    <w:rsid w:val="5CCC7167"/>
    <w:rsid w:val="5D3478D8"/>
    <w:rsid w:val="5D362639"/>
    <w:rsid w:val="5D382C9A"/>
    <w:rsid w:val="5D583C02"/>
    <w:rsid w:val="5D64754B"/>
    <w:rsid w:val="5D762ED1"/>
    <w:rsid w:val="5DAF2CAB"/>
    <w:rsid w:val="5DF26C7D"/>
    <w:rsid w:val="5DF2792A"/>
    <w:rsid w:val="5E300976"/>
    <w:rsid w:val="5E4775F9"/>
    <w:rsid w:val="5E600D53"/>
    <w:rsid w:val="5E726B48"/>
    <w:rsid w:val="5E885151"/>
    <w:rsid w:val="5E8B4788"/>
    <w:rsid w:val="5E957E69"/>
    <w:rsid w:val="5EAA7B88"/>
    <w:rsid w:val="5F2D4D6D"/>
    <w:rsid w:val="5F307B74"/>
    <w:rsid w:val="5F561B20"/>
    <w:rsid w:val="5F750C79"/>
    <w:rsid w:val="5FAD34B8"/>
    <w:rsid w:val="5FB6395A"/>
    <w:rsid w:val="5FEE332D"/>
    <w:rsid w:val="60135919"/>
    <w:rsid w:val="60382386"/>
    <w:rsid w:val="60613FE1"/>
    <w:rsid w:val="60741B94"/>
    <w:rsid w:val="609B470C"/>
    <w:rsid w:val="60DD5FF3"/>
    <w:rsid w:val="60E03D35"/>
    <w:rsid w:val="60E34FDD"/>
    <w:rsid w:val="611352BE"/>
    <w:rsid w:val="611B3801"/>
    <w:rsid w:val="612005E0"/>
    <w:rsid w:val="61620DD4"/>
    <w:rsid w:val="619B57D7"/>
    <w:rsid w:val="61CC6F8D"/>
    <w:rsid w:val="61E3588B"/>
    <w:rsid w:val="61EE3969"/>
    <w:rsid w:val="621F5F76"/>
    <w:rsid w:val="62251F54"/>
    <w:rsid w:val="62574806"/>
    <w:rsid w:val="628D1111"/>
    <w:rsid w:val="62AB1E64"/>
    <w:rsid w:val="63484E0C"/>
    <w:rsid w:val="63837EB4"/>
    <w:rsid w:val="63870DB2"/>
    <w:rsid w:val="639E1F4B"/>
    <w:rsid w:val="639F5FDF"/>
    <w:rsid w:val="63CC1D85"/>
    <w:rsid w:val="63F349E4"/>
    <w:rsid w:val="641F4B74"/>
    <w:rsid w:val="64295065"/>
    <w:rsid w:val="64444295"/>
    <w:rsid w:val="64537787"/>
    <w:rsid w:val="648B33B4"/>
    <w:rsid w:val="64AA6B34"/>
    <w:rsid w:val="64B4746C"/>
    <w:rsid w:val="64BE2A76"/>
    <w:rsid w:val="64C36B42"/>
    <w:rsid w:val="64D732C0"/>
    <w:rsid w:val="64D95AF8"/>
    <w:rsid w:val="64F90F84"/>
    <w:rsid w:val="64FB0228"/>
    <w:rsid w:val="651537BC"/>
    <w:rsid w:val="651E355D"/>
    <w:rsid w:val="65760E93"/>
    <w:rsid w:val="658E6AA5"/>
    <w:rsid w:val="65A373A2"/>
    <w:rsid w:val="65AE0ADB"/>
    <w:rsid w:val="65B5753E"/>
    <w:rsid w:val="65CE73A8"/>
    <w:rsid w:val="65E46075"/>
    <w:rsid w:val="65EB5377"/>
    <w:rsid w:val="65F11ECE"/>
    <w:rsid w:val="65F125B1"/>
    <w:rsid w:val="661C226F"/>
    <w:rsid w:val="6626043C"/>
    <w:rsid w:val="66906A63"/>
    <w:rsid w:val="66A42039"/>
    <w:rsid w:val="66AB0941"/>
    <w:rsid w:val="671F15DC"/>
    <w:rsid w:val="672D5475"/>
    <w:rsid w:val="67C73559"/>
    <w:rsid w:val="67C91466"/>
    <w:rsid w:val="67D60F81"/>
    <w:rsid w:val="67D70035"/>
    <w:rsid w:val="67E51335"/>
    <w:rsid w:val="67E91000"/>
    <w:rsid w:val="680C53EC"/>
    <w:rsid w:val="68701E42"/>
    <w:rsid w:val="68847144"/>
    <w:rsid w:val="68BB6EB0"/>
    <w:rsid w:val="68DE0B5A"/>
    <w:rsid w:val="68F24605"/>
    <w:rsid w:val="693C243A"/>
    <w:rsid w:val="694011D3"/>
    <w:rsid w:val="694A2693"/>
    <w:rsid w:val="695B7C3E"/>
    <w:rsid w:val="69805A97"/>
    <w:rsid w:val="69A1320B"/>
    <w:rsid w:val="69AE2635"/>
    <w:rsid w:val="69C40776"/>
    <w:rsid w:val="69D3197E"/>
    <w:rsid w:val="6A07578D"/>
    <w:rsid w:val="6A187A7D"/>
    <w:rsid w:val="6A52703F"/>
    <w:rsid w:val="6A5C6A6E"/>
    <w:rsid w:val="6A7B584F"/>
    <w:rsid w:val="6AB22321"/>
    <w:rsid w:val="6AC8665B"/>
    <w:rsid w:val="6B2F0C9C"/>
    <w:rsid w:val="6B7632CC"/>
    <w:rsid w:val="6B966DB0"/>
    <w:rsid w:val="6BFE3502"/>
    <w:rsid w:val="6C1C1275"/>
    <w:rsid w:val="6C9D2ADA"/>
    <w:rsid w:val="6CE52161"/>
    <w:rsid w:val="6D030C40"/>
    <w:rsid w:val="6D7048EB"/>
    <w:rsid w:val="6D7410D1"/>
    <w:rsid w:val="6DB62B3D"/>
    <w:rsid w:val="6DD762EB"/>
    <w:rsid w:val="6DEC1A7C"/>
    <w:rsid w:val="6E7F06E9"/>
    <w:rsid w:val="6E826522"/>
    <w:rsid w:val="6EA840E4"/>
    <w:rsid w:val="6ED22F0F"/>
    <w:rsid w:val="6EFE23E8"/>
    <w:rsid w:val="6F013B77"/>
    <w:rsid w:val="6F033FA1"/>
    <w:rsid w:val="6F1C5EDE"/>
    <w:rsid w:val="6F346CE1"/>
    <w:rsid w:val="6F347726"/>
    <w:rsid w:val="6F5F7BB9"/>
    <w:rsid w:val="6F735461"/>
    <w:rsid w:val="6FB07C44"/>
    <w:rsid w:val="6FB86214"/>
    <w:rsid w:val="7010202A"/>
    <w:rsid w:val="702A1F6F"/>
    <w:rsid w:val="705B686C"/>
    <w:rsid w:val="70655B8D"/>
    <w:rsid w:val="70EB650A"/>
    <w:rsid w:val="71463740"/>
    <w:rsid w:val="71545051"/>
    <w:rsid w:val="71C1387A"/>
    <w:rsid w:val="71D0564F"/>
    <w:rsid w:val="71D072B4"/>
    <w:rsid w:val="71E328CE"/>
    <w:rsid w:val="720A690E"/>
    <w:rsid w:val="7228117F"/>
    <w:rsid w:val="72501D6F"/>
    <w:rsid w:val="725F0F5E"/>
    <w:rsid w:val="72802C9A"/>
    <w:rsid w:val="72811F0B"/>
    <w:rsid w:val="72A37AF4"/>
    <w:rsid w:val="72AA05F2"/>
    <w:rsid w:val="72B04908"/>
    <w:rsid w:val="72D70B53"/>
    <w:rsid w:val="72E0162E"/>
    <w:rsid w:val="72FE5760"/>
    <w:rsid w:val="731D0D76"/>
    <w:rsid w:val="73697BBA"/>
    <w:rsid w:val="736D77D9"/>
    <w:rsid w:val="73811B94"/>
    <w:rsid w:val="73B26E25"/>
    <w:rsid w:val="73B765F2"/>
    <w:rsid w:val="73BE3596"/>
    <w:rsid w:val="73CA0659"/>
    <w:rsid w:val="7451560A"/>
    <w:rsid w:val="745D26E3"/>
    <w:rsid w:val="74A9237A"/>
    <w:rsid w:val="74B3620C"/>
    <w:rsid w:val="74F87D5C"/>
    <w:rsid w:val="74FE2BCB"/>
    <w:rsid w:val="75066AF8"/>
    <w:rsid w:val="750B1A7D"/>
    <w:rsid w:val="750D4776"/>
    <w:rsid w:val="7516741D"/>
    <w:rsid w:val="751C3CCD"/>
    <w:rsid w:val="755A202C"/>
    <w:rsid w:val="756227F8"/>
    <w:rsid w:val="756A7D7D"/>
    <w:rsid w:val="75720FA8"/>
    <w:rsid w:val="765D578E"/>
    <w:rsid w:val="766C7A80"/>
    <w:rsid w:val="76C4518E"/>
    <w:rsid w:val="76C55352"/>
    <w:rsid w:val="76E32304"/>
    <w:rsid w:val="76EB060F"/>
    <w:rsid w:val="77183DAD"/>
    <w:rsid w:val="772C471A"/>
    <w:rsid w:val="774F29C1"/>
    <w:rsid w:val="77544213"/>
    <w:rsid w:val="77A23605"/>
    <w:rsid w:val="77CD6E60"/>
    <w:rsid w:val="77EB2061"/>
    <w:rsid w:val="783020AF"/>
    <w:rsid w:val="78411105"/>
    <w:rsid w:val="78990507"/>
    <w:rsid w:val="789C633C"/>
    <w:rsid w:val="78B33B8B"/>
    <w:rsid w:val="78B36652"/>
    <w:rsid w:val="78B52797"/>
    <w:rsid w:val="794C18D5"/>
    <w:rsid w:val="795D0C2D"/>
    <w:rsid w:val="796359BF"/>
    <w:rsid w:val="7986439F"/>
    <w:rsid w:val="799B517F"/>
    <w:rsid w:val="79BA43FF"/>
    <w:rsid w:val="7A0D6241"/>
    <w:rsid w:val="7A4100EC"/>
    <w:rsid w:val="7A531E97"/>
    <w:rsid w:val="7A541D35"/>
    <w:rsid w:val="7A663FA6"/>
    <w:rsid w:val="7A840AC1"/>
    <w:rsid w:val="7ABB789A"/>
    <w:rsid w:val="7ABD49F2"/>
    <w:rsid w:val="7B28637B"/>
    <w:rsid w:val="7B711BC0"/>
    <w:rsid w:val="7B9D48A5"/>
    <w:rsid w:val="7BB730D6"/>
    <w:rsid w:val="7BF73FB5"/>
    <w:rsid w:val="7C3D10F1"/>
    <w:rsid w:val="7C3F770A"/>
    <w:rsid w:val="7C670993"/>
    <w:rsid w:val="7CA80D47"/>
    <w:rsid w:val="7CBE4AD3"/>
    <w:rsid w:val="7CD61DBD"/>
    <w:rsid w:val="7CDA5750"/>
    <w:rsid w:val="7CE92CFB"/>
    <w:rsid w:val="7CEF2EDE"/>
    <w:rsid w:val="7CF659C0"/>
    <w:rsid w:val="7D2D1C58"/>
    <w:rsid w:val="7D3F149C"/>
    <w:rsid w:val="7D5D078F"/>
    <w:rsid w:val="7D721302"/>
    <w:rsid w:val="7DAB3662"/>
    <w:rsid w:val="7DB04595"/>
    <w:rsid w:val="7DDC08D5"/>
    <w:rsid w:val="7DF25CBE"/>
    <w:rsid w:val="7E1426A0"/>
    <w:rsid w:val="7E733A86"/>
    <w:rsid w:val="7E8A332D"/>
    <w:rsid w:val="7EB678E7"/>
    <w:rsid w:val="7EC17F8E"/>
    <w:rsid w:val="7EC72DF1"/>
    <w:rsid w:val="7EFE7D49"/>
    <w:rsid w:val="7F4047EB"/>
    <w:rsid w:val="7F5A5049"/>
    <w:rsid w:val="7F7862CD"/>
    <w:rsid w:val="7F8813C8"/>
    <w:rsid w:val="7F8E6989"/>
    <w:rsid w:val="7FA64489"/>
    <w:rsid w:val="7FCA378E"/>
    <w:rsid w:val="7FE23BE9"/>
    <w:rsid w:val="7FEE76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startarrow="open" endarrow="open"/>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35"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qFormat="1" w:unhideWhenUsed="0" w:uiPriority="0" w:semiHidden="0" w:name="List"/>
    <w:lsdException w:unhideWhenUsed="0" w:uiPriority="0" w:semiHidden="0" w:name="List Bullet"/>
    <w:lsdException w:uiPriority="0" w:name="List Number"/>
    <w:lsdException w:uiPriority="0" w:name="List 2"/>
    <w:lsdException w:qFormat="1" w:unhideWhenUsed="0" w:uiPriority="0" w:semiHidden="0" w:name="List 3"/>
    <w:lsdException w:uiPriority="0" w:name="List 4"/>
    <w:lsdException w:uiPriority="0" w:name="List 5"/>
    <w:lsdException w:qFormat="1" w:unhideWhenUsed="0" w:uiPriority="0" w:semiHidden="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11" w:semiHidden="0" w:name="Subtitle"/>
    <w:lsdException w:uiPriority="0" w:name="Salutation"/>
    <w:lsdException w:qFormat="1" w:unhideWhenUsed="0" w:uiPriority="0" w:semiHidden="0" w:name="Date"/>
    <w:lsdException w:qFormat="1" w:uiPriority="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qFormat="1" w:unhideWhenUsed="0" w:uiPriority="0" w:semiHidden="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8"/>
    <w:autoRedefine/>
    <w:qFormat/>
    <w:uiPriority w:val="0"/>
    <w:pPr>
      <w:keepNext/>
      <w:keepLines/>
      <w:tabs>
        <w:tab w:val="left" w:pos="432"/>
      </w:tabs>
      <w:outlineLvl w:val="0"/>
    </w:pPr>
    <w:rPr>
      <w:b/>
      <w:bCs/>
      <w:kern w:val="44"/>
      <w:sz w:val="28"/>
      <w:szCs w:val="44"/>
    </w:rPr>
  </w:style>
  <w:style w:type="paragraph" w:styleId="3">
    <w:name w:val="heading 2"/>
    <w:basedOn w:val="1"/>
    <w:next w:val="1"/>
    <w:link w:val="59"/>
    <w:autoRedefine/>
    <w:qFormat/>
    <w:uiPriority w:val="0"/>
    <w:pPr>
      <w:keepNext/>
      <w:keepLines/>
      <w:tabs>
        <w:tab w:val="left" w:pos="576"/>
      </w:tabs>
      <w:spacing w:line="360" w:lineRule="auto"/>
      <w:outlineLvl w:val="1"/>
    </w:pPr>
    <w:rPr>
      <w:b/>
      <w:bCs/>
      <w:sz w:val="24"/>
      <w:szCs w:val="32"/>
    </w:rPr>
  </w:style>
  <w:style w:type="paragraph" w:styleId="4">
    <w:name w:val="heading 3"/>
    <w:basedOn w:val="1"/>
    <w:next w:val="1"/>
    <w:autoRedefine/>
    <w:qFormat/>
    <w:uiPriority w:val="0"/>
    <w:pPr>
      <w:keepNext/>
      <w:keepLines/>
      <w:adjustRightInd w:val="0"/>
      <w:spacing w:line="360" w:lineRule="auto"/>
      <w:ind w:firstLine="482" w:firstLineChars="200"/>
      <w:outlineLvl w:val="2"/>
    </w:pPr>
    <w:rPr>
      <w:b/>
      <w:bCs/>
      <w:sz w:val="24"/>
    </w:rPr>
  </w:style>
  <w:style w:type="paragraph" w:styleId="5">
    <w:name w:val="heading 4"/>
    <w:basedOn w:val="1"/>
    <w:next w:val="1"/>
    <w:autoRedefine/>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5"/>
    <w:basedOn w:val="1"/>
    <w:next w:val="1"/>
    <w:autoRedefine/>
    <w:qFormat/>
    <w:uiPriority w:val="0"/>
    <w:pPr>
      <w:keepNext/>
      <w:keepLines/>
      <w:tabs>
        <w:tab w:val="left" w:pos="1008"/>
      </w:tabs>
      <w:spacing w:before="280" w:after="290" w:line="376" w:lineRule="auto"/>
      <w:ind w:left="1008" w:hanging="1008"/>
      <w:outlineLvl w:val="4"/>
    </w:pPr>
    <w:rPr>
      <w:b/>
      <w:bCs/>
      <w:sz w:val="28"/>
      <w:szCs w:val="28"/>
    </w:rPr>
  </w:style>
  <w:style w:type="paragraph" w:styleId="7">
    <w:name w:val="heading 6"/>
    <w:basedOn w:val="1"/>
    <w:next w:val="1"/>
    <w:autoRedefine/>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8">
    <w:name w:val="heading 7"/>
    <w:basedOn w:val="1"/>
    <w:next w:val="1"/>
    <w:autoRedefine/>
    <w:qFormat/>
    <w:uiPriority w:val="0"/>
    <w:pPr>
      <w:keepNext/>
      <w:keepLines/>
      <w:tabs>
        <w:tab w:val="left" w:pos="1296"/>
      </w:tabs>
      <w:spacing w:before="240" w:after="64" w:line="320" w:lineRule="auto"/>
      <w:ind w:left="1296" w:hanging="1296"/>
      <w:outlineLvl w:val="6"/>
    </w:pPr>
    <w:rPr>
      <w:b/>
      <w:bCs/>
      <w:sz w:val="24"/>
    </w:rPr>
  </w:style>
  <w:style w:type="paragraph" w:styleId="9">
    <w:name w:val="heading 8"/>
    <w:basedOn w:val="1"/>
    <w:next w:val="1"/>
    <w:link w:val="77"/>
    <w:autoRedefine/>
    <w:qFormat/>
    <w:uiPriority w:val="0"/>
    <w:pPr>
      <w:keepNext/>
      <w:keepLines/>
      <w:numPr>
        <w:ilvl w:val="0"/>
        <w:numId w:val="1"/>
      </w:numPr>
      <w:jc w:val="center"/>
      <w:outlineLvl w:val="7"/>
    </w:pPr>
    <w:rPr>
      <w:b/>
    </w:rPr>
  </w:style>
  <w:style w:type="paragraph" w:styleId="10">
    <w:name w:val="heading 9"/>
    <w:basedOn w:val="1"/>
    <w:next w:val="1"/>
    <w:autoRedefine/>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52">
    <w:name w:val="Default Paragraph Font"/>
    <w:semiHidden/>
    <w:unhideWhenUsed/>
    <w:qFormat/>
    <w:uiPriority w:val="1"/>
  </w:style>
  <w:style w:type="table" w:default="1" w:styleId="4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11">
    <w:name w:val="List 3"/>
    <w:basedOn w:val="1"/>
    <w:qFormat/>
    <w:uiPriority w:val="0"/>
    <w:pPr>
      <w:ind w:left="1260" w:hanging="420"/>
    </w:pPr>
    <w:rPr>
      <w:szCs w:val="20"/>
    </w:rPr>
  </w:style>
  <w:style w:type="paragraph" w:styleId="12">
    <w:name w:val="toc 7"/>
    <w:basedOn w:val="1"/>
    <w:next w:val="1"/>
    <w:autoRedefine/>
    <w:unhideWhenUsed/>
    <w:qFormat/>
    <w:uiPriority w:val="39"/>
    <w:pPr>
      <w:ind w:left="2520" w:leftChars="1200"/>
    </w:pPr>
    <w:rPr>
      <w:rFonts w:asciiTheme="minorHAnsi" w:hAnsiTheme="minorHAnsi" w:eastAsiaTheme="minorEastAsia" w:cstheme="minorBidi"/>
      <w:szCs w:val="22"/>
    </w:rPr>
  </w:style>
  <w:style w:type="paragraph" w:styleId="13">
    <w:name w:val="E-mail Signature"/>
    <w:basedOn w:val="1"/>
    <w:next w:val="14"/>
    <w:autoRedefine/>
    <w:qFormat/>
    <w:uiPriority w:val="0"/>
    <w:pPr>
      <w:spacing w:line="460" w:lineRule="exact"/>
      <w:ind w:firstLine="200"/>
    </w:pPr>
    <w:rPr>
      <w:sz w:val="24"/>
    </w:rPr>
  </w:style>
  <w:style w:type="paragraph" w:customStyle="1" w:styleId="14">
    <w:name w:val="文章"/>
    <w:basedOn w:val="15"/>
    <w:next w:val="16"/>
    <w:autoRedefine/>
    <w:qFormat/>
    <w:uiPriority w:val="0"/>
    <w:pPr>
      <w:widowControl/>
      <w:spacing w:line="240" w:lineRule="auto"/>
      <w:ind w:firstLine="480"/>
      <w:jc w:val="center"/>
    </w:pPr>
    <w:rPr>
      <w:sz w:val="26"/>
    </w:rPr>
  </w:style>
  <w:style w:type="paragraph" w:styleId="15">
    <w:name w:val="Body Text Indent"/>
    <w:basedOn w:val="1"/>
    <w:link w:val="78"/>
    <w:autoRedefine/>
    <w:qFormat/>
    <w:uiPriority w:val="0"/>
    <w:pPr>
      <w:adjustRightInd w:val="0"/>
      <w:spacing w:line="360" w:lineRule="auto"/>
      <w:ind w:firstLine="600"/>
      <w:textAlignment w:val="baseline"/>
    </w:pPr>
    <w:rPr>
      <w:spacing w:val="4"/>
      <w:kern w:val="0"/>
      <w:sz w:val="28"/>
      <w:szCs w:val="20"/>
    </w:rPr>
  </w:style>
  <w:style w:type="paragraph" w:styleId="16">
    <w:name w:val="List"/>
    <w:basedOn w:val="1"/>
    <w:next w:val="17"/>
    <w:autoRedefine/>
    <w:qFormat/>
    <w:uiPriority w:val="0"/>
    <w:pPr>
      <w:widowControl/>
      <w:ind w:left="200" w:hanging="200" w:hangingChars="200"/>
      <w:jc w:val="left"/>
    </w:pPr>
    <w:rPr>
      <w:rFonts w:eastAsia="仿宋_GB2312"/>
      <w:kern w:val="0"/>
      <w:sz w:val="24"/>
      <w:szCs w:val="20"/>
    </w:rPr>
  </w:style>
  <w:style w:type="paragraph" w:styleId="17">
    <w:name w:val="List Bullet 2"/>
    <w:basedOn w:val="1"/>
    <w:next w:val="18"/>
    <w:autoRedefine/>
    <w:qFormat/>
    <w:uiPriority w:val="0"/>
    <w:pPr>
      <w:tabs>
        <w:tab w:val="left" w:pos="780"/>
      </w:tabs>
      <w:ind w:left="780" w:hanging="360"/>
    </w:pPr>
  </w:style>
  <w:style w:type="paragraph" w:customStyle="1" w:styleId="18">
    <w:name w:val="xl70"/>
    <w:basedOn w:val="1"/>
    <w:next w:val="19"/>
    <w:autoRedefine/>
    <w:qFormat/>
    <w:uiPriority w:val="0"/>
    <w:pPr>
      <w:widowControl/>
      <w:spacing w:before="280" w:after="280"/>
    </w:pPr>
    <w:rPr>
      <w:rFonts w:ascii="宋体"/>
      <w:sz w:val="24"/>
    </w:rPr>
  </w:style>
  <w:style w:type="paragraph" w:customStyle="1" w:styleId="19">
    <w:name w:val="正文缩进1"/>
    <w:basedOn w:val="20"/>
    <w:autoRedefine/>
    <w:qFormat/>
    <w:uiPriority w:val="0"/>
    <w:rPr>
      <w:sz w:val="28"/>
      <w:szCs w:val="20"/>
    </w:rPr>
  </w:style>
  <w:style w:type="paragraph" w:styleId="20">
    <w:name w:val="Normal Indent"/>
    <w:basedOn w:val="1"/>
    <w:link w:val="79"/>
    <w:autoRedefine/>
    <w:qFormat/>
    <w:uiPriority w:val="0"/>
    <w:pPr>
      <w:ind w:firstLine="420" w:firstLineChars="200"/>
    </w:pPr>
  </w:style>
  <w:style w:type="paragraph" w:styleId="21">
    <w:name w:val="caption"/>
    <w:basedOn w:val="1"/>
    <w:next w:val="1"/>
    <w:link w:val="80"/>
    <w:autoRedefine/>
    <w:qFormat/>
    <w:uiPriority w:val="35"/>
    <w:rPr>
      <w:rFonts w:ascii="Cambria" w:hAnsi="Cambria" w:eastAsia="黑体"/>
      <w:sz w:val="20"/>
      <w:szCs w:val="20"/>
    </w:rPr>
  </w:style>
  <w:style w:type="paragraph" w:styleId="22">
    <w:name w:val="Document Map"/>
    <w:basedOn w:val="1"/>
    <w:autoRedefine/>
    <w:qFormat/>
    <w:uiPriority w:val="0"/>
    <w:pPr>
      <w:shd w:val="clear" w:color="auto" w:fill="000080"/>
    </w:pPr>
  </w:style>
  <w:style w:type="paragraph" w:styleId="23">
    <w:name w:val="annotation text"/>
    <w:basedOn w:val="1"/>
    <w:link w:val="81"/>
    <w:autoRedefine/>
    <w:qFormat/>
    <w:uiPriority w:val="99"/>
    <w:pPr>
      <w:jc w:val="left"/>
    </w:pPr>
  </w:style>
  <w:style w:type="paragraph" w:styleId="24">
    <w:name w:val="Body Text"/>
    <w:basedOn w:val="1"/>
    <w:next w:val="25"/>
    <w:link w:val="82"/>
    <w:autoRedefine/>
    <w:qFormat/>
    <w:uiPriority w:val="0"/>
    <w:pPr>
      <w:framePr w:hSpace="180" w:wrap="around" w:vAnchor="text" w:hAnchor="text" w:x="16" w:y="255"/>
      <w:suppressOverlap/>
      <w:adjustRightInd w:val="0"/>
      <w:spacing w:line="360" w:lineRule="auto"/>
      <w:ind w:firstLine="480" w:firstLineChars="200"/>
      <w:textAlignment w:val="baseline"/>
    </w:pPr>
    <w:rPr>
      <w:kern w:val="0"/>
      <w:sz w:val="24"/>
      <w:lang w:val="zh-CN"/>
    </w:rPr>
  </w:style>
  <w:style w:type="paragraph" w:styleId="25">
    <w:name w:val="toc 5"/>
    <w:basedOn w:val="1"/>
    <w:next w:val="1"/>
    <w:autoRedefine/>
    <w:unhideWhenUsed/>
    <w:qFormat/>
    <w:uiPriority w:val="39"/>
    <w:pPr>
      <w:ind w:left="1680" w:leftChars="800"/>
    </w:pPr>
    <w:rPr>
      <w:rFonts w:asciiTheme="minorHAnsi" w:hAnsiTheme="minorHAnsi" w:eastAsiaTheme="minorEastAsia" w:cstheme="minorBidi"/>
      <w:szCs w:val="22"/>
    </w:rPr>
  </w:style>
  <w:style w:type="paragraph" w:styleId="26">
    <w:name w:val="Block Text"/>
    <w:basedOn w:val="1"/>
    <w:autoRedefine/>
    <w:qFormat/>
    <w:uiPriority w:val="0"/>
    <w:pPr>
      <w:tabs>
        <w:tab w:val="center" w:pos="4735"/>
      </w:tabs>
      <w:snapToGrid w:val="0"/>
      <w:spacing w:beforeLines="50" w:line="360" w:lineRule="auto"/>
      <w:ind w:right="170" w:firstLine="480" w:firstLineChars="200"/>
      <w:jc w:val="left"/>
    </w:pPr>
    <w:rPr>
      <w:sz w:val="24"/>
      <w:szCs w:val="20"/>
    </w:rPr>
  </w:style>
  <w:style w:type="paragraph" w:styleId="27">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28">
    <w:name w:val="Plain Text"/>
    <w:basedOn w:val="1"/>
    <w:next w:val="29"/>
    <w:link w:val="84"/>
    <w:autoRedefine/>
    <w:qFormat/>
    <w:uiPriority w:val="0"/>
    <w:pPr>
      <w:autoSpaceDE w:val="0"/>
      <w:autoSpaceDN w:val="0"/>
      <w:adjustRightInd w:val="0"/>
      <w:spacing w:line="312" w:lineRule="atLeast"/>
      <w:textAlignment w:val="baseline"/>
    </w:pPr>
    <w:rPr>
      <w:rFonts w:ascii="宋体" w:hAnsi="Tms Rmn"/>
      <w:kern w:val="0"/>
      <w:szCs w:val="20"/>
    </w:rPr>
  </w:style>
  <w:style w:type="paragraph" w:styleId="29">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30">
    <w:name w:val="toc 8"/>
    <w:basedOn w:val="1"/>
    <w:next w:val="1"/>
    <w:autoRedefine/>
    <w:unhideWhenUsed/>
    <w:qFormat/>
    <w:uiPriority w:val="39"/>
    <w:pPr>
      <w:ind w:left="2940" w:leftChars="1400"/>
    </w:pPr>
    <w:rPr>
      <w:rFonts w:asciiTheme="minorHAnsi" w:hAnsiTheme="minorHAnsi" w:eastAsiaTheme="minorEastAsia" w:cstheme="minorBidi"/>
      <w:szCs w:val="22"/>
    </w:rPr>
  </w:style>
  <w:style w:type="paragraph" w:styleId="31">
    <w:name w:val="Date"/>
    <w:basedOn w:val="1"/>
    <w:next w:val="1"/>
    <w:autoRedefine/>
    <w:qFormat/>
    <w:uiPriority w:val="0"/>
    <w:pPr>
      <w:ind w:left="100" w:leftChars="2500"/>
    </w:pPr>
    <w:rPr>
      <w:sz w:val="28"/>
      <w:szCs w:val="20"/>
    </w:rPr>
  </w:style>
  <w:style w:type="paragraph" w:styleId="32">
    <w:name w:val="Body Text Indent 2"/>
    <w:basedOn w:val="1"/>
    <w:link w:val="85"/>
    <w:autoRedefine/>
    <w:qFormat/>
    <w:uiPriority w:val="0"/>
    <w:pPr>
      <w:snapToGrid w:val="0"/>
      <w:spacing w:line="360" w:lineRule="auto"/>
      <w:ind w:firstLine="200" w:firstLineChars="200"/>
    </w:pPr>
    <w:rPr>
      <w:b/>
      <w:sz w:val="24"/>
      <w:szCs w:val="20"/>
    </w:rPr>
  </w:style>
  <w:style w:type="paragraph" w:styleId="33">
    <w:name w:val="Balloon Text"/>
    <w:basedOn w:val="1"/>
    <w:autoRedefine/>
    <w:qFormat/>
    <w:uiPriority w:val="0"/>
    <w:rPr>
      <w:sz w:val="18"/>
      <w:szCs w:val="18"/>
    </w:rPr>
  </w:style>
  <w:style w:type="paragraph" w:styleId="34">
    <w:name w:val="footer"/>
    <w:basedOn w:val="1"/>
    <w:link w:val="86"/>
    <w:autoRedefine/>
    <w:qFormat/>
    <w:uiPriority w:val="99"/>
    <w:pPr>
      <w:tabs>
        <w:tab w:val="center" w:pos="4153"/>
        <w:tab w:val="right" w:pos="8306"/>
      </w:tabs>
      <w:snapToGrid w:val="0"/>
      <w:jc w:val="left"/>
    </w:pPr>
    <w:rPr>
      <w:sz w:val="18"/>
      <w:szCs w:val="18"/>
    </w:rPr>
  </w:style>
  <w:style w:type="paragraph" w:styleId="35">
    <w:name w:val="header"/>
    <w:basedOn w:val="1"/>
    <w:link w:val="87"/>
    <w:autoRedefine/>
    <w:qFormat/>
    <w:uiPriority w:val="99"/>
    <w:pPr>
      <w:pBdr>
        <w:bottom w:val="single" w:color="auto" w:sz="6" w:space="1"/>
      </w:pBdr>
      <w:tabs>
        <w:tab w:val="center" w:pos="4153"/>
        <w:tab w:val="right" w:pos="8306"/>
      </w:tabs>
      <w:adjustRightInd w:val="0"/>
      <w:snapToGrid w:val="0"/>
      <w:spacing w:line="240" w:lineRule="atLeast"/>
      <w:jc w:val="center"/>
      <w:textAlignment w:val="baseline"/>
    </w:pPr>
    <w:rPr>
      <w:kern w:val="0"/>
      <w:sz w:val="18"/>
      <w:szCs w:val="20"/>
    </w:rPr>
  </w:style>
  <w:style w:type="paragraph" w:styleId="36">
    <w:name w:val="toc 4"/>
    <w:basedOn w:val="1"/>
    <w:next w:val="1"/>
    <w:autoRedefine/>
    <w:unhideWhenUsed/>
    <w:qFormat/>
    <w:uiPriority w:val="39"/>
    <w:pPr>
      <w:ind w:left="1260" w:leftChars="600"/>
    </w:pPr>
    <w:rPr>
      <w:rFonts w:asciiTheme="minorHAnsi" w:hAnsiTheme="minorHAnsi" w:eastAsiaTheme="minorEastAsia" w:cstheme="minorBidi"/>
      <w:szCs w:val="22"/>
    </w:rPr>
  </w:style>
  <w:style w:type="paragraph" w:styleId="37">
    <w:name w:val="Subtitle"/>
    <w:basedOn w:val="1"/>
    <w:next w:val="1"/>
    <w:link w:val="90"/>
    <w:autoRedefine/>
    <w:qFormat/>
    <w:uiPriority w:val="11"/>
    <w:pPr>
      <w:spacing w:line="360" w:lineRule="auto"/>
      <w:ind w:firstLine="200" w:firstLineChars="200"/>
      <w:jc w:val="left"/>
    </w:pPr>
    <w:rPr>
      <w:b/>
      <w:bCs/>
      <w:kern w:val="28"/>
      <w:sz w:val="24"/>
      <w:szCs w:val="32"/>
    </w:rPr>
  </w:style>
  <w:style w:type="paragraph" w:styleId="38">
    <w:name w:val="toc 6"/>
    <w:basedOn w:val="1"/>
    <w:next w:val="1"/>
    <w:autoRedefine/>
    <w:unhideWhenUsed/>
    <w:qFormat/>
    <w:uiPriority w:val="39"/>
    <w:pPr>
      <w:ind w:left="2100" w:leftChars="1000"/>
    </w:pPr>
    <w:rPr>
      <w:rFonts w:asciiTheme="minorHAnsi" w:hAnsiTheme="minorHAnsi" w:eastAsiaTheme="minorEastAsia" w:cstheme="minorBidi"/>
      <w:szCs w:val="22"/>
    </w:rPr>
  </w:style>
  <w:style w:type="paragraph" w:styleId="39">
    <w:name w:val="Body Text Indent 3"/>
    <w:basedOn w:val="1"/>
    <w:link w:val="91"/>
    <w:autoRedefine/>
    <w:qFormat/>
    <w:uiPriority w:val="0"/>
    <w:pPr>
      <w:adjustRightInd w:val="0"/>
      <w:spacing w:line="360" w:lineRule="auto"/>
      <w:ind w:firstLine="570"/>
      <w:textAlignment w:val="baseline"/>
    </w:pPr>
    <w:rPr>
      <w:kern w:val="0"/>
      <w:sz w:val="28"/>
      <w:szCs w:val="20"/>
    </w:rPr>
  </w:style>
  <w:style w:type="paragraph" w:styleId="40">
    <w:name w:val="toc 2"/>
    <w:basedOn w:val="1"/>
    <w:next w:val="1"/>
    <w:autoRedefine/>
    <w:qFormat/>
    <w:uiPriority w:val="39"/>
    <w:pPr>
      <w:spacing w:line="360" w:lineRule="exact"/>
      <w:ind w:left="397"/>
      <w:jc w:val="left"/>
    </w:pPr>
    <w:rPr>
      <w:smallCaps/>
      <w:sz w:val="24"/>
      <w:szCs w:val="20"/>
    </w:rPr>
  </w:style>
  <w:style w:type="paragraph" w:styleId="41">
    <w:name w:val="toc 9"/>
    <w:basedOn w:val="1"/>
    <w:next w:val="1"/>
    <w:autoRedefine/>
    <w:unhideWhenUsed/>
    <w:qFormat/>
    <w:uiPriority w:val="39"/>
    <w:pPr>
      <w:ind w:left="3360" w:leftChars="1600"/>
    </w:pPr>
    <w:rPr>
      <w:rFonts w:asciiTheme="minorHAnsi" w:hAnsiTheme="minorHAnsi" w:eastAsiaTheme="minorEastAsia" w:cstheme="minorBidi"/>
      <w:szCs w:val="22"/>
    </w:rPr>
  </w:style>
  <w:style w:type="paragraph" w:styleId="42">
    <w:name w:val="Body Text 2"/>
    <w:basedOn w:val="1"/>
    <w:link w:val="92"/>
    <w:autoRedefine/>
    <w:qFormat/>
    <w:uiPriority w:val="0"/>
    <w:pPr>
      <w:spacing w:after="120" w:line="480" w:lineRule="auto"/>
    </w:pPr>
  </w:style>
  <w:style w:type="paragraph" w:styleId="4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44">
    <w:name w:val="Normal (Web)"/>
    <w:basedOn w:val="1"/>
    <w:link w:val="93"/>
    <w:autoRedefine/>
    <w:qFormat/>
    <w:uiPriority w:val="0"/>
    <w:pPr>
      <w:widowControl/>
      <w:spacing w:before="100" w:beforeAutospacing="1" w:after="100" w:afterAutospacing="1"/>
      <w:jc w:val="left"/>
    </w:pPr>
    <w:rPr>
      <w:rFonts w:ascii="宋体" w:hAnsi="宋体"/>
      <w:kern w:val="0"/>
      <w:sz w:val="24"/>
    </w:rPr>
  </w:style>
  <w:style w:type="paragraph" w:styleId="45">
    <w:name w:val="Title"/>
    <w:basedOn w:val="1"/>
    <w:next w:val="1"/>
    <w:link w:val="94"/>
    <w:autoRedefine/>
    <w:qFormat/>
    <w:uiPriority w:val="0"/>
    <w:pPr>
      <w:spacing w:before="240" w:after="240"/>
      <w:jc w:val="center"/>
      <w:outlineLvl w:val="0"/>
    </w:pPr>
    <w:rPr>
      <w:rFonts w:eastAsia="黑体"/>
      <w:bCs/>
      <w:sz w:val="30"/>
      <w:szCs w:val="32"/>
      <w:lang w:val="zh-CN"/>
    </w:rPr>
  </w:style>
  <w:style w:type="paragraph" w:styleId="46">
    <w:name w:val="annotation subject"/>
    <w:basedOn w:val="23"/>
    <w:next w:val="23"/>
    <w:autoRedefine/>
    <w:qFormat/>
    <w:uiPriority w:val="0"/>
    <w:rPr>
      <w:b/>
      <w:bCs/>
    </w:rPr>
  </w:style>
  <w:style w:type="paragraph" w:styleId="47">
    <w:name w:val="Body Text First Indent 2"/>
    <w:basedOn w:val="15"/>
    <w:link w:val="224"/>
    <w:autoRedefine/>
    <w:qFormat/>
    <w:uiPriority w:val="0"/>
    <w:pPr>
      <w:spacing w:after="120"/>
      <w:ind w:left="420" w:firstLine="210"/>
    </w:pPr>
    <w:rPr>
      <w:sz w:val="21"/>
    </w:rPr>
  </w:style>
  <w:style w:type="table" w:styleId="49">
    <w:name w:val="Table Grid"/>
    <w:basedOn w:val="48"/>
    <w:autoRedefine/>
    <w:qFormat/>
    <w:uiPriority w:val="0"/>
    <w:pPr>
      <w:keepNext w:val="0"/>
      <w:keepLines w:val="0"/>
      <w:widowControl w:val="0"/>
      <w:suppressLineNumbers w:val="0"/>
      <w:spacing w:before="0" w:beforeAutospacing="0" w:after="0" w:afterAutospacing="0"/>
      <w:ind w:left="0" w:right="0"/>
      <w:jc w:val="both"/>
    </w:pPr>
    <w:rPr>
      <w:rFonts w:hint="default" w:ascii="Calibri" w:hAnsi="Calibri"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table" w:styleId="50">
    <w:name w:val="Table Theme"/>
    <w:basedOn w:val="4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51">
    <w:name w:val="Table Grid 1"/>
    <w:basedOn w:val="48"/>
    <w:autoRedefine/>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53">
    <w:name w:val="Strong"/>
    <w:basedOn w:val="52"/>
    <w:autoRedefine/>
    <w:qFormat/>
    <w:uiPriority w:val="22"/>
    <w:rPr>
      <w:b/>
    </w:rPr>
  </w:style>
  <w:style w:type="character" w:styleId="54">
    <w:name w:val="page number"/>
    <w:basedOn w:val="52"/>
    <w:autoRedefine/>
    <w:qFormat/>
    <w:uiPriority w:val="0"/>
  </w:style>
  <w:style w:type="character" w:styleId="55">
    <w:name w:val="Emphasis"/>
    <w:basedOn w:val="52"/>
    <w:qFormat/>
    <w:uiPriority w:val="0"/>
    <w:rPr>
      <w:i/>
    </w:rPr>
  </w:style>
  <w:style w:type="character" w:styleId="56">
    <w:name w:val="Hyperlink"/>
    <w:basedOn w:val="52"/>
    <w:autoRedefine/>
    <w:qFormat/>
    <w:uiPriority w:val="99"/>
    <w:rPr>
      <w:rFonts w:ascii="宋体" w:hAnsi="宋体" w:eastAsia="宋体" w:cs="宋体"/>
      <w:color w:val="0000FF"/>
      <w:kern w:val="2"/>
      <w:sz w:val="24"/>
      <w:szCs w:val="24"/>
      <w:u w:val="single"/>
      <w:lang w:val="en-US" w:eastAsia="zh-CN" w:bidi="ar-SA"/>
    </w:rPr>
  </w:style>
  <w:style w:type="character" w:styleId="57">
    <w:name w:val="annotation reference"/>
    <w:autoRedefine/>
    <w:qFormat/>
    <w:uiPriority w:val="99"/>
    <w:rPr>
      <w:sz w:val="21"/>
      <w:szCs w:val="21"/>
    </w:rPr>
  </w:style>
  <w:style w:type="character" w:customStyle="1" w:styleId="58">
    <w:name w:val="标题 1 字符"/>
    <w:basedOn w:val="52"/>
    <w:link w:val="2"/>
    <w:autoRedefine/>
    <w:qFormat/>
    <w:uiPriority w:val="0"/>
    <w:rPr>
      <w:b/>
      <w:bCs/>
      <w:kern w:val="44"/>
      <w:sz w:val="28"/>
      <w:szCs w:val="44"/>
    </w:rPr>
  </w:style>
  <w:style w:type="character" w:customStyle="1" w:styleId="59">
    <w:name w:val="标题 2 字符"/>
    <w:link w:val="3"/>
    <w:autoRedefine/>
    <w:qFormat/>
    <w:uiPriority w:val="0"/>
    <w:rPr>
      <w:b/>
      <w:bCs/>
      <w:kern w:val="2"/>
      <w:sz w:val="24"/>
      <w:szCs w:val="32"/>
    </w:rPr>
  </w:style>
  <w:style w:type="paragraph" w:customStyle="1" w:styleId="60">
    <w:name w:val="样式48"/>
    <w:basedOn w:val="61"/>
    <w:autoRedefine/>
    <w:qFormat/>
    <w:uiPriority w:val="0"/>
    <w:pPr>
      <w:numPr>
        <w:ilvl w:val="0"/>
        <w:numId w:val="2"/>
      </w:numPr>
      <w:tabs>
        <w:tab w:val="left" w:pos="397"/>
      </w:tabs>
    </w:pPr>
    <w:rPr>
      <w:rFonts w:ascii="Calibri" w:hAnsi="Calibri"/>
      <w:kern w:val="0"/>
      <w:sz w:val="20"/>
    </w:rPr>
  </w:style>
  <w:style w:type="paragraph" w:customStyle="1" w:styleId="61">
    <w:name w:val="表头 YP"/>
    <w:basedOn w:val="1"/>
    <w:autoRedefine/>
    <w:qFormat/>
    <w:uiPriority w:val="0"/>
    <w:pPr>
      <w:spacing w:before="50" w:beforeLines="50"/>
      <w:jc w:val="center"/>
      <w:outlineLvl w:val="4"/>
    </w:pPr>
    <w:rPr>
      <w:b/>
      <w:szCs w:val="20"/>
    </w:rPr>
  </w:style>
  <w:style w:type="paragraph" w:customStyle="1" w:styleId="62">
    <w:name w:val="表格正文 YP"/>
    <w:basedOn w:val="1"/>
    <w:autoRedefine/>
    <w:qFormat/>
    <w:uiPriority w:val="0"/>
    <w:pPr>
      <w:jc w:val="center"/>
    </w:pPr>
    <w:rPr>
      <w:rFonts w:hAnsi="宋体"/>
      <w:szCs w:val="21"/>
    </w:rPr>
  </w:style>
  <w:style w:type="paragraph" w:customStyle="1" w:styleId="63">
    <w:name w:val="报告表表头"/>
    <w:next w:val="64"/>
    <w:qFormat/>
    <w:uiPriority w:val="0"/>
    <w:pPr>
      <w:numPr>
        <w:ilvl w:val="0"/>
        <w:numId w:val="3"/>
      </w:numPr>
      <w:ind w:left="0" w:firstLine="0"/>
      <w:jc w:val="center"/>
    </w:pPr>
    <w:rPr>
      <w:rFonts w:ascii="Times New Roman" w:hAnsi="Times New Roman" w:eastAsia="宋体" w:cs="Times New Roman"/>
      <w:b/>
      <w:kern w:val="2"/>
      <w:sz w:val="21"/>
      <w:szCs w:val="22"/>
      <w:lang w:val="en-US" w:eastAsia="zh-CN" w:bidi="ar-SA"/>
    </w:rPr>
  </w:style>
  <w:style w:type="paragraph" w:customStyle="1" w:styleId="64">
    <w:name w:val="报告表正文"/>
    <w:basedOn w:val="1"/>
    <w:link w:val="192"/>
    <w:autoRedefine/>
    <w:qFormat/>
    <w:uiPriority w:val="0"/>
    <w:pPr>
      <w:spacing w:line="360" w:lineRule="auto"/>
      <w:ind w:firstLine="200" w:firstLineChars="200"/>
    </w:pPr>
    <w:rPr>
      <w:color w:val="000000"/>
      <w:sz w:val="24"/>
    </w:rPr>
  </w:style>
  <w:style w:type="paragraph" w:customStyle="1" w:styleId="65">
    <w:name w:val="Default"/>
    <w:basedOn w:val="66"/>
    <w:next w:val="67"/>
    <w:link w:val="218"/>
    <w:autoRedefine/>
    <w:qFormat/>
    <w:uiPriority w:val="0"/>
    <w:pPr>
      <w:autoSpaceDE w:val="0"/>
      <w:autoSpaceDN w:val="0"/>
      <w:adjustRightInd w:val="0"/>
    </w:pPr>
    <w:rPr>
      <w:rFonts w:hAnsi="Times New Roman" w:cs="宋体"/>
      <w:color w:val="000000"/>
      <w:sz w:val="24"/>
    </w:rPr>
  </w:style>
  <w:style w:type="paragraph" w:customStyle="1" w:styleId="66">
    <w:name w:val="纯文本1"/>
    <w:basedOn w:val="1"/>
    <w:next w:val="28"/>
    <w:autoRedefine/>
    <w:qFormat/>
    <w:uiPriority w:val="0"/>
    <w:pPr>
      <w:textAlignment w:val="baseline"/>
    </w:pPr>
    <w:rPr>
      <w:rFonts w:ascii="宋体" w:hAnsi="Courier New"/>
      <w:sz w:val="28"/>
    </w:rPr>
  </w:style>
  <w:style w:type="paragraph" w:customStyle="1" w:styleId="67">
    <w:name w:val="样式35"/>
    <w:basedOn w:val="68"/>
    <w:next w:val="69"/>
    <w:autoRedefine/>
    <w:qFormat/>
    <w:uiPriority w:val="0"/>
    <w:pPr>
      <w:tabs>
        <w:tab w:val="left" w:pos="0"/>
        <w:tab w:val="left" w:pos="360"/>
        <w:tab w:val="left" w:pos="540"/>
        <w:tab w:val="left" w:pos="567"/>
      </w:tabs>
      <w:spacing w:line="312" w:lineRule="auto"/>
      <w:ind w:firstLine="567"/>
    </w:pPr>
    <w:rPr>
      <w:rFonts w:ascii="宋体" w:eastAsia="宋体"/>
    </w:rPr>
  </w:style>
  <w:style w:type="paragraph" w:customStyle="1" w:styleId="68">
    <w:name w:val="表 内容"/>
    <w:basedOn w:val="1"/>
    <w:autoRedefine/>
    <w:qFormat/>
    <w:uiPriority w:val="0"/>
    <w:pPr>
      <w:spacing w:line="276" w:lineRule="auto"/>
      <w:jc w:val="center"/>
    </w:pPr>
    <w:rPr>
      <w:rFonts w:ascii="仿宋" w:hAnsi="仿宋" w:eastAsia="仿宋"/>
      <w:sz w:val="24"/>
    </w:rPr>
  </w:style>
  <w:style w:type="paragraph" w:customStyle="1" w:styleId="69">
    <w:name w:val="font6"/>
    <w:basedOn w:val="70"/>
    <w:next w:val="40"/>
    <w:autoRedefine/>
    <w:qFormat/>
    <w:uiPriority w:val="0"/>
    <w:pPr>
      <w:widowControl/>
      <w:spacing w:before="100" w:beforeAutospacing="1" w:after="100" w:afterAutospacing="1"/>
      <w:jc w:val="left"/>
    </w:pPr>
    <w:rPr>
      <w:rFonts w:hint="eastAsia" w:ascii="宋体" w:hAnsi="宋体"/>
      <w:kern w:val="0"/>
      <w:sz w:val="18"/>
      <w:szCs w:val="18"/>
    </w:rPr>
  </w:style>
  <w:style w:type="paragraph" w:customStyle="1" w:styleId="70">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71">
    <w:name w:val="Normal Indent1"/>
    <w:basedOn w:val="1"/>
    <w:autoRedefine/>
    <w:qFormat/>
    <w:uiPriority w:val="0"/>
    <w:pPr>
      <w:ind w:firstLine="420"/>
    </w:pPr>
  </w:style>
  <w:style w:type="paragraph" w:customStyle="1" w:styleId="72">
    <w:name w:val="Default1"/>
    <w:basedOn w:val="73"/>
    <w:next w:val="74"/>
    <w:autoRedefine/>
    <w:qFormat/>
    <w:uiPriority w:val="0"/>
    <w:pPr>
      <w:framePr w:hSpace="180" w:wrap="around" w:vAnchor="text" w:hAnchor="text" w:x="16" w:y="255"/>
      <w:suppressOverlap/>
      <w:autoSpaceDE w:val="0"/>
      <w:autoSpaceDN w:val="0"/>
      <w:adjustRightInd w:val="0"/>
      <w:spacing w:line="360" w:lineRule="auto"/>
    </w:pPr>
    <w:rPr>
      <w:rFonts w:ascii="Times New Roman" w:hAnsi="Times New Roman"/>
      <w:color w:val="FF0000"/>
      <w:sz w:val="24"/>
    </w:rPr>
  </w:style>
  <w:style w:type="paragraph" w:customStyle="1" w:styleId="73">
    <w:name w:val="表格文字01"/>
    <w:basedOn w:val="1"/>
    <w:autoRedefine/>
    <w:qFormat/>
    <w:uiPriority w:val="0"/>
    <w:pPr>
      <w:wordWrap w:val="0"/>
      <w:overflowPunct w:val="0"/>
      <w:topLinePunct/>
      <w:jc w:val="center"/>
    </w:pPr>
    <w:rPr>
      <w:rFonts w:ascii="Arial" w:hAnsi="Arial"/>
      <w:snapToGrid w:val="0"/>
      <w:color w:val="000000"/>
    </w:rPr>
  </w:style>
  <w:style w:type="paragraph" w:customStyle="1" w:styleId="74">
    <w:name w:val="正文样式1"/>
    <w:basedOn w:val="1"/>
    <w:next w:val="1"/>
    <w:autoRedefine/>
    <w:qFormat/>
    <w:uiPriority w:val="0"/>
    <w:pPr>
      <w:adjustRightInd w:val="0"/>
      <w:spacing w:line="360" w:lineRule="auto"/>
      <w:ind w:firstLine="360" w:firstLineChars="150"/>
      <w:textAlignment w:val="baseline"/>
    </w:pPr>
    <w:rPr>
      <w:rFonts w:ascii="宋体" w:hAnsi="宋体"/>
      <w:color w:val="FF0000"/>
      <w:kern w:val="0"/>
      <w:sz w:val="24"/>
      <w:szCs w:val="20"/>
    </w:rPr>
  </w:style>
  <w:style w:type="paragraph" w:customStyle="1" w:styleId="75">
    <w:name w:val="td1"/>
    <w:basedOn w:val="1"/>
    <w:next w:val="1"/>
    <w:autoRedefine/>
    <w:qFormat/>
    <w:uiPriority w:val="0"/>
    <w:pPr>
      <w:widowControl/>
      <w:spacing w:before="280" w:after="280" w:line="300" w:lineRule="atLeast"/>
      <w:ind w:firstLine="200"/>
    </w:pPr>
    <w:rPr>
      <w:color w:val="000000"/>
      <w:sz w:val="18"/>
    </w:rPr>
  </w:style>
  <w:style w:type="paragraph" w:customStyle="1" w:styleId="76">
    <w:name w:val="目录 21"/>
    <w:basedOn w:val="1"/>
    <w:next w:val="1"/>
    <w:autoRedefine/>
    <w:unhideWhenUsed/>
    <w:qFormat/>
    <w:uiPriority w:val="39"/>
    <w:pPr>
      <w:ind w:left="420" w:leftChars="200"/>
    </w:pPr>
  </w:style>
  <w:style w:type="character" w:customStyle="1" w:styleId="77">
    <w:name w:val="标题 8 字符"/>
    <w:link w:val="9"/>
    <w:autoRedefine/>
    <w:qFormat/>
    <w:uiPriority w:val="0"/>
    <w:rPr>
      <w:b/>
      <w:kern w:val="2"/>
      <w:sz w:val="21"/>
      <w:szCs w:val="24"/>
    </w:rPr>
  </w:style>
  <w:style w:type="character" w:customStyle="1" w:styleId="78">
    <w:name w:val="正文文本缩进 字符"/>
    <w:link w:val="15"/>
    <w:autoRedefine/>
    <w:qFormat/>
    <w:uiPriority w:val="0"/>
    <w:rPr>
      <w:spacing w:val="4"/>
      <w:sz w:val="28"/>
    </w:rPr>
  </w:style>
  <w:style w:type="character" w:customStyle="1" w:styleId="79">
    <w:name w:val="正文缩进 字符"/>
    <w:link w:val="20"/>
    <w:autoRedefine/>
    <w:qFormat/>
    <w:uiPriority w:val="0"/>
    <w:rPr>
      <w:kern w:val="2"/>
      <w:sz w:val="21"/>
      <w:szCs w:val="24"/>
    </w:rPr>
  </w:style>
  <w:style w:type="character" w:customStyle="1" w:styleId="80">
    <w:name w:val="题注 字符"/>
    <w:link w:val="21"/>
    <w:autoRedefine/>
    <w:qFormat/>
    <w:uiPriority w:val="0"/>
    <w:rPr>
      <w:rFonts w:ascii="Cambria" w:hAnsi="Cambria" w:eastAsia="黑体"/>
      <w:kern w:val="2"/>
    </w:rPr>
  </w:style>
  <w:style w:type="character" w:customStyle="1" w:styleId="81">
    <w:name w:val="批注文字 字符"/>
    <w:link w:val="23"/>
    <w:autoRedefine/>
    <w:qFormat/>
    <w:uiPriority w:val="99"/>
    <w:rPr>
      <w:kern w:val="2"/>
      <w:sz w:val="21"/>
      <w:szCs w:val="24"/>
    </w:rPr>
  </w:style>
  <w:style w:type="character" w:customStyle="1" w:styleId="82">
    <w:name w:val="正文文本 字符"/>
    <w:link w:val="24"/>
    <w:autoRedefine/>
    <w:qFormat/>
    <w:uiPriority w:val="0"/>
    <w:rPr>
      <w:sz w:val="24"/>
      <w:szCs w:val="24"/>
      <w:lang w:val="zh-CN"/>
    </w:rPr>
  </w:style>
  <w:style w:type="paragraph" w:customStyle="1" w:styleId="83">
    <w:name w:val="目录 31"/>
    <w:basedOn w:val="1"/>
    <w:next w:val="1"/>
    <w:autoRedefine/>
    <w:qFormat/>
    <w:uiPriority w:val="39"/>
    <w:pPr>
      <w:ind w:left="840" w:leftChars="400"/>
    </w:pPr>
  </w:style>
  <w:style w:type="character" w:customStyle="1" w:styleId="84">
    <w:name w:val="纯文本 字符"/>
    <w:link w:val="28"/>
    <w:autoRedefine/>
    <w:qFormat/>
    <w:uiPriority w:val="0"/>
    <w:rPr>
      <w:rFonts w:ascii="宋体" w:hAnsi="Tms Rmn"/>
      <w:sz w:val="21"/>
    </w:rPr>
  </w:style>
  <w:style w:type="character" w:customStyle="1" w:styleId="85">
    <w:name w:val="正文文本缩进 2 字符"/>
    <w:link w:val="32"/>
    <w:autoRedefine/>
    <w:qFormat/>
    <w:uiPriority w:val="0"/>
    <w:rPr>
      <w:b/>
      <w:kern w:val="2"/>
      <w:sz w:val="24"/>
    </w:rPr>
  </w:style>
  <w:style w:type="character" w:customStyle="1" w:styleId="86">
    <w:name w:val="页脚 字符"/>
    <w:link w:val="34"/>
    <w:autoRedefine/>
    <w:qFormat/>
    <w:uiPriority w:val="99"/>
    <w:rPr>
      <w:kern w:val="2"/>
      <w:sz w:val="18"/>
      <w:szCs w:val="18"/>
    </w:rPr>
  </w:style>
  <w:style w:type="character" w:customStyle="1" w:styleId="87">
    <w:name w:val="页眉 字符"/>
    <w:link w:val="35"/>
    <w:autoRedefine/>
    <w:qFormat/>
    <w:uiPriority w:val="99"/>
    <w:rPr>
      <w:sz w:val="18"/>
    </w:rPr>
  </w:style>
  <w:style w:type="paragraph" w:customStyle="1" w:styleId="88">
    <w:name w:val="目录 11"/>
    <w:next w:val="89"/>
    <w:autoRedefine/>
    <w:qFormat/>
    <w:uiPriority w:val="39"/>
    <w:rPr>
      <w:rFonts w:ascii="Times New Roman" w:hAnsi="宋体" w:eastAsia="宋体" w:cs="Times New Roman"/>
      <w:bCs/>
      <w:caps/>
      <w:w w:val="80"/>
      <w:kern w:val="2"/>
      <w:sz w:val="24"/>
      <w:szCs w:val="24"/>
      <w:lang w:val="en-US" w:eastAsia="zh-CN" w:bidi="ar-SA"/>
    </w:rPr>
  </w:style>
  <w:style w:type="paragraph" w:customStyle="1" w:styleId="89">
    <w:name w:val="正文首行缩进1"/>
    <w:basedOn w:val="24"/>
    <w:autoRedefine/>
    <w:qFormat/>
    <w:uiPriority w:val="0"/>
    <w:pPr>
      <w:framePr w:wrap="around"/>
      <w:adjustRightInd/>
      <w:spacing w:after="120" w:line="240" w:lineRule="auto"/>
      <w:ind w:firstLine="420" w:firstLineChars="100"/>
      <w:textAlignment w:val="auto"/>
    </w:pPr>
    <w:rPr>
      <w:kern w:val="2"/>
      <w:sz w:val="21"/>
    </w:rPr>
  </w:style>
  <w:style w:type="character" w:customStyle="1" w:styleId="90">
    <w:name w:val="副标题 字符"/>
    <w:link w:val="37"/>
    <w:autoRedefine/>
    <w:qFormat/>
    <w:uiPriority w:val="11"/>
    <w:rPr>
      <w:b/>
      <w:bCs/>
      <w:kern w:val="28"/>
      <w:sz w:val="24"/>
      <w:szCs w:val="32"/>
    </w:rPr>
  </w:style>
  <w:style w:type="character" w:customStyle="1" w:styleId="91">
    <w:name w:val="正文文本缩进 3 字符"/>
    <w:link w:val="39"/>
    <w:autoRedefine/>
    <w:qFormat/>
    <w:uiPriority w:val="0"/>
    <w:rPr>
      <w:sz w:val="28"/>
    </w:rPr>
  </w:style>
  <w:style w:type="character" w:customStyle="1" w:styleId="92">
    <w:name w:val="正文文本 2 字符"/>
    <w:link w:val="42"/>
    <w:autoRedefine/>
    <w:qFormat/>
    <w:uiPriority w:val="0"/>
    <w:rPr>
      <w:kern w:val="2"/>
      <w:sz w:val="21"/>
      <w:szCs w:val="24"/>
    </w:rPr>
  </w:style>
  <w:style w:type="character" w:customStyle="1" w:styleId="93">
    <w:name w:val="普通(网站) 字符"/>
    <w:link w:val="44"/>
    <w:autoRedefine/>
    <w:qFormat/>
    <w:uiPriority w:val="0"/>
    <w:rPr>
      <w:rFonts w:ascii="宋体" w:hAnsi="宋体"/>
      <w:sz w:val="24"/>
      <w:szCs w:val="24"/>
    </w:rPr>
  </w:style>
  <w:style w:type="character" w:customStyle="1" w:styleId="94">
    <w:name w:val="标题 字符"/>
    <w:link w:val="45"/>
    <w:autoRedefine/>
    <w:qFormat/>
    <w:uiPriority w:val="0"/>
    <w:rPr>
      <w:rFonts w:eastAsia="黑体"/>
      <w:bCs/>
      <w:kern w:val="2"/>
      <w:sz w:val="30"/>
      <w:szCs w:val="32"/>
      <w:lang w:val="zh-CN" w:eastAsia="zh-CN"/>
    </w:rPr>
  </w:style>
  <w:style w:type="paragraph" w:customStyle="1" w:styleId="95">
    <w:name w:val="正文首行缩进 21"/>
    <w:basedOn w:val="15"/>
    <w:autoRedefine/>
    <w:qFormat/>
    <w:uiPriority w:val="0"/>
    <w:pPr>
      <w:ind w:firstLine="0"/>
    </w:pPr>
    <w:rPr>
      <w:color w:val="FF0000"/>
      <w:sz w:val="21"/>
      <w:szCs w:val="21"/>
    </w:rPr>
  </w:style>
  <w:style w:type="character" w:customStyle="1" w:styleId="96">
    <w:name w:val="表格内容 Char"/>
    <w:autoRedefine/>
    <w:qFormat/>
    <w:uiPriority w:val="0"/>
    <w:rPr>
      <w:rFonts w:ascii="宋体" w:hAnsi="宋体" w:eastAsia="宋体" w:cs="宋体"/>
      <w:color w:val="000000"/>
      <w:kern w:val="2"/>
      <w:sz w:val="21"/>
      <w:szCs w:val="16"/>
      <w:lang w:val="en-US" w:eastAsia="zh-CN" w:bidi="ar-SA"/>
    </w:rPr>
  </w:style>
  <w:style w:type="character" w:customStyle="1" w:styleId="97">
    <w:name w:val="报告表  段 Char"/>
    <w:link w:val="98"/>
    <w:autoRedefine/>
    <w:qFormat/>
    <w:uiPriority w:val="0"/>
    <w:rPr>
      <w:rFonts w:ascii="宋体"/>
      <w:sz w:val="24"/>
    </w:rPr>
  </w:style>
  <w:style w:type="paragraph" w:customStyle="1" w:styleId="98">
    <w:name w:val="报告表  段"/>
    <w:basedOn w:val="1"/>
    <w:link w:val="97"/>
    <w:autoRedefine/>
    <w:qFormat/>
    <w:uiPriority w:val="0"/>
    <w:pPr>
      <w:adjustRightInd w:val="0"/>
      <w:spacing w:line="360" w:lineRule="auto"/>
      <w:ind w:firstLine="505"/>
      <w:textAlignment w:val="baseline"/>
    </w:pPr>
    <w:rPr>
      <w:rFonts w:ascii="宋体"/>
      <w:kern w:val="0"/>
      <w:sz w:val="24"/>
      <w:szCs w:val="20"/>
    </w:rPr>
  </w:style>
  <w:style w:type="character" w:customStyle="1" w:styleId="99">
    <w:name w:val="表格内容格式 Char"/>
    <w:link w:val="100"/>
    <w:autoRedefine/>
    <w:qFormat/>
    <w:uiPriority w:val="0"/>
    <w:rPr>
      <w:bCs/>
      <w:sz w:val="21"/>
      <w:szCs w:val="21"/>
    </w:rPr>
  </w:style>
  <w:style w:type="paragraph" w:customStyle="1" w:styleId="100">
    <w:name w:val="表格内容格式"/>
    <w:basedOn w:val="1"/>
    <w:link w:val="99"/>
    <w:autoRedefine/>
    <w:qFormat/>
    <w:uiPriority w:val="0"/>
    <w:pPr>
      <w:widowControl/>
      <w:jc w:val="center"/>
    </w:pPr>
    <w:rPr>
      <w:bCs/>
      <w:kern w:val="0"/>
      <w:szCs w:val="21"/>
    </w:rPr>
  </w:style>
  <w:style w:type="character" w:customStyle="1" w:styleId="101">
    <w:name w:val="style151"/>
    <w:autoRedefine/>
    <w:qFormat/>
    <w:uiPriority w:val="0"/>
    <w:rPr>
      <w:color w:val="743E07"/>
      <w:sz w:val="21"/>
      <w:szCs w:val="21"/>
    </w:rPr>
  </w:style>
  <w:style w:type="character" w:customStyle="1" w:styleId="102">
    <w:name w:val="自定正文 Char"/>
    <w:link w:val="103"/>
    <w:autoRedefine/>
    <w:qFormat/>
    <w:uiPriority w:val="0"/>
    <w:rPr>
      <w:snapToGrid w:val="0"/>
      <w:kern w:val="2"/>
      <w:sz w:val="24"/>
      <w:szCs w:val="21"/>
    </w:rPr>
  </w:style>
  <w:style w:type="paragraph" w:customStyle="1" w:styleId="103">
    <w:name w:val="自定正文"/>
    <w:basedOn w:val="1"/>
    <w:link w:val="102"/>
    <w:autoRedefine/>
    <w:qFormat/>
    <w:uiPriority w:val="0"/>
    <w:pPr>
      <w:tabs>
        <w:tab w:val="left" w:pos="1685"/>
      </w:tabs>
      <w:snapToGrid w:val="0"/>
      <w:spacing w:line="360" w:lineRule="auto"/>
      <w:ind w:firstLine="480"/>
      <w:textAlignment w:val="center"/>
    </w:pPr>
    <w:rPr>
      <w:snapToGrid w:val="0"/>
      <w:sz w:val="24"/>
      <w:szCs w:val="21"/>
    </w:rPr>
  </w:style>
  <w:style w:type="character" w:customStyle="1" w:styleId="104">
    <w:name w:val="ddjj Char"/>
    <w:link w:val="105"/>
    <w:autoRedefine/>
    <w:qFormat/>
    <w:uiPriority w:val="0"/>
    <w:rPr>
      <w:kern w:val="2"/>
      <w:sz w:val="28"/>
      <w:lang w:bidi="ar-SA"/>
    </w:rPr>
  </w:style>
  <w:style w:type="paragraph" w:customStyle="1" w:styleId="105">
    <w:name w:val="ddjj"/>
    <w:basedOn w:val="1"/>
    <w:link w:val="104"/>
    <w:autoRedefine/>
    <w:qFormat/>
    <w:uiPriority w:val="0"/>
    <w:pPr>
      <w:spacing w:line="360" w:lineRule="auto"/>
      <w:ind w:firstLine="200" w:firstLineChars="200"/>
    </w:pPr>
    <w:rPr>
      <w:sz w:val="28"/>
      <w:szCs w:val="20"/>
    </w:rPr>
  </w:style>
  <w:style w:type="character" w:customStyle="1" w:styleId="106">
    <w:name w:val="s1"/>
    <w:autoRedefine/>
    <w:qFormat/>
    <w:uiPriority w:val="0"/>
    <w:rPr>
      <w:sz w:val="18"/>
      <w:szCs w:val="18"/>
    </w:rPr>
  </w:style>
  <w:style w:type="character" w:customStyle="1" w:styleId="107">
    <w:name w:val="宗兴正文 Char Char"/>
    <w:link w:val="108"/>
    <w:autoRedefine/>
    <w:qFormat/>
    <w:uiPriority w:val="0"/>
    <w:rPr>
      <w:kern w:val="2"/>
      <w:sz w:val="24"/>
      <w:szCs w:val="24"/>
    </w:rPr>
  </w:style>
  <w:style w:type="paragraph" w:customStyle="1" w:styleId="108">
    <w:name w:val="宗兴正文"/>
    <w:basedOn w:val="1"/>
    <w:link w:val="107"/>
    <w:autoRedefine/>
    <w:qFormat/>
    <w:uiPriority w:val="0"/>
    <w:pPr>
      <w:spacing w:before="93" w:after="93" w:line="360" w:lineRule="auto"/>
      <w:ind w:firstLine="480" w:firstLineChars="200"/>
      <w:jc w:val="left"/>
    </w:pPr>
    <w:rPr>
      <w:sz w:val="24"/>
    </w:rPr>
  </w:style>
  <w:style w:type="character" w:customStyle="1" w:styleId="109">
    <w:name w:val="description"/>
    <w:autoRedefine/>
    <w:qFormat/>
    <w:uiPriority w:val="0"/>
  </w:style>
  <w:style w:type="character" w:customStyle="1" w:styleId="110">
    <w:name w:val="表格内容 Char1"/>
    <w:basedOn w:val="52"/>
    <w:link w:val="111"/>
    <w:autoRedefine/>
    <w:qFormat/>
    <w:uiPriority w:val="0"/>
    <w:rPr>
      <w:kern w:val="2"/>
      <w:sz w:val="21"/>
      <w:szCs w:val="21"/>
    </w:rPr>
  </w:style>
  <w:style w:type="paragraph" w:customStyle="1" w:styleId="111">
    <w:name w:val="表格内容"/>
    <w:basedOn w:val="16"/>
    <w:link w:val="110"/>
    <w:autoRedefine/>
    <w:qFormat/>
    <w:uiPriority w:val="0"/>
    <w:pPr>
      <w:jc w:val="center"/>
    </w:pPr>
    <w:rPr>
      <w:szCs w:val="21"/>
    </w:rPr>
  </w:style>
  <w:style w:type="character" w:customStyle="1" w:styleId="112">
    <w:name w:val="表头 Char"/>
    <w:link w:val="113"/>
    <w:autoRedefine/>
    <w:qFormat/>
    <w:uiPriority w:val="0"/>
    <w:rPr>
      <w:b/>
      <w:kern w:val="2"/>
      <w:sz w:val="21"/>
    </w:rPr>
  </w:style>
  <w:style w:type="paragraph" w:customStyle="1" w:styleId="113">
    <w:name w:val="表头"/>
    <w:basedOn w:val="21"/>
    <w:link w:val="112"/>
    <w:autoRedefine/>
    <w:qFormat/>
    <w:uiPriority w:val="0"/>
    <w:pPr>
      <w:keepNext/>
      <w:spacing w:line="100" w:lineRule="atLeast"/>
      <w:jc w:val="center"/>
    </w:pPr>
    <w:rPr>
      <w:rFonts w:ascii="Times New Roman" w:hAnsi="Times New Roman" w:eastAsia="宋体"/>
      <w:b/>
      <w:sz w:val="21"/>
    </w:rPr>
  </w:style>
  <w:style w:type="character" w:customStyle="1" w:styleId="114">
    <w:name w:val="14p2"/>
    <w:autoRedefine/>
    <w:qFormat/>
    <w:uiPriority w:val="0"/>
    <w:rPr>
      <w:color w:val="666666"/>
      <w:sz w:val="21"/>
      <w:szCs w:val="21"/>
    </w:rPr>
  </w:style>
  <w:style w:type="character" w:customStyle="1" w:styleId="115">
    <w:name w:val="样式 正文首行缩进:  2 字符 + 首行缩进:  2 字符 Char"/>
    <w:link w:val="116"/>
    <w:autoRedefine/>
    <w:qFormat/>
    <w:uiPriority w:val="0"/>
    <w:rPr>
      <w:rFonts w:cs="宋体"/>
      <w:kern w:val="2"/>
      <w:sz w:val="24"/>
    </w:rPr>
  </w:style>
  <w:style w:type="paragraph" w:customStyle="1" w:styleId="116">
    <w:name w:val="样式 正文首行缩进:  2 字符 + 首行缩进:  2 字符"/>
    <w:basedOn w:val="1"/>
    <w:link w:val="115"/>
    <w:autoRedefine/>
    <w:qFormat/>
    <w:uiPriority w:val="0"/>
    <w:pPr>
      <w:spacing w:line="360" w:lineRule="auto"/>
      <w:ind w:firstLine="480" w:firstLineChars="200"/>
    </w:pPr>
    <w:rPr>
      <w:sz w:val="24"/>
      <w:szCs w:val="20"/>
    </w:rPr>
  </w:style>
  <w:style w:type="character" w:customStyle="1" w:styleId="117">
    <w:name w:val="Char Char1 Char"/>
    <w:link w:val="118"/>
    <w:autoRedefine/>
    <w:qFormat/>
    <w:uiPriority w:val="0"/>
    <w:rPr>
      <w:rFonts w:ascii="宋体" w:hAnsi="宋体" w:cs="宋体"/>
      <w:kern w:val="2"/>
      <w:sz w:val="24"/>
      <w:szCs w:val="24"/>
    </w:rPr>
  </w:style>
  <w:style w:type="paragraph" w:customStyle="1" w:styleId="118">
    <w:name w:val="Char Char1"/>
    <w:basedOn w:val="1"/>
    <w:link w:val="117"/>
    <w:autoRedefine/>
    <w:qFormat/>
    <w:uiPriority w:val="0"/>
    <w:pPr>
      <w:spacing w:line="360" w:lineRule="auto"/>
      <w:ind w:firstLine="200" w:firstLineChars="200"/>
    </w:pPr>
    <w:rPr>
      <w:rFonts w:ascii="宋体" w:hAnsi="宋体"/>
      <w:sz w:val="24"/>
    </w:rPr>
  </w:style>
  <w:style w:type="character" w:customStyle="1" w:styleId="119">
    <w:name w:val="14p"/>
    <w:basedOn w:val="52"/>
    <w:autoRedefine/>
    <w:qFormat/>
    <w:uiPriority w:val="0"/>
  </w:style>
  <w:style w:type="character" w:customStyle="1" w:styleId="120">
    <w:name w:val="正文何黎 Char1"/>
    <w:link w:val="121"/>
    <w:autoRedefine/>
    <w:qFormat/>
    <w:uiPriority w:val="0"/>
    <w:rPr>
      <w:rFonts w:hAnsi="宋体" w:cs="宋体"/>
      <w:sz w:val="24"/>
      <w:szCs w:val="24"/>
    </w:rPr>
  </w:style>
  <w:style w:type="paragraph" w:customStyle="1" w:styleId="121">
    <w:name w:val="正文何黎"/>
    <w:basedOn w:val="1"/>
    <w:link w:val="120"/>
    <w:autoRedefine/>
    <w:qFormat/>
    <w:uiPriority w:val="0"/>
    <w:pPr>
      <w:spacing w:line="360" w:lineRule="auto"/>
      <w:ind w:firstLine="480" w:firstLineChars="200"/>
    </w:pPr>
    <w:rPr>
      <w:rFonts w:hAnsi="宋体"/>
      <w:kern w:val="0"/>
      <w:sz w:val="24"/>
    </w:rPr>
  </w:style>
  <w:style w:type="character" w:customStyle="1" w:styleId="122">
    <w:name w:val="样式14 Char"/>
    <w:link w:val="123"/>
    <w:autoRedefine/>
    <w:qFormat/>
    <w:uiPriority w:val="0"/>
    <w:rPr>
      <w:color w:val="000000"/>
      <w:sz w:val="24"/>
      <w:szCs w:val="24"/>
      <w:shd w:val="clear" w:color="auto" w:fill="FFFFFF"/>
    </w:rPr>
  </w:style>
  <w:style w:type="paragraph" w:customStyle="1" w:styleId="123">
    <w:name w:val="样式14"/>
    <w:basedOn w:val="1"/>
    <w:link w:val="122"/>
    <w:autoRedefine/>
    <w:qFormat/>
    <w:uiPriority w:val="0"/>
    <w:pPr>
      <w:shd w:val="clear" w:color="auto" w:fill="FFFFFF"/>
      <w:spacing w:beforeLines="50" w:afterLines="50" w:line="360" w:lineRule="auto"/>
      <w:ind w:left="708" w:hanging="708"/>
    </w:pPr>
    <w:rPr>
      <w:color w:val="000000"/>
      <w:kern w:val="0"/>
      <w:sz w:val="24"/>
    </w:rPr>
  </w:style>
  <w:style w:type="character" w:customStyle="1" w:styleId="124">
    <w:name w:val="正文缩进 Char1"/>
    <w:autoRedefine/>
    <w:qFormat/>
    <w:uiPriority w:val="0"/>
    <w:rPr>
      <w:kern w:val="2"/>
      <w:sz w:val="21"/>
    </w:rPr>
  </w:style>
  <w:style w:type="character" w:styleId="125">
    <w:name w:val="Placeholder Text"/>
    <w:autoRedefine/>
    <w:unhideWhenUsed/>
    <w:qFormat/>
    <w:uiPriority w:val="99"/>
    <w:rPr>
      <w:color w:val="808080"/>
    </w:rPr>
  </w:style>
  <w:style w:type="character" w:customStyle="1" w:styleId="126">
    <w:name w:val="bw"/>
    <w:basedOn w:val="52"/>
    <w:autoRedefine/>
    <w:qFormat/>
    <w:uiPriority w:val="0"/>
  </w:style>
  <w:style w:type="character" w:customStyle="1" w:styleId="127">
    <w:name w:val="A正文 Char"/>
    <w:link w:val="128"/>
    <w:autoRedefine/>
    <w:qFormat/>
    <w:uiPriority w:val="0"/>
    <w:rPr>
      <w:kern w:val="2"/>
      <w:sz w:val="24"/>
      <w:szCs w:val="24"/>
    </w:rPr>
  </w:style>
  <w:style w:type="paragraph" w:customStyle="1" w:styleId="128">
    <w:name w:val="A正文"/>
    <w:basedOn w:val="1"/>
    <w:next w:val="24"/>
    <w:link w:val="127"/>
    <w:autoRedefine/>
    <w:qFormat/>
    <w:uiPriority w:val="0"/>
    <w:pPr>
      <w:spacing w:line="360" w:lineRule="auto"/>
      <w:ind w:firstLine="200" w:firstLineChars="200"/>
    </w:pPr>
    <w:rPr>
      <w:sz w:val="24"/>
    </w:rPr>
  </w:style>
  <w:style w:type="character" w:customStyle="1" w:styleId="129">
    <w:name w:val="15"/>
    <w:autoRedefine/>
    <w:qFormat/>
    <w:uiPriority w:val="0"/>
    <w:rPr>
      <w:rFonts w:hint="eastAsia" w:ascii="宋体" w:hAnsi="宋体" w:eastAsia="宋体"/>
      <w:color w:val="000000"/>
      <w:kern w:val="2"/>
      <w:sz w:val="21"/>
      <w:szCs w:val="21"/>
    </w:rPr>
  </w:style>
  <w:style w:type="character" w:customStyle="1" w:styleId="130">
    <w:name w:val="style11"/>
    <w:autoRedefine/>
    <w:qFormat/>
    <w:uiPriority w:val="0"/>
    <w:rPr>
      <w:color w:val="FF0000"/>
    </w:rPr>
  </w:style>
  <w:style w:type="character" w:customStyle="1" w:styleId="131">
    <w:name w:val="A（1）级标题 Char"/>
    <w:link w:val="132"/>
    <w:autoRedefine/>
    <w:qFormat/>
    <w:uiPriority w:val="0"/>
    <w:rPr>
      <w:kern w:val="2"/>
      <w:sz w:val="24"/>
      <w:szCs w:val="24"/>
    </w:rPr>
  </w:style>
  <w:style w:type="paragraph" w:customStyle="1" w:styleId="132">
    <w:name w:val="A（1）级标题"/>
    <w:basedOn w:val="1"/>
    <w:next w:val="24"/>
    <w:link w:val="131"/>
    <w:autoRedefine/>
    <w:qFormat/>
    <w:uiPriority w:val="0"/>
    <w:pPr>
      <w:spacing w:line="360" w:lineRule="auto"/>
      <w:ind w:firstLine="200" w:firstLineChars="200"/>
    </w:pPr>
    <w:rPr>
      <w:sz w:val="24"/>
    </w:rPr>
  </w:style>
  <w:style w:type="character" w:customStyle="1" w:styleId="133">
    <w:name w:val="表格文字 Char1"/>
    <w:link w:val="134"/>
    <w:autoRedefine/>
    <w:qFormat/>
    <w:uiPriority w:val="0"/>
    <w:rPr>
      <w:kern w:val="2"/>
      <w:position w:val="-10"/>
      <w:sz w:val="21"/>
    </w:rPr>
  </w:style>
  <w:style w:type="paragraph" w:customStyle="1" w:styleId="134">
    <w:name w:val="表格文字"/>
    <w:basedOn w:val="1"/>
    <w:link w:val="133"/>
    <w:autoRedefine/>
    <w:qFormat/>
    <w:uiPriority w:val="0"/>
    <w:pPr>
      <w:tabs>
        <w:tab w:val="left" w:pos="-2848"/>
      </w:tabs>
      <w:spacing w:beforeLines="20" w:afterLines="20"/>
      <w:jc w:val="center"/>
    </w:pPr>
    <w:rPr>
      <w:position w:val="-10"/>
      <w:szCs w:val="20"/>
    </w:rPr>
  </w:style>
  <w:style w:type="character" w:customStyle="1" w:styleId="135">
    <w:name w:val="正文 首行缩进:  2 字符 SL CON Char"/>
    <w:link w:val="136"/>
    <w:autoRedefine/>
    <w:qFormat/>
    <w:uiPriority w:val="0"/>
    <w:rPr>
      <w:rFonts w:ascii="宋体" w:cs="宋体"/>
      <w:sz w:val="24"/>
      <w:szCs w:val="24"/>
    </w:rPr>
  </w:style>
  <w:style w:type="paragraph" w:customStyle="1" w:styleId="136">
    <w:name w:val="正文 首行缩进:  2 字符 SL CON"/>
    <w:basedOn w:val="1"/>
    <w:link w:val="135"/>
    <w:autoRedefine/>
    <w:qFormat/>
    <w:uiPriority w:val="0"/>
    <w:pPr>
      <w:widowControl/>
      <w:tabs>
        <w:tab w:val="left" w:pos="377"/>
      </w:tabs>
      <w:spacing w:line="360" w:lineRule="auto"/>
      <w:ind w:firstLine="200" w:firstLineChars="200"/>
    </w:pPr>
    <w:rPr>
      <w:rFonts w:ascii="宋体"/>
      <w:kern w:val="0"/>
      <w:sz w:val="24"/>
    </w:rPr>
  </w:style>
  <w:style w:type="character" w:customStyle="1" w:styleId="137">
    <w:name w:val="style181"/>
    <w:autoRedefine/>
    <w:qFormat/>
    <w:uiPriority w:val="0"/>
    <w:rPr>
      <w:color w:val="844508"/>
      <w:sz w:val="21"/>
      <w:szCs w:val="21"/>
    </w:rPr>
  </w:style>
  <w:style w:type="character" w:customStyle="1" w:styleId="138">
    <w:name w:val="fontstyle01"/>
    <w:autoRedefine/>
    <w:qFormat/>
    <w:uiPriority w:val="0"/>
    <w:rPr>
      <w:rFonts w:hint="eastAsia" w:ascii="宋体" w:hAnsi="宋体" w:eastAsia="宋体"/>
      <w:color w:val="000000"/>
      <w:sz w:val="22"/>
      <w:szCs w:val="22"/>
    </w:rPr>
  </w:style>
  <w:style w:type="character" w:customStyle="1" w:styleId="139">
    <w:name w:val="表格表头 Char"/>
    <w:link w:val="140"/>
    <w:autoRedefine/>
    <w:qFormat/>
    <w:uiPriority w:val="0"/>
    <w:rPr>
      <w:b/>
      <w:kern w:val="2"/>
      <w:sz w:val="21"/>
      <w:szCs w:val="24"/>
      <w:lang w:val="zh-CN" w:eastAsia="zh-CN"/>
    </w:rPr>
  </w:style>
  <w:style w:type="paragraph" w:customStyle="1" w:styleId="140">
    <w:name w:val="表格表头"/>
    <w:basedOn w:val="9"/>
    <w:link w:val="139"/>
    <w:autoRedefine/>
    <w:qFormat/>
    <w:uiPriority w:val="0"/>
    <w:pPr>
      <w:tabs>
        <w:tab w:val="left" w:pos="210"/>
      </w:tabs>
      <w:ind w:left="0" w:firstLine="0"/>
    </w:pPr>
    <w:rPr>
      <w:lang w:val="zh-CN"/>
    </w:rPr>
  </w:style>
  <w:style w:type="paragraph" w:customStyle="1" w:styleId="141">
    <w:name w:val="Char2"/>
    <w:basedOn w:val="1"/>
    <w:autoRedefine/>
    <w:qFormat/>
    <w:uiPriority w:val="0"/>
    <w:pPr>
      <w:ind w:firstLine="200" w:firstLineChars="200"/>
    </w:pPr>
  </w:style>
  <w:style w:type="paragraph" w:customStyle="1" w:styleId="142">
    <w:name w:val="样式 样式 题注 + 首行缩进:  2 字符 + 首行缩进:  2 字符"/>
    <w:basedOn w:val="1"/>
    <w:autoRedefine/>
    <w:qFormat/>
    <w:uiPriority w:val="0"/>
    <w:pPr>
      <w:spacing w:line="480" w:lineRule="auto"/>
      <w:ind w:firstLine="480" w:firstLineChars="200"/>
      <w:jc w:val="center"/>
    </w:pPr>
    <w:rPr>
      <w:rFonts w:ascii="Arial" w:hAnsi="Arial" w:eastAsia="黑体"/>
      <w:sz w:val="24"/>
      <w:szCs w:val="20"/>
    </w:rPr>
  </w:style>
  <w:style w:type="paragraph" w:customStyle="1" w:styleId="143">
    <w:name w:val="样式2"/>
    <w:basedOn w:val="1"/>
    <w:autoRedefine/>
    <w:qFormat/>
    <w:uiPriority w:val="0"/>
    <w:pPr>
      <w:spacing w:line="300" w:lineRule="exact"/>
      <w:jc w:val="center"/>
    </w:pPr>
    <w:rPr>
      <w:rFonts w:ascii="宋体" w:hAnsi="宋体"/>
      <w:spacing w:val="4"/>
      <w:szCs w:val="20"/>
    </w:rPr>
  </w:style>
  <w:style w:type="paragraph" w:customStyle="1" w:styleId="144">
    <w:name w:val="_Style 27"/>
    <w:basedOn w:val="1"/>
    <w:autoRedefine/>
    <w:qFormat/>
    <w:uiPriority w:val="0"/>
    <w:rPr>
      <w:szCs w:val="20"/>
    </w:rPr>
  </w:style>
  <w:style w:type="paragraph" w:customStyle="1" w:styleId="145">
    <w:name w:val="Char24"/>
    <w:basedOn w:val="1"/>
    <w:autoRedefine/>
    <w:semiHidden/>
    <w:qFormat/>
    <w:uiPriority w:val="0"/>
    <w:pPr>
      <w:spacing w:line="360" w:lineRule="auto"/>
      <w:ind w:firstLine="200" w:firstLineChars="200"/>
    </w:pPr>
    <w:rPr>
      <w:rFonts w:ascii="宋体" w:hAnsi="宋体" w:cs="宋体"/>
      <w:sz w:val="24"/>
    </w:rPr>
  </w:style>
  <w:style w:type="paragraph" w:customStyle="1" w:styleId="146">
    <w:name w:val="Char23"/>
    <w:basedOn w:val="1"/>
    <w:autoRedefine/>
    <w:semiHidden/>
    <w:qFormat/>
    <w:uiPriority w:val="0"/>
    <w:pPr>
      <w:spacing w:line="360" w:lineRule="auto"/>
      <w:ind w:firstLine="200" w:firstLineChars="200"/>
    </w:pPr>
    <w:rPr>
      <w:rFonts w:ascii="宋体" w:hAnsi="宋体" w:cs="宋体"/>
      <w:sz w:val="24"/>
    </w:rPr>
  </w:style>
  <w:style w:type="paragraph" w:customStyle="1" w:styleId="147">
    <w:name w:val="Char1"/>
    <w:basedOn w:val="1"/>
    <w:autoRedefine/>
    <w:qFormat/>
    <w:uiPriority w:val="0"/>
    <w:pPr>
      <w:snapToGrid w:val="0"/>
      <w:spacing w:line="360" w:lineRule="auto"/>
      <w:ind w:firstLine="529" w:firstLineChars="200"/>
    </w:pPr>
    <w:rPr>
      <w:rFonts w:ascii="宋体" w:hAnsi="宋体"/>
      <w:b/>
    </w:rPr>
  </w:style>
  <w:style w:type="paragraph" w:customStyle="1" w:styleId="148">
    <w:name w:val="样式 两端对齐 行距: 1.5 倍行距 首行缩进:  2 字符"/>
    <w:basedOn w:val="1"/>
    <w:autoRedefine/>
    <w:qFormat/>
    <w:uiPriority w:val="0"/>
    <w:pPr>
      <w:widowControl/>
      <w:spacing w:line="360" w:lineRule="auto"/>
      <w:ind w:firstLine="200" w:firstLineChars="200"/>
    </w:pPr>
    <w:rPr>
      <w:rFonts w:cs="PMingLiU"/>
      <w:kern w:val="0"/>
      <w:sz w:val="24"/>
      <w:szCs w:val="20"/>
    </w:rPr>
  </w:style>
  <w:style w:type="paragraph" w:customStyle="1" w:styleId="149">
    <w:name w:val="列出段落1"/>
    <w:basedOn w:val="1"/>
    <w:autoRedefine/>
    <w:unhideWhenUsed/>
    <w:qFormat/>
    <w:uiPriority w:val="0"/>
    <w:pPr>
      <w:ind w:firstLine="420" w:firstLineChars="200"/>
    </w:pPr>
  </w:style>
  <w:style w:type="paragraph" w:customStyle="1" w:styleId="150">
    <w:name w:val="样式 段落 Char + Char"/>
    <w:basedOn w:val="1"/>
    <w:autoRedefine/>
    <w:qFormat/>
    <w:uiPriority w:val="0"/>
    <w:pPr>
      <w:topLinePunct/>
      <w:snapToGrid w:val="0"/>
      <w:spacing w:line="360" w:lineRule="auto"/>
      <w:ind w:firstLine="200" w:firstLineChars="200"/>
    </w:pPr>
    <w:rPr>
      <w:sz w:val="24"/>
    </w:rPr>
  </w:style>
  <w:style w:type="paragraph" w:customStyle="1" w:styleId="151">
    <w:name w:val="样式16"/>
    <w:basedOn w:val="1"/>
    <w:autoRedefine/>
    <w:qFormat/>
    <w:uiPriority w:val="0"/>
    <w:pPr>
      <w:spacing w:beforeLines="50" w:afterLines="50"/>
    </w:pPr>
    <w:rPr>
      <w:b/>
      <w:bCs/>
      <w:szCs w:val="21"/>
    </w:rPr>
  </w:style>
  <w:style w:type="paragraph" w:customStyle="1" w:styleId="152">
    <w:name w:val="普通文字 Char"/>
    <w:basedOn w:val="1"/>
    <w:next w:val="20"/>
    <w:autoRedefine/>
    <w:qFormat/>
    <w:uiPriority w:val="0"/>
    <w:pPr>
      <w:ind w:firstLine="420" w:firstLineChars="200"/>
    </w:pPr>
  </w:style>
  <w:style w:type="paragraph" w:customStyle="1" w:styleId="153">
    <w:name w:val="Char Char Char Char Char Char"/>
    <w:basedOn w:val="1"/>
    <w:autoRedefine/>
    <w:qFormat/>
    <w:uiPriority w:val="0"/>
    <w:rPr>
      <w:sz w:val="24"/>
    </w:rPr>
  </w:style>
  <w:style w:type="paragraph" w:customStyle="1" w:styleId="154">
    <w:name w:val="Char"/>
    <w:basedOn w:val="1"/>
    <w:autoRedefine/>
    <w:qFormat/>
    <w:uiPriority w:val="0"/>
    <w:pPr>
      <w:snapToGrid w:val="0"/>
      <w:spacing w:line="360" w:lineRule="auto"/>
      <w:ind w:firstLine="529" w:firstLineChars="200"/>
    </w:pPr>
    <w:rPr>
      <w:rFonts w:ascii="宋体" w:hAnsi="宋体"/>
      <w:b/>
    </w:rPr>
  </w:style>
  <w:style w:type="paragraph" w:customStyle="1" w:styleId="155">
    <w:name w:val="Char Char Char"/>
    <w:basedOn w:val="1"/>
    <w:autoRedefine/>
    <w:qFormat/>
    <w:uiPriority w:val="0"/>
  </w:style>
  <w:style w:type="paragraph" w:customStyle="1" w:styleId="156">
    <w:name w:val="样式 自动A +"/>
    <w:basedOn w:val="1"/>
    <w:autoRedefine/>
    <w:qFormat/>
    <w:uiPriority w:val="0"/>
    <w:pPr>
      <w:spacing w:beforeLines="50" w:afterLines="50" w:line="360" w:lineRule="auto"/>
      <w:ind w:firstLine="480" w:firstLineChars="200"/>
    </w:pPr>
    <w:rPr>
      <w:rFonts w:ascii="宋体" w:hAnsi="宋体" w:cs="宋体"/>
      <w:color w:val="000000"/>
      <w:sz w:val="24"/>
    </w:rPr>
  </w:style>
  <w:style w:type="paragraph" w:customStyle="1" w:styleId="157">
    <w:name w:val="样式 四号 黑色 行距: 1.5 倍行距 首行缩进:  2 字符"/>
    <w:basedOn w:val="1"/>
    <w:autoRedefine/>
    <w:qFormat/>
    <w:uiPriority w:val="0"/>
    <w:pPr>
      <w:spacing w:line="360" w:lineRule="auto"/>
      <w:ind w:firstLine="560" w:firstLineChars="200"/>
    </w:pPr>
    <w:rPr>
      <w:rFonts w:eastAsia="仿宋_GB2312" w:cs="宋体"/>
      <w:color w:val="000000"/>
      <w:sz w:val="28"/>
      <w:szCs w:val="20"/>
    </w:rPr>
  </w:style>
  <w:style w:type="paragraph" w:customStyle="1" w:styleId="158">
    <w:name w:val="列出段落2"/>
    <w:basedOn w:val="1"/>
    <w:link w:val="159"/>
    <w:autoRedefine/>
    <w:qFormat/>
    <w:uiPriority w:val="34"/>
    <w:pPr>
      <w:ind w:firstLine="420" w:firstLineChars="200"/>
    </w:pPr>
  </w:style>
  <w:style w:type="character" w:customStyle="1" w:styleId="159">
    <w:name w:val="列出段落 Char"/>
    <w:link w:val="158"/>
    <w:autoRedefine/>
    <w:qFormat/>
    <w:uiPriority w:val="34"/>
    <w:rPr>
      <w:kern w:val="2"/>
      <w:sz w:val="21"/>
      <w:szCs w:val="24"/>
    </w:rPr>
  </w:style>
  <w:style w:type="paragraph" w:customStyle="1" w:styleId="160">
    <w:name w:val="默认段落字体 Para Char Char Char Char Char Char Char"/>
    <w:basedOn w:val="1"/>
    <w:autoRedefine/>
    <w:qFormat/>
    <w:uiPriority w:val="0"/>
    <w:pPr>
      <w:spacing w:line="360" w:lineRule="auto"/>
      <w:ind w:firstLine="200" w:firstLineChars="200"/>
    </w:pPr>
  </w:style>
  <w:style w:type="paragraph" w:customStyle="1" w:styleId="161">
    <w:name w:val="Char Char Char Char Char Char Char"/>
    <w:basedOn w:val="1"/>
    <w:autoRedefine/>
    <w:qFormat/>
    <w:uiPriority w:val="0"/>
  </w:style>
  <w:style w:type="paragraph" w:customStyle="1" w:styleId="162">
    <w:name w:val="Char21"/>
    <w:basedOn w:val="1"/>
    <w:autoRedefine/>
    <w:qFormat/>
    <w:uiPriority w:val="0"/>
    <w:pPr>
      <w:snapToGrid w:val="0"/>
      <w:spacing w:line="360" w:lineRule="auto"/>
      <w:ind w:firstLine="529" w:firstLineChars="200"/>
    </w:pPr>
    <w:rPr>
      <w:rFonts w:ascii="宋体" w:hAnsi="宋体"/>
      <w:b/>
    </w:rPr>
  </w:style>
  <w:style w:type="paragraph" w:customStyle="1" w:styleId="163">
    <w:name w:val="默认段落字体 Para Char Char Char Char"/>
    <w:basedOn w:val="1"/>
    <w:autoRedefine/>
    <w:qFormat/>
    <w:uiPriority w:val="0"/>
  </w:style>
  <w:style w:type="paragraph" w:customStyle="1" w:styleId="164">
    <w:name w:val="样式26"/>
    <w:basedOn w:val="165"/>
    <w:autoRedefine/>
    <w:qFormat/>
    <w:uiPriority w:val="0"/>
    <w:pPr>
      <w:tabs>
        <w:tab w:val="left" w:pos="0"/>
        <w:tab w:val="left" w:pos="360"/>
        <w:tab w:val="left" w:pos="540"/>
        <w:tab w:val="left" w:pos="567"/>
      </w:tabs>
    </w:pPr>
  </w:style>
  <w:style w:type="paragraph" w:customStyle="1" w:styleId="165">
    <w:name w:val="样式21"/>
    <w:basedOn w:val="166"/>
    <w:autoRedefine/>
    <w:qFormat/>
    <w:uiPriority w:val="0"/>
    <w:pPr>
      <w:tabs>
        <w:tab w:val="left" w:pos="360"/>
        <w:tab w:val="left" w:pos="567"/>
      </w:tabs>
      <w:spacing w:beforeLines="0" w:afterLines="0"/>
      <w:ind w:hanging="992"/>
    </w:pPr>
  </w:style>
  <w:style w:type="paragraph" w:customStyle="1" w:styleId="166">
    <w:name w:val="样式5"/>
    <w:basedOn w:val="167"/>
    <w:autoRedefine/>
    <w:qFormat/>
    <w:uiPriority w:val="0"/>
    <w:pPr>
      <w:tabs>
        <w:tab w:val="left" w:pos="360"/>
        <w:tab w:val="left" w:pos="567"/>
      </w:tabs>
    </w:pPr>
  </w:style>
  <w:style w:type="paragraph" w:customStyle="1" w:styleId="167">
    <w:name w:val="样式12"/>
    <w:basedOn w:val="1"/>
    <w:autoRedefine/>
    <w:qFormat/>
    <w:uiPriority w:val="0"/>
    <w:pPr>
      <w:keepNext/>
      <w:keepLines/>
      <w:tabs>
        <w:tab w:val="left" w:pos="360"/>
      </w:tabs>
      <w:spacing w:beforeLines="50" w:afterLines="50" w:line="360" w:lineRule="auto"/>
      <w:ind w:left="567" w:hanging="567"/>
      <w:outlineLvl w:val="1"/>
    </w:pPr>
    <w:rPr>
      <w:rFonts w:eastAsia="MS Mincho"/>
      <w:kern w:val="0"/>
      <w:sz w:val="28"/>
      <w:szCs w:val="28"/>
    </w:rPr>
  </w:style>
  <w:style w:type="paragraph" w:customStyle="1" w:styleId="168">
    <w:name w:val="Char Char Char Char Char Char2 Char"/>
    <w:basedOn w:val="1"/>
    <w:autoRedefine/>
    <w:qFormat/>
    <w:uiPriority w:val="0"/>
    <w:pPr>
      <w:spacing w:line="360" w:lineRule="auto"/>
      <w:ind w:firstLine="200" w:firstLineChars="200"/>
    </w:pPr>
    <w:rPr>
      <w:rFonts w:ascii="宋体" w:hAnsi="宋体" w:cs="宋体"/>
      <w:sz w:val="24"/>
    </w:rPr>
  </w:style>
  <w:style w:type="paragraph" w:customStyle="1" w:styleId="169">
    <w:name w:val="样式 表格 32 + 首行缩进:  2 字符"/>
    <w:basedOn w:val="1"/>
    <w:autoRedefine/>
    <w:qFormat/>
    <w:uiPriority w:val="0"/>
    <w:pPr>
      <w:autoSpaceDE w:val="0"/>
      <w:autoSpaceDN w:val="0"/>
      <w:adjustRightInd w:val="0"/>
      <w:spacing w:line="0" w:lineRule="atLeast"/>
      <w:ind w:firstLine="200" w:firstLineChars="200"/>
      <w:jc w:val="center"/>
      <w:textAlignment w:val="baseline"/>
    </w:pPr>
    <w:rPr>
      <w:kern w:val="0"/>
      <w:sz w:val="24"/>
      <w:szCs w:val="20"/>
    </w:rPr>
  </w:style>
  <w:style w:type="paragraph" w:customStyle="1" w:styleId="170">
    <w:name w:val="小四行居中"/>
    <w:basedOn w:val="1"/>
    <w:autoRedefine/>
    <w:qFormat/>
    <w:uiPriority w:val="0"/>
    <w:pPr>
      <w:autoSpaceDE w:val="0"/>
      <w:autoSpaceDN w:val="0"/>
      <w:adjustRightInd w:val="0"/>
      <w:snapToGrid w:val="0"/>
      <w:spacing w:line="480" w:lineRule="exact"/>
      <w:ind w:left="-6" w:firstLine="401" w:firstLineChars="167"/>
      <w:textAlignment w:val="center"/>
    </w:pPr>
    <w:rPr>
      <w:rFonts w:ascii="宋体" w:hAnsi="宋体"/>
      <w:sz w:val="24"/>
    </w:rPr>
  </w:style>
  <w:style w:type="paragraph" w:customStyle="1" w:styleId="171">
    <w:name w:val="标准正文"/>
    <w:basedOn w:val="1"/>
    <w:autoRedefine/>
    <w:qFormat/>
    <w:uiPriority w:val="0"/>
    <w:pPr>
      <w:spacing w:line="360" w:lineRule="auto"/>
      <w:ind w:firstLine="480" w:firstLineChars="200"/>
      <w:jc w:val="center"/>
    </w:pPr>
    <w:rPr>
      <w:rFonts w:ascii="宋体" w:hAnsi="宋体" w:cs="宋体"/>
      <w:bCs/>
      <w:kern w:val="0"/>
      <w:sz w:val="24"/>
    </w:rPr>
  </w:style>
  <w:style w:type="paragraph" w:customStyle="1" w:styleId="172">
    <w:name w:val="xzz"/>
    <w:basedOn w:val="1"/>
    <w:autoRedefine/>
    <w:qFormat/>
    <w:uiPriority w:val="0"/>
    <w:pPr>
      <w:ind w:firstLine="480" w:firstLineChars="200"/>
    </w:pPr>
    <w:rPr>
      <w:sz w:val="24"/>
    </w:rPr>
  </w:style>
  <w:style w:type="paragraph" w:customStyle="1" w:styleId="173">
    <w:name w:val="Char221"/>
    <w:basedOn w:val="1"/>
    <w:autoRedefine/>
    <w:qFormat/>
    <w:uiPriority w:val="0"/>
    <w:pPr>
      <w:spacing w:line="360" w:lineRule="auto"/>
      <w:ind w:firstLine="200" w:firstLineChars="200"/>
    </w:pPr>
    <w:rPr>
      <w:rFonts w:ascii="宋体" w:hAnsi="宋体" w:cs="宋体"/>
      <w:sz w:val="24"/>
    </w:rPr>
  </w:style>
  <w:style w:type="paragraph" w:customStyle="1" w:styleId="174">
    <w:name w:val="Char Char Char1"/>
    <w:basedOn w:val="1"/>
    <w:autoRedefine/>
    <w:qFormat/>
    <w:uiPriority w:val="0"/>
    <w:rPr>
      <w:sz w:val="24"/>
    </w:rPr>
  </w:style>
  <w:style w:type="paragraph" w:customStyle="1" w:styleId="175">
    <w:name w:val="a表格"/>
    <w:basedOn w:val="1"/>
    <w:autoRedefine/>
    <w:qFormat/>
    <w:uiPriority w:val="0"/>
    <w:pPr>
      <w:snapToGrid w:val="0"/>
      <w:jc w:val="center"/>
      <w:outlineLvl w:val="2"/>
    </w:pPr>
    <w:rPr>
      <w:szCs w:val="21"/>
    </w:rPr>
  </w:style>
  <w:style w:type="paragraph" w:customStyle="1" w:styleId="176">
    <w:name w:val="A1级标题"/>
    <w:basedOn w:val="1"/>
    <w:autoRedefine/>
    <w:qFormat/>
    <w:uiPriority w:val="0"/>
    <w:pPr>
      <w:spacing w:afterLines="50"/>
    </w:pPr>
    <w:rPr>
      <w:b/>
      <w:sz w:val="28"/>
    </w:rPr>
  </w:style>
  <w:style w:type="paragraph" w:customStyle="1" w:styleId="177">
    <w:name w:val="表格 32"/>
    <w:basedOn w:val="1"/>
    <w:autoRedefine/>
    <w:qFormat/>
    <w:uiPriority w:val="0"/>
    <w:pPr>
      <w:autoSpaceDE w:val="0"/>
      <w:autoSpaceDN w:val="0"/>
      <w:adjustRightInd w:val="0"/>
      <w:jc w:val="center"/>
    </w:pPr>
    <w:rPr>
      <w:rFonts w:ascii="宋体" w:hAnsi="Impact"/>
      <w:kern w:val="24"/>
      <w:sz w:val="24"/>
      <w:szCs w:val="20"/>
    </w:rPr>
  </w:style>
  <w:style w:type="paragraph" w:customStyle="1" w:styleId="178">
    <w:name w:val="Char22"/>
    <w:basedOn w:val="1"/>
    <w:autoRedefine/>
    <w:semiHidden/>
    <w:qFormat/>
    <w:uiPriority w:val="0"/>
    <w:pPr>
      <w:spacing w:line="360" w:lineRule="auto"/>
      <w:ind w:firstLine="200" w:firstLineChars="200"/>
    </w:pPr>
    <w:rPr>
      <w:rFonts w:ascii="宋体" w:hAnsi="宋体" w:cs="宋体"/>
      <w:sz w:val="24"/>
      <w:szCs w:val="20"/>
    </w:rPr>
  </w:style>
  <w:style w:type="paragraph" w:customStyle="1" w:styleId="179">
    <w:name w:val="3"/>
    <w:basedOn w:val="1"/>
    <w:autoRedefine/>
    <w:qFormat/>
    <w:uiPriority w:val="0"/>
  </w:style>
  <w:style w:type="paragraph" w:customStyle="1" w:styleId="180">
    <w:name w:val="样式 样式1 + 非加宽量 / 紧缩量  行距: 1.5 倍行距"/>
    <w:basedOn w:val="1"/>
    <w:autoRedefine/>
    <w:qFormat/>
    <w:uiPriority w:val="0"/>
    <w:pPr>
      <w:spacing w:before="120" w:after="120"/>
      <w:ind w:firstLine="523" w:firstLineChars="218"/>
    </w:pPr>
    <w:rPr>
      <w:rFonts w:cs="宋体"/>
      <w:sz w:val="24"/>
      <w:szCs w:val="20"/>
    </w:rPr>
  </w:style>
  <w:style w:type="paragraph" w:customStyle="1" w:styleId="181">
    <w:name w:val="样式1"/>
    <w:basedOn w:val="1"/>
    <w:autoRedefine/>
    <w:qFormat/>
    <w:uiPriority w:val="0"/>
    <w:pPr>
      <w:spacing w:line="500" w:lineRule="exact"/>
      <w:ind w:firstLine="496" w:firstLineChars="200"/>
    </w:pPr>
    <w:rPr>
      <w:spacing w:val="4"/>
      <w:sz w:val="24"/>
      <w:szCs w:val="20"/>
    </w:rPr>
  </w:style>
  <w:style w:type="paragraph" w:customStyle="1" w:styleId="182">
    <w:name w:val="Char Char Char Char Char Char Char1"/>
    <w:basedOn w:val="1"/>
    <w:autoRedefine/>
    <w:qFormat/>
    <w:uiPriority w:val="0"/>
  </w:style>
  <w:style w:type="paragraph" w:customStyle="1" w:styleId="183">
    <w:name w:val="表格2"/>
    <w:basedOn w:val="1"/>
    <w:next w:val="1"/>
    <w:autoRedefine/>
    <w:qFormat/>
    <w:uiPriority w:val="0"/>
    <w:pPr>
      <w:topLinePunct/>
      <w:autoSpaceDE w:val="0"/>
      <w:autoSpaceDN w:val="0"/>
      <w:adjustRightInd w:val="0"/>
      <w:jc w:val="center"/>
      <w:textAlignment w:val="baseline"/>
    </w:pPr>
    <w:rPr>
      <w:rFonts w:ascii="宋体" w:hAnsi="Impact"/>
      <w:kern w:val="24"/>
      <w:position w:val="-28"/>
      <w:szCs w:val="20"/>
    </w:rPr>
  </w:style>
  <w:style w:type="paragraph" w:customStyle="1" w:styleId="184">
    <w:name w:val="Char Char"/>
    <w:basedOn w:val="1"/>
    <w:autoRedefine/>
    <w:qFormat/>
    <w:uiPriority w:val="0"/>
    <w:pPr>
      <w:snapToGrid w:val="0"/>
      <w:spacing w:line="440" w:lineRule="atLeast"/>
    </w:pPr>
    <w:rPr>
      <w:szCs w:val="20"/>
    </w:rPr>
  </w:style>
  <w:style w:type="paragraph" w:customStyle="1" w:styleId="185">
    <w:name w:val="表格1"/>
    <w:basedOn w:val="1"/>
    <w:next w:val="1"/>
    <w:autoRedefine/>
    <w:qFormat/>
    <w:uiPriority w:val="0"/>
    <w:pPr>
      <w:topLinePunct/>
      <w:autoSpaceDE w:val="0"/>
      <w:autoSpaceDN w:val="0"/>
      <w:adjustRightInd w:val="0"/>
      <w:jc w:val="center"/>
      <w:textAlignment w:val="baseline"/>
    </w:pPr>
    <w:rPr>
      <w:rFonts w:ascii="宋体" w:hAnsi="Impact"/>
      <w:kern w:val="24"/>
      <w:sz w:val="28"/>
      <w:szCs w:val="20"/>
    </w:rPr>
  </w:style>
  <w:style w:type="paragraph" w:customStyle="1" w:styleId="186">
    <w:name w:val="Char Char Char2 Char"/>
    <w:basedOn w:val="1"/>
    <w:autoRedefine/>
    <w:qFormat/>
    <w:uiPriority w:val="0"/>
    <w:pPr>
      <w:numPr>
        <w:ilvl w:val="0"/>
        <w:numId w:val="4"/>
      </w:numPr>
      <w:tabs>
        <w:tab w:val="left" w:pos="425"/>
      </w:tabs>
    </w:pPr>
    <w:rPr>
      <w:rFonts w:ascii="宋体"/>
      <w:sz w:val="28"/>
      <w:szCs w:val="20"/>
    </w:rPr>
  </w:style>
  <w:style w:type="paragraph" w:customStyle="1" w:styleId="187">
    <w:name w:val="样式 报告1 + 左侧:  0 厘米"/>
    <w:basedOn w:val="1"/>
    <w:autoRedefine/>
    <w:qFormat/>
    <w:uiPriority w:val="0"/>
    <w:pPr>
      <w:tabs>
        <w:tab w:val="left" w:pos="851"/>
        <w:tab w:val="left" w:pos="5220"/>
      </w:tabs>
      <w:adjustRightInd w:val="0"/>
      <w:spacing w:line="360" w:lineRule="auto"/>
      <w:ind w:firstLine="480"/>
      <w:textAlignment w:val="baseline"/>
    </w:pPr>
    <w:rPr>
      <w:rFonts w:ascii="宋体" w:hAnsi="宋体" w:cs="宋体"/>
      <w:color w:val="FF0000"/>
      <w:spacing w:val="8"/>
      <w:kern w:val="0"/>
      <w:sz w:val="24"/>
    </w:rPr>
  </w:style>
  <w:style w:type="paragraph" w:customStyle="1" w:styleId="188">
    <w:name w:val="TOC 标题1"/>
    <w:basedOn w:val="2"/>
    <w:next w:val="1"/>
    <w:autoRedefine/>
    <w:qFormat/>
    <w:uiPriority w:val="39"/>
    <w:pPr>
      <w:widowControl/>
      <w:tabs>
        <w:tab w:val="clear" w:pos="432"/>
      </w:tabs>
      <w:spacing w:before="240" w:line="259" w:lineRule="auto"/>
      <w:jc w:val="left"/>
      <w:outlineLvl w:val="9"/>
    </w:pPr>
    <w:rPr>
      <w:rFonts w:ascii="Calibri Light" w:hAnsi="Calibri Light"/>
      <w:b w:val="0"/>
      <w:bCs w:val="0"/>
      <w:color w:val="2E74B5"/>
      <w:kern w:val="0"/>
      <w:sz w:val="32"/>
      <w:szCs w:val="32"/>
    </w:rPr>
  </w:style>
  <w:style w:type="paragraph" w:customStyle="1" w:styleId="189">
    <w:name w:val="样式 样式 (中文) 仿宋_GB2312 居中1 + 小四"/>
    <w:basedOn w:val="1"/>
    <w:autoRedefine/>
    <w:qFormat/>
    <w:uiPriority w:val="0"/>
    <w:pPr>
      <w:jc w:val="center"/>
    </w:pPr>
    <w:rPr>
      <w:rFonts w:cs="宋体"/>
      <w:b/>
      <w:color w:val="000000"/>
      <w:szCs w:val="21"/>
    </w:rPr>
  </w:style>
  <w:style w:type="paragraph" w:customStyle="1" w:styleId="190">
    <w:name w:val="Char3"/>
    <w:basedOn w:val="1"/>
    <w:autoRedefine/>
    <w:qFormat/>
    <w:uiPriority w:val="0"/>
    <w:pPr>
      <w:snapToGrid w:val="0"/>
      <w:spacing w:line="360" w:lineRule="auto"/>
      <w:ind w:firstLine="529" w:firstLineChars="200"/>
    </w:pPr>
    <w:rPr>
      <w:rFonts w:ascii="宋体" w:hAnsi="宋体"/>
      <w:b/>
    </w:rPr>
  </w:style>
  <w:style w:type="paragraph" w:customStyle="1" w:styleId="191">
    <w:name w:val="正文 32"/>
    <w:basedOn w:val="1"/>
    <w:autoRedefine/>
    <w:qFormat/>
    <w:uiPriority w:val="0"/>
    <w:pPr>
      <w:autoSpaceDE w:val="0"/>
      <w:autoSpaceDN w:val="0"/>
      <w:adjustRightInd w:val="0"/>
      <w:spacing w:line="300" w:lineRule="auto"/>
      <w:ind w:firstLine="567"/>
    </w:pPr>
    <w:rPr>
      <w:rFonts w:eastAsia="楷体_GB2312"/>
      <w:kern w:val="0"/>
      <w:sz w:val="24"/>
      <w:szCs w:val="20"/>
    </w:rPr>
  </w:style>
  <w:style w:type="character" w:customStyle="1" w:styleId="192">
    <w:name w:val="报告表正文 Char"/>
    <w:link w:val="64"/>
    <w:autoRedefine/>
    <w:qFormat/>
    <w:uiPriority w:val="0"/>
    <w:rPr>
      <w:color w:val="000000"/>
      <w:kern w:val="2"/>
      <w:sz w:val="24"/>
      <w:szCs w:val="24"/>
    </w:rPr>
  </w:style>
  <w:style w:type="table" w:customStyle="1" w:styleId="193">
    <w:name w:val="网格型1"/>
    <w:basedOn w:val="48"/>
    <w:autoRedefine/>
    <w:qFormat/>
    <w:uiPriority w:val="39"/>
    <w:pPr>
      <w:widowControl w:val="0"/>
      <w:adjustRightInd w:val="0"/>
      <w:snapToGrid w:val="0"/>
      <w:jc w:val="both"/>
    </w:p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jc w:val="center"/>
    </w:trPr>
    <w:tcPr>
      <w:vAlign w:val="center"/>
    </w:tcPr>
    <w:tblStylePr w:type="firstRow">
      <w:rPr>
        <w:rFonts w:eastAsia="MS Gothic"/>
        <w:sz w:val="21"/>
      </w:rPr>
      <w:tcPr>
        <w:tcBorders>
          <w:top w:val="single" w:color="auto" w:sz="12" w:space="0"/>
          <w:left w:val="single" w:color="auto" w:sz="4" w:space="0"/>
          <w:bottom w:val="single" w:color="auto" w:sz="12" w:space="0"/>
          <w:right w:val="single" w:color="auto" w:sz="12" w:space="0"/>
          <w:insideH w:val="nil"/>
          <w:insideV w:val="single" w:sz="4" w:space="0"/>
          <w:tl2br w:val="nil"/>
          <w:tr2bl w:val="nil"/>
        </w:tcBorders>
        <w:shd w:val="clear" w:color="auto" w:fill="D8D8D8"/>
      </w:tcPr>
    </w:tblStylePr>
  </w:style>
  <w:style w:type="paragraph" w:customStyle="1" w:styleId="194">
    <w:name w:val="图题"/>
    <w:basedOn w:val="9"/>
    <w:autoRedefine/>
    <w:qFormat/>
    <w:uiPriority w:val="0"/>
    <w:pPr>
      <w:numPr>
        <w:numId w:val="5"/>
      </w:numPr>
    </w:pPr>
  </w:style>
  <w:style w:type="paragraph" w:customStyle="1" w:styleId="195">
    <w:name w:val="报告表表格"/>
    <w:autoRedefine/>
    <w:qFormat/>
    <w:uiPriority w:val="0"/>
    <w:pPr>
      <w:jc w:val="center"/>
    </w:pPr>
    <w:rPr>
      <w:rFonts w:ascii="Times New Roman" w:hAnsi="Times New Roman" w:eastAsia="宋体" w:cs="Times New Roman"/>
      <w:color w:val="000000"/>
      <w:kern w:val="2"/>
      <w:sz w:val="21"/>
      <w:szCs w:val="22"/>
      <w:lang w:val="en-US" w:eastAsia="zh-CN" w:bidi="ar-SA"/>
    </w:rPr>
  </w:style>
  <w:style w:type="character" w:customStyle="1" w:styleId="196">
    <w:name w:val="表格 Char"/>
    <w:link w:val="197"/>
    <w:autoRedefine/>
    <w:qFormat/>
    <w:uiPriority w:val="0"/>
    <w:rPr>
      <w:rFonts w:ascii="宋体"/>
      <w:sz w:val="21"/>
    </w:rPr>
  </w:style>
  <w:style w:type="paragraph" w:customStyle="1" w:styleId="197">
    <w:name w:val="表格"/>
    <w:basedOn w:val="1"/>
    <w:next w:val="1"/>
    <w:link w:val="196"/>
    <w:autoRedefine/>
    <w:qFormat/>
    <w:uiPriority w:val="0"/>
    <w:pPr>
      <w:adjustRightInd w:val="0"/>
      <w:snapToGrid w:val="0"/>
      <w:spacing w:beforeLines="10" w:afterLines="10" w:line="259" w:lineRule="auto"/>
      <w:jc w:val="center"/>
    </w:pPr>
    <w:rPr>
      <w:rFonts w:ascii="宋体"/>
      <w:kern w:val="0"/>
      <w:szCs w:val="20"/>
    </w:rPr>
  </w:style>
  <w:style w:type="character" w:customStyle="1" w:styleId="198">
    <w:name w:val="font31"/>
    <w:autoRedefine/>
    <w:qFormat/>
    <w:uiPriority w:val="0"/>
    <w:rPr>
      <w:rFonts w:hint="eastAsia" w:ascii="宋体" w:hAnsi="宋体" w:eastAsia="宋体"/>
      <w:color w:val="000000"/>
      <w:sz w:val="21"/>
      <w:szCs w:val="21"/>
      <w:u w:val="none"/>
    </w:rPr>
  </w:style>
  <w:style w:type="character" w:customStyle="1" w:styleId="199">
    <w:name w:val="font21"/>
    <w:autoRedefine/>
    <w:qFormat/>
    <w:uiPriority w:val="0"/>
    <w:rPr>
      <w:rFonts w:hint="default" w:ascii="Times New Roman" w:hAnsi="Times New Roman" w:cs="Times New Roman"/>
      <w:color w:val="000000"/>
      <w:sz w:val="21"/>
      <w:szCs w:val="21"/>
      <w:u w:val="none"/>
    </w:rPr>
  </w:style>
  <w:style w:type="character" w:customStyle="1" w:styleId="200">
    <w:name w:val="font11"/>
    <w:autoRedefine/>
    <w:qFormat/>
    <w:uiPriority w:val="0"/>
    <w:rPr>
      <w:rFonts w:hint="default" w:ascii="Times New Roman" w:hAnsi="Times New Roman" w:cs="Times New Roman"/>
      <w:color w:val="000000"/>
      <w:sz w:val="21"/>
      <w:szCs w:val="21"/>
      <w:u w:val="none"/>
      <w:vertAlign w:val="superscript"/>
    </w:rPr>
  </w:style>
  <w:style w:type="table" w:customStyle="1" w:styleId="201">
    <w:name w:val="标准表格"/>
    <w:basedOn w:val="48"/>
    <w:autoRedefine/>
    <w:qFormat/>
    <w:uiPriority w:val="99"/>
    <w:pPr>
      <w:spacing w:before="74"/>
      <w:jc w:val="center"/>
    </w:pPr>
    <w:rPr>
      <w:sz w:val="18"/>
    </w:rPr>
    <w:tblPr>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rPr>
      <w:jc w:val="center"/>
    </w:trPr>
    <w:tcPr>
      <w:shd w:val="clear" w:color="auto" w:fill="FFFFFF"/>
      <w:vAlign w:val="center"/>
    </w:tcPr>
    <w:tblStylePr w:type="firstRow">
      <w:pPr>
        <w:wordWrap/>
        <w:spacing w:beforeLines="0" w:beforeAutospacing="0" w:afterLines="0" w:afterAutospacing="0" w:line="240" w:lineRule="auto"/>
        <w:ind w:left="0" w:leftChars="0" w:right="0" w:rightChars="0" w:firstLine="0" w:firstLineChars="0"/>
        <w:jc w:val="center"/>
      </w:pPr>
      <w:rPr>
        <w:rFonts w:eastAsia="Wingdings"/>
        <w:sz w:val="18"/>
      </w:rPr>
      <w:tblPr/>
      <w:trPr>
        <w:tblHeader/>
      </w:trPr>
    </w:tblStylePr>
    <w:tblStylePr w:type="firstCol">
      <w:pPr>
        <w:jc w:val="center"/>
      </w:pPr>
    </w:tblStylePr>
  </w:style>
  <w:style w:type="paragraph" w:customStyle="1" w:styleId="202">
    <w:name w:val="表格填充内容"/>
    <w:basedOn w:val="23"/>
    <w:link w:val="203"/>
    <w:autoRedefine/>
    <w:qFormat/>
    <w:uiPriority w:val="0"/>
    <w:pPr>
      <w:jc w:val="center"/>
    </w:pPr>
    <w:rPr>
      <w:sz w:val="24"/>
      <w:lang w:val="zh-CN"/>
    </w:rPr>
  </w:style>
  <w:style w:type="character" w:customStyle="1" w:styleId="203">
    <w:name w:val="表格填充内容 Char"/>
    <w:link w:val="202"/>
    <w:autoRedefine/>
    <w:qFormat/>
    <w:uiPriority w:val="0"/>
    <w:rPr>
      <w:color w:val="FF0000"/>
      <w:kern w:val="2"/>
      <w:sz w:val="24"/>
      <w:szCs w:val="24"/>
      <w:lang w:val="zh-CN"/>
    </w:rPr>
  </w:style>
  <w:style w:type="paragraph" w:customStyle="1" w:styleId="204">
    <w:name w:val="报告表正文标注文字"/>
    <w:basedOn w:val="64"/>
    <w:link w:val="205"/>
    <w:autoRedefine/>
    <w:qFormat/>
    <w:uiPriority w:val="0"/>
    <w:pPr>
      <w:ind w:firstLine="482"/>
    </w:pPr>
    <w:rPr>
      <w:b/>
      <w:color w:val="FF0000"/>
      <w:lang w:val="zh-CN"/>
    </w:rPr>
  </w:style>
  <w:style w:type="character" w:customStyle="1" w:styleId="205">
    <w:name w:val="报告表正文标注文字 Char"/>
    <w:link w:val="204"/>
    <w:autoRedefine/>
    <w:qFormat/>
    <w:uiPriority w:val="0"/>
    <w:rPr>
      <w:b/>
      <w:color w:val="FF0000"/>
      <w:kern w:val="2"/>
      <w:sz w:val="24"/>
      <w:szCs w:val="24"/>
      <w:lang w:val="zh-CN"/>
    </w:rPr>
  </w:style>
  <w:style w:type="paragraph" w:customStyle="1" w:styleId="206">
    <w:name w:val="标题1"/>
    <w:basedOn w:val="1"/>
    <w:autoRedefine/>
    <w:qFormat/>
    <w:uiPriority w:val="0"/>
    <w:pPr>
      <w:spacing w:line="360" w:lineRule="auto"/>
    </w:pPr>
    <w:rPr>
      <w:rFonts w:ascii="宋体" w:hAnsi="宋体"/>
      <w:b/>
      <w:bCs/>
      <w:sz w:val="28"/>
      <w:szCs w:val="28"/>
    </w:rPr>
  </w:style>
  <w:style w:type="paragraph" w:customStyle="1" w:styleId="207">
    <w:name w:val="！表格文字"/>
    <w:basedOn w:val="1"/>
    <w:autoRedefine/>
    <w:qFormat/>
    <w:uiPriority w:val="0"/>
    <w:pPr>
      <w:jc w:val="center"/>
    </w:pPr>
    <w:rPr>
      <w:szCs w:val="21"/>
    </w:rPr>
  </w:style>
  <w:style w:type="paragraph" w:customStyle="1" w:styleId="208">
    <w:name w:val="表标题"/>
    <w:basedOn w:val="1"/>
    <w:autoRedefine/>
    <w:qFormat/>
    <w:uiPriority w:val="0"/>
    <w:pPr>
      <w:adjustRightInd w:val="0"/>
      <w:jc w:val="center"/>
      <w:textAlignment w:val="baseline"/>
    </w:pPr>
    <w:rPr>
      <w:kern w:val="0"/>
    </w:rPr>
  </w:style>
  <w:style w:type="paragraph" w:styleId="209">
    <w:name w:val="No Spacing"/>
    <w:link w:val="210"/>
    <w:autoRedefine/>
    <w:qFormat/>
    <w:uiPriority w:val="1"/>
    <w:pPr>
      <w:widowControl w:val="0"/>
      <w:jc w:val="center"/>
    </w:pPr>
    <w:rPr>
      <w:rFonts w:ascii="Times New Roman" w:hAnsi="Times New Roman" w:eastAsia="宋体" w:cs="Times New Roman"/>
      <w:kern w:val="2"/>
      <w:sz w:val="21"/>
      <w:lang w:val="en-US" w:eastAsia="zh-CN" w:bidi="ar-SA"/>
    </w:rPr>
  </w:style>
  <w:style w:type="character" w:customStyle="1" w:styleId="210">
    <w:name w:val="无间隔 字符"/>
    <w:link w:val="209"/>
    <w:autoRedefine/>
    <w:qFormat/>
    <w:uiPriority w:val="1"/>
    <w:rPr>
      <w:kern w:val="2"/>
      <w:sz w:val="21"/>
      <w:lang w:val="en-US" w:eastAsia="zh-CN" w:bidi="ar-SA"/>
    </w:rPr>
  </w:style>
  <w:style w:type="table" w:customStyle="1" w:styleId="211">
    <w:name w:val="TableGrid"/>
    <w:autoRedefine/>
    <w:qFormat/>
    <w:uiPriority w:val="0"/>
    <w:rPr>
      <w:rFonts w:ascii="Calibri" w:hAnsi="Calibri"/>
      <w:kern w:val="2"/>
      <w:sz w:val="21"/>
      <w:szCs w:val="22"/>
    </w:rPr>
    <w:tblPr>
      <w:tblCellMar>
        <w:top w:w="0" w:type="dxa"/>
        <w:left w:w="0" w:type="dxa"/>
        <w:bottom w:w="0" w:type="dxa"/>
        <w:right w:w="0" w:type="dxa"/>
      </w:tblCellMar>
    </w:tblPr>
  </w:style>
  <w:style w:type="paragraph" w:customStyle="1" w:styleId="212">
    <w:name w:val="1表格字体"/>
    <w:basedOn w:val="1"/>
    <w:link w:val="213"/>
    <w:autoRedefine/>
    <w:qFormat/>
    <w:uiPriority w:val="0"/>
    <w:pPr>
      <w:spacing w:line="264" w:lineRule="auto"/>
      <w:jc w:val="center"/>
    </w:pPr>
  </w:style>
  <w:style w:type="character" w:customStyle="1" w:styleId="213">
    <w:name w:val="1表格字体 Char"/>
    <w:link w:val="212"/>
    <w:autoRedefine/>
    <w:qFormat/>
    <w:uiPriority w:val="0"/>
  </w:style>
  <w:style w:type="paragraph" w:customStyle="1" w:styleId="214">
    <w:name w:val="Table Paragraph"/>
    <w:basedOn w:val="1"/>
    <w:autoRedefine/>
    <w:qFormat/>
    <w:uiPriority w:val="1"/>
    <w:rPr>
      <w:rFonts w:ascii="宋体" w:hAnsi="宋体" w:cs="宋体"/>
      <w:lang w:val="zh-CN" w:bidi="zh-CN"/>
    </w:rPr>
  </w:style>
  <w:style w:type="paragraph" w:customStyle="1" w:styleId="215">
    <w:name w:val="样式3"/>
    <w:basedOn w:val="216"/>
    <w:autoRedefine/>
    <w:qFormat/>
    <w:uiPriority w:val="0"/>
    <w:pPr>
      <w:keepNext/>
      <w:pageBreakBefore/>
      <w:widowControl/>
      <w:numPr>
        <w:ilvl w:val="1"/>
        <w:numId w:val="6"/>
      </w:numPr>
      <w:tabs>
        <w:tab w:val="left" w:pos="900"/>
      </w:tabs>
      <w:spacing w:line="360" w:lineRule="auto"/>
      <w:jc w:val="center"/>
    </w:pPr>
    <w:rPr>
      <w:b/>
      <w:color w:val="0000FF"/>
      <w:kern w:val="0"/>
    </w:rPr>
  </w:style>
  <w:style w:type="paragraph" w:customStyle="1" w:styleId="216">
    <w:name w:val="正文2"/>
    <w:basedOn w:val="1"/>
    <w:qFormat/>
    <w:uiPriority w:val="0"/>
    <w:pPr>
      <w:ind w:firstLine="480"/>
    </w:pPr>
    <w:rPr>
      <w:rFonts w:ascii="Calibri" w:hAnsi="Calibri"/>
      <w:bCs/>
      <w:sz w:val="24"/>
      <w:szCs w:val="28"/>
    </w:rPr>
  </w:style>
  <w:style w:type="character" w:customStyle="1" w:styleId="217">
    <w:name w:val="正文文本 Char1"/>
    <w:autoRedefine/>
    <w:qFormat/>
    <w:uiPriority w:val="0"/>
    <w:rPr>
      <w:sz w:val="18"/>
    </w:rPr>
  </w:style>
  <w:style w:type="character" w:customStyle="1" w:styleId="218">
    <w:name w:val="Default Char"/>
    <w:link w:val="65"/>
    <w:autoRedefine/>
    <w:qFormat/>
    <w:uiPriority w:val="0"/>
    <w:rPr>
      <w:rFonts w:ascii="宋体" w:cs="宋体"/>
      <w:color w:val="000000"/>
      <w:kern w:val="2"/>
      <w:sz w:val="24"/>
      <w:szCs w:val="24"/>
    </w:rPr>
  </w:style>
  <w:style w:type="paragraph" w:customStyle="1" w:styleId="219">
    <w:name w:val="图文"/>
    <w:basedOn w:val="1"/>
    <w:autoRedefine/>
    <w:qFormat/>
    <w:uiPriority w:val="0"/>
    <w:pPr>
      <w:adjustRightInd w:val="0"/>
      <w:snapToGrid w:val="0"/>
      <w:spacing w:line="240" w:lineRule="atLeast"/>
    </w:pPr>
    <w:rPr>
      <w:rFonts w:ascii="Calibri" w:hAnsi="Calibri"/>
      <w:sz w:val="24"/>
      <w:szCs w:val="22"/>
    </w:rPr>
  </w:style>
  <w:style w:type="paragraph" w:customStyle="1" w:styleId="220">
    <w:name w:val="表格正文"/>
    <w:next w:val="1"/>
    <w:autoRedefine/>
    <w:qFormat/>
    <w:uiPriority w:val="0"/>
    <w:pPr>
      <w:widowControl w:val="0"/>
      <w:spacing w:line="300" w:lineRule="exact"/>
      <w:jc w:val="center"/>
    </w:pPr>
    <w:rPr>
      <w:rFonts w:ascii="Times New Roman" w:hAnsi="Times New Roman" w:eastAsia="Times New Roman" w:cs="宋体"/>
      <w:sz w:val="21"/>
      <w:szCs w:val="21"/>
      <w:lang w:val="en-US" w:eastAsia="zh-CN" w:bidi="ar-SA"/>
    </w:rPr>
  </w:style>
  <w:style w:type="character" w:customStyle="1" w:styleId="221">
    <w:name w:val="题注 Char1"/>
    <w:autoRedefine/>
    <w:qFormat/>
    <w:uiPriority w:val="35"/>
    <w:rPr>
      <w:rFonts w:ascii="Cambria" w:hAnsi="Cambria" w:eastAsia="Times New Roman"/>
      <w:b/>
      <w:kern w:val="2"/>
      <w:sz w:val="21"/>
      <w:lang w:val="zh-CN"/>
    </w:rPr>
  </w:style>
  <w:style w:type="paragraph" w:customStyle="1" w:styleId="222">
    <w:name w:val="修订1"/>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223">
    <w:name w:val="TOC 标题2"/>
    <w:basedOn w:val="2"/>
    <w:next w:val="1"/>
    <w:autoRedefine/>
    <w:semiHidden/>
    <w:unhideWhenUsed/>
    <w:qFormat/>
    <w:uiPriority w:val="39"/>
    <w:pPr>
      <w:widowControl/>
      <w:tabs>
        <w:tab w:val="clear" w:pos="432"/>
      </w:tabs>
      <w:spacing w:before="480" w:line="276" w:lineRule="auto"/>
      <w:jc w:val="left"/>
      <w:outlineLvl w:val="9"/>
    </w:pPr>
    <w:rPr>
      <w:rFonts w:asciiTheme="majorHAnsi" w:hAnsiTheme="majorHAnsi" w:eastAsiaTheme="majorEastAsia" w:cstheme="majorBidi"/>
      <w:color w:val="2F5597" w:themeColor="accent1" w:themeShade="BF"/>
      <w:kern w:val="0"/>
      <w:szCs w:val="28"/>
    </w:rPr>
  </w:style>
  <w:style w:type="character" w:customStyle="1" w:styleId="224">
    <w:name w:val="正文文本首行缩进 2 字符"/>
    <w:basedOn w:val="78"/>
    <w:link w:val="47"/>
    <w:autoRedefine/>
    <w:qFormat/>
    <w:uiPriority w:val="0"/>
    <w:rPr>
      <w:spacing w:val="4"/>
      <w:sz w:val="21"/>
    </w:rPr>
  </w:style>
  <w:style w:type="table" w:customStyle="1" w:styleId="225">
    <w:name w:val="普通表格1"/>
    <w:autoRedefine/>
    <w:qFormat/>
    <w:uiPriority w:val="0"/>
    <w:tblPr>
      <w:tblCellMar>
        <w:top w:w="0" w:type="dxa"/>
        <w:left w:w="108" w:type="dxa"/>
        <w:bottom w:w="0" w:type="dxa"/>
        <w:right w:w="108" w:type="dxa"/>
      </w:tblCellMar>
    </w:tblPr>
  </w:style>
  <w:style w:type="paragraph" w:customStyle="1" w:styleId="226">
    <w:name w:val="正文首行缩进 211"/>
    <w:basedOn w:val="227"/>
    <w:autoRedefine/>
    <w:qFormat/>
    <w:uiPriority w:val="0"/>
    <w:pPr>
      <w:ind w:firstLine="210"/>
    </w:pPr>
    <w:rPr>
      <w:sz w:val="21"/>
    </w:rPr>
  </w:style>
  <w:style w:type="paragraph" w:customStyle="1" w:styleId="227">
    <w:name w:val="正文文本缩进1"/>
    <w:basedOn w:val="1"/>
    <w:autoRedefine/>
    <w:qFormat/>
    <w:uiPriority w:val="0"/>
    <w:pPr>
      <w:spacing w:after="120"/>
      <w:ind w:left="420" w:leftChars="200"/>
    </w:pPr>
    <w:rPr>
      <w:kern w:val="0"/>
      <w:sz w:val="24"/>
      <w:szCs w:val="20"/>
    </w:rPr>
  </w:style>
  <w:style w:type="paragraph" w:customStyle="1" w:styleId="228">
    <w:name w:val="正文（YHY-GDB)"/>
    <w:basedOn w:val="1"/>
    <w:autoRedefine/>
    <w:qFormat/>
    <w:uiPriority w:val="0"/>
    <w:pPr>
      <w:spacing w:beforeLines="50" w:afterLines="50" w:line="360" w:lineRule="auto"/>
      <w:ind w:firstLine="200" w:firstLineChars="200"/>
    </w:pPr>
    <w:rPr>
      <w:sz w:val="24"/>
    </w:rPr>
  </w:style>
  <w:style w:type="paragraph" w:customStyle="1" w:styleId="229">
    <w:name w:val="正文正常"/>
    <w:basedOn w:val="1"/>
    <w:qFormat/>
    <w:uiPriority w:val="0"/>
    <w:pPr>
      <w:spacing w:line="360" w:lineRule="auto"/>
      <w:ind w:firstLine="480" w:firstLineChars="200"/>
      <w:jc w:val="left"/>
      <w:textAlignment w:val="bottom"/>
    </w:pPr>
    <w:rPr>
      <w:rFonts w:ascii="Calibri" w:hAnsi="Calibri"/>
      <w:sz w:val="24"/>
    </w:rPr>
  </w:style>
  <w:style w:type="paragraph" w:customStyle="1" w:styleId="230">
    <w:name w:val="Table Text"/>
    <w:basedOn w:val="1"/>
    <w:semiHidden/>
    <w:qFormat/>
    <w:uiPriority w:val="0"/>
    <w:rPr>
      <w:rFonts w:ascii="宋体" w:hAnsi="宋体" w:cs="宋体"/>
      <w:sz w:val="20"/>
      <w:szCs w:val="20"/>
      <w:lang w:eastAsia="en-US"/>
    </w:rPr>
  </w:style>
  <w:style w:type="table" w:customStyle="1" w:styleId="231">
    <w:name w:val="Table Normal"/>
    <w:unhideWhenUsed/>
    <w:qFormat/>
    <w:uiPriority w:val="0"/>
    <w:tblPr>
      <w:tblCellMar>
        <w:top w:w="0" w:type="dxa"/>
        <w:left w:w="0" w:type="dxa"/>
        <w:bottom w:w="0" w:type="dxa"/>
        <w:right w:w="0" w:type="dxa"/>
      </w:tblCellMar>
    </w:tblPr>
  </w:style>
  <w:style w:type="paragraph" w:customStyle="1" w:styleId="232">
    <w:name w:val="自定表格"/>
    <w:basedOn w:val="1"/>
    <w:qFormat/>
    <w:uiPriority w:val="0"/>
    <w:pPr>
      <w:autoSpaceDE w:val="0"/>
      <w:autoSpaceDN w:val="0"/>
      <w:adjustRightInd w:val="0"/>
      <w:jc w:val="center"/>
      <w:textAlignment w:val="center"/>
    </w:pPr>
    <w:rPr>
      <w:rFonts w:ascii="Arial" w:hAnsi="Arial"/>
      <w:kern w:val="0"/>
      <w:szCs w:val="20"/>
    </w:rPr>
  </w:style>
  <w:style w:type="paragraph" w:customStyle="1" w:styleId="233">
    <w:name w:val="f_表格"/>
    <w:basedOn w:val="1"/>
    <w:qFormat/>
    <w:uiPriority w:val="0"/>
    <w:pPr>
      <w:wordWrap w:val="0"/>
      <w:topLinePunct/>
      <w:adjustRightInd w:val="0"/>
      <w:snapToGrid w:val="0"/>
      <w:jc w:val="center"/>
    </w:pPr>
    <w:rPr>
      <w:szCs w:val="21"/>
    </w:rPr>
  </w:style>
  <w:style w:type="paragraph" w:styleId="234">
    <w:name w:val="List Paragraph"/>
    <w:basedOn w:val="1"/>
    <w:qFormat/>
    <w:uiPriority w:val="1"/>
    <w:pPr>
      <w:ind w:firstLine="420" w:firstLineChars="200"/>
    </w:pPr>
  </w:style>
  <w:style w:type="paragraph" w:customStyle="1" w:styleId="235">
    <w:name w:val="表格字体"/>
    <w:basedOn w:val="1"/>
    <w:qFormat/>
    <w:uiPriority w:val="0"/>
    <w:pPr>
      <w:jc w:val="center"/>
    </w:pPr>
    <w:rPr>
      <w:rFonts w:ascii="Arial" w:hAnsi="Arial" w:cs="宋体"/>
      <w:szCs w:val="20"/>
    </w:rPr>
  </w:style>
  <w:style w:type="character" w:customStyle="1" w:styleId="236">
    <w:name w:val="gs_tkn"/>
    <w:basedOn w:val="52"/>
    <w:qFormat/>
    <w:uiPriority w:val="0"/>
  </w:style>
  <w:style w:type="character" w:customStyle="1" w:styleId="237">
    <w:name w:val="cf01"/>
    <w:basedOn w:val="52"/>
    <w:qFormat/>
    <w:uiPriority w:val="0"/>
    <w:rPr>
      <w:rFonts w:hint="eastAsia" w:ascii="Microsoft YaHei UI" w:hAnsi="Microsoft YaHei UI" w:eastAsia="Microsoft YaHei UI"/>
      <w:sz w:val="18"/>
      <w:szCs w:val="18"/>
      <w:shd w:val="clear" w:color="auto" w:fill="FF00FF"/>
    </w:rPr>
  </w:style>
  <w:style w:type="paragraph" w:customStyle="1" w:styleId="238">
    <w:name w:val="QQ正文"/>
    <w:basedOn w:val="1"/>
    <w:qFormat/>
    <w:uiPriority w:val="0"/>
    <w:pPr>
      <w:spacing w:line="360" w:lineRule="auto"/>
      <w:ind w:firstLine="480" w:firstLineChars="200"/>
    </w:pPr>
    <w:rPr>
      <w:szCs w:val="22"/>
    </w:rPr>
  </w:style>
  <w:style w:type="paragraph" w:customStyle="1" w:styleId="239">
    <w:name w:val="ZW"/>
    <w:basedOn w:val="240"/>
    <w:qFormat/>
    <w:uiPriority w:val="0"/>
    <w:pPr>
      <w:adjustRightInd w:val="0"/>
      <w:snapToGrid w:val="0"/>
      <w:ind w:left="0" w:firstLine="200" w:firstLineChars="200"/>
      <w:jc w:val="both"/>
    </w:pPr>
    <w:rPr>
      <w:rFonts w:ascii="Times New Roman" w:hAnsi="Times New Roman" w:eastAsia="仿宋_GB2312"/>
      <w:kern w:val="0"/>
      <w:sz w:val="28"/>
      <w:szCs w:val="24"/>
    </w:rPr>
  </w:style>
  <w:style w:type="paragraph" w:customStyle="1" w:styleId="240">
    <w:name w:val="正本"/>
    <w:basedOn w:val="1"/>
    <w:qFormat/>
    <w:uiPriority w:val="0"/>
    <w:pPr>
      <w:spacing w:line="360" w:lineRule="auto"/>
      <w:ind w:left="198"/>
      <w:jc w:val="left"/>
    </w:pPr>
    <w:rPr>
      <w:rFonts w:ascii="宋体" w:hAnsi="宋体"/>
      <w:sz w:val="24"/>
      <w:szCs w:val="20"/>
    </w:rPr>
  </w:style>
  <w:style w:type="paragraph" w:customStyle="1" w:styleId="241">
    <w:name w:val="样式 方正仿宋_GBK 三号 行距: 固定值 28 磅"/>
    <w:basedOn w:val="1"/>
    <w:qFormat/>
    <w:uiPriority w:val="0"/>
    <w:pPr>
      <w:spacing w:line="360" w:lineRule="auto"/>
      <w:ind w:firstLine="200" w:firstLineChars="200"/>
      <w:jc w:val="left"/>
    </w:pPr>
    <w:rPr>
      <w:rFonts w:ascii="方正仿宋_GBK" w:hAnsi="方正仿宋_GBK" w:cs="宋体"/>
      <w:sz w:val="28"/>
      <w:szCs w:val="20"/>
    </w:rPr>
  </w:style>
  <w:style w:type="character" w:customStyle="1" w:styleId="242">
    <w:name w:val="QQ正文 Char"/>
    <w:basedOn w:val="52"/>
    <w:qFormat/>
    <w:uiPriority w:val="0"/>
    <w:rPr>
      <w:kern w:val="2"/>
      <w:sz w:val="21"/>
      <w:szCs w:val="22"/>
    </w:rPr>
  </w:style>
  <w:style w:type="paragraph" w:customStyle="1" w:styleId="243">
    <w:name w:val="QQ表正文"/>
    <w:basedOn w:val="1"/>
    <w:link w:val="244"/>
    <w:qFormat/>
    <w:uiPriority w:val="0"/>
    <w:pPr>
      <w:keepNext w:val="0"/>
      <w:keepLines w:val="0"/>
      <w:widowControl w:val="0"/>
      <w:suppressLineNumbers w:val="0"/>
      <w:adjustRightInd w:val="0"/>
      <w:snapToGrid w:val="0"/>
      <w:spacing w:before="0" w:beforeAutospacing="0" w:after="0" w:afterAutospacing="0" w:line="360" w:lineRule="auto"/>
      <w:ind w:left="0" w:right="0" w:firstLine="200" w:firstLineChars="200"/>
      <w:jc w:val="both"/>
    </w:pPr>
    <w:rPr>
      <w:rFonts w:hint="default" w:ascii="Times New Roman" w:hAnsi="Times New Roman" w:eastAsia="宋体" w:cs="Times New Roman"/>
      <w:kern w:val="18"/>
      <w:sz w:val="21"/>
      <w:szCs w:val="21"/>
      <w:lang w:val="en-US" w:eastAsia="zh-CN" w:bidi="ar"/>
    </w:rPr>
  </w:style>
  <w:style w:type="character" w:customStyle="1" w:styleId="244">
    <w:name w:val="QQ表正文 字符"/>
    <w:basedOn w:val="52"/>
    <w:link w:val="243"/>
    <w:qFormat/>
    <w:uiPriority w:val="0"/>
    <w:rPr>
      <w:kern w:val="18"/>
      <w:sz w:val="21"/>
      <w:szCs w:val="21"/>
    </w:rPr>
  </w:style>
  <w:style w:type="character" w:customStyle="1" w:styleId="245">
    <w:name w:val="font81"/>
    <w:basedOn w:val="52"/>
    <w:qFormat/>
    <w:uiPriority w:val="0"/>
    <w:rPr>
      <w:rFonts w:hint="default" w:ascii="Times New Roman" w:hAnsi="Times New Roman" w:cs="Times New Roman"/>
      <w:b/>
      <w:bCs/>
      <w:color w:val="0F1115"/>
      <w:sz w:val="21"/>
      <w:szCs w:val="21"/>
      <w:u w:val="none"/>
    </w:rPr>
  </w:style>
  <w:style w:type="character" w:customStyle="1" w:styleId="246">
    <w:name w:val="font71"/>
    <w:basedOn w:val="52"/>
    <w:qFormat/>
    <w:uiPriority w:val="0"/>
    <w:rPr>
      <w:rFonts w:hint="default" w:ascii="Times New Roman" w:hAnsi="Times New Roman" w:cs="Times New Roman"/>
      <w:color w:val="000000"/>
      <w:sz w:val="21"/>
      <w:szCs w:val="21"/>
      <w:u w:val="none"/>
    </w:rPr>
  </w:style>
  <w:style w:type="character" w:customStyle="1" w:styleId="247">
    <w:name w:val="font41"/>
    <w:basedOn w:val="52"/>
    <w:qFormat/>
    <w:uiPriority w:val="0"/>
    <w:rPr>
      <w:rFonts w:hint="eastAsia" w:ascii="宋体" w:hAnsi="宋体" w:eastAsia="宋体" w:cs="宋体"/>
      <w:color w:val="000000"/>
      <w:sz w:val="21"/>
      <w:szCs w:val="21"/>
      <w:u w:val="none"/>
    </w:rPr>
  </w:style>
  <w:style w:type="character" w:customStyle="1" w:styleId="248">
    <w:name w:val="font51"/>
    <w:basedOn w:val="52"/>
    <w:qFormat/>
    <w:uiPriority w:val="0"/>
    <w:rPr>
      <w:rFonts w:hint="default" w:ascii="Times New Roman" w:hAnsi="Times New Roman" w:cs="Times New Roman"/>
      <w:color w:val="000000"/>
      <w:sz w:val="21"/>
      <w:szCs w:val="21"/>
      <w:u w:val="none"/>
    </w:rPr>
  </w:style>
  <w:style w:type="character" w:customStyle="1" w:styleId="249">
    <w:name w:val="font61"/>
    <w:basedOn w:val="52"/>
    <w:qFormat/>
    <w:uiPriority w:val="0"/>
    <w:rPr>
      <w:rFonts w:hint="eastAsia" w:ascii="宋体" w:hAnsi="宋体" w:eastAsia="宋体" w:cs="宋体"/>
      <w:color w:val="0F1115"/>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8" Type="http://schemas.openxmlformats.org/officeDocument/2006/relationships/fontTable" Target="fontTable.xml"/><Relationship Id="rId37" Type="http://schemas.openxmlformats.org/officeDocument/2006/relationships/customXml" Target="../customXml/item3.xml"/><Relationship Id="rId36" Type="http://schemas.openxmlformats.org/officeDocument/2006/relationships/customXml" Target="../customXml/item2.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28.jpe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jpeg"/><Relationship Id="rId28" Type="http://schemas.openxmlformats.org/officeDocument/2006/relationships/image" Target="media/image23.pn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jpe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solidFill>
            <a:prstClr val="black"/>
          </a:solidFill>
        </a:ln>
      </a:spPr>
      <a:bodyPr rot="0" vertOverflow="overflow" horzOverflow="overflow" vert="horz" wrap="square" lIns="91440" tIns="45720" rIns="91440" bIns="45720" numCol="1" spcCol="0" rtlCol="0" fromWordArt="0" anchor="t" anchorCtr="0" forceAA="0" compatLnSpc="1">
        <a:noAutofit/>
      </a:bodyPr>
      <a:lstStyle/>
      <a:style>
        <a:lnRef idx="0">
          <a:schemeClr val="accent1"/>
        </a:lnRef>
        <a:fillRef idx="0">
          <a:schemeClr val="accent1"/>
        </a:fillRef>
        <a:effectRef idx="0">
          <a:schemeClr val="accent1"/>
        </a:effectRef>
        <a:fontRef idx="minor">
          <a:schemeClr val="dk1"/>
        </a:fontRef>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contractReview xmlns="http://schemas.wps.cn/vas-ai-hub/contract-review">
  <reviewItems>
    <reviewItem>
      <errorID>247e61d4-c92d-4e89-bd7a-20401c50a95c</errorID>
      <errorWord> </errorWord>
      <group>L1_Word</group>
      <groupName>字词问题</groupName>
      <ability>L2_Typo</ability>
      <abilityName>字词错误</abilityName>
      <candidateList>
        <item>°</item>
      </candidateList>
      <explain/>
      <paraID>6206A5D7</paraID>
      <start>5</start>
      <end>6</end>
      <status>ignored</status>
      <modifiedWord/>
      <trackRevisions>false</trackRevisions>
    </reviewItem>
    <reviewItem>
      <errorID>a0e6ce8f-f5c0-40f0-8abf-a1eb019f089e</errorID>
      <errorWord> </errorWord>
      <group>L1_Word</group>
      <groupName>字词问题</groupName>
      <ability>L2_Typo</ability>
      <abilityName>字词错误</abilityName>
      <candidateList>
        <item>°</item>
      </candidateList>
      <explain/>
      <paraID>6206A5D7</paraID>
      <start>20</start>
      <end>21</end>
      <status>ignored</status>
      <modifiedWord/>
      <trackRevisions>false</trackRevisions>
    </reviewItem>
    <reviewItem>
      <errorID>1e411b0c-068f-4c3d-bfce-dc1354a81916</errorID>
      <errorWord>胶粘剂</errorWord>
      <group>L1_Word</group>
      <groupName>字词问题</groupName>
      <ability>L2_Typo</ability>
      <abilityName>字词错误</abilityName>
      <candidateList>
        <item>胶黏剂</item>
      </candidateList>
      <explain/>
      <paraID>6829D8BD</paraID>
      <start>55</start>
      <end>58</end>
      <status>ignored</status>
      <modifiedWord/>
      <trackRevisions>false</trackRevisions>
    </reviewItem>
    <reviewItem>
      <errorID>7529b26c-1073-43b7-80c3-3a1e65024bea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2D080EA4</paraID>
      <start>0</start>
      <end>2</end>
      <status>ignored</status>
      <modifiedWord/>
      <trackRevisions>false</trackRevisions>
    </reviewItem>
    <reviewItem>
      <errorID>a726e557-b9eb-4239-a8fc-c2b348062912</errorID>
      <errorWord>（按</errorWord>
      <group>L1_Word</group>
      <groupName>字词问题</groupName>
      <ability>L2_Typo</ability>
      <abilityName>字词错误</abilityName>
      <candidateList>
        <item>（</item>
      </candidateList>
      <explain/>
      <paraID>4E3795CD</paraID>
      <start>28</start>
      <end>30</end>
      <status>ignored</status>
      <modifiedWord/>
      <trackRevisions>false</trackRevisions>
    </reviewItem>
    <reviewItem>
      <errorID>c779b7be-9a47-4977-97fc-69aca899d665</errorID>
      <errorWord>（</errorWord>
      <group>L1_Punc</group>
      <groupName>标点问题</groupName>
      <ability>L2_Punc_CN</ability>
      <abilityName>标点符号问题</abilityName>
      <candidateList>
        <item>》（</item>
      </candidateList>
      <explain/>
      <paraID>4E3795CD</paraID>
      <start>39</start>
      <end>40</end>
      <status>ignored</status>
      <modifiedWord/>
      <trackRevisions>false</trackRevisions>
    </reviewItem>
    <reviewItem>
      <errorID>8d15368b-0cb2-4f09-b85b-d599a149109f</errorID>
      <errorWord>T4754</errorWord>
      <group>L1_Word</group>
      <groupName>字词问题</groupName>
      <ability>L2_Typo</ability>
      <abilityName>字词错误</abilityName>
      <candidateList>
        <item>T 4754</item>
      </candidateList>
      <explain/>
      <paraID>4E3795CD</paraID>
      <start>43</start>
      <end>48</end>
      <status>ignored</status>
      <modifiedWord/>
      <trackRevisions>false</trackRevisions>
    </reviewItem>
    <reviewItem>
      <errorID>bc96a8f8-ce45-407b-92b9-52033658469e</errorID>
      <errorWord>》</errorWord>
      <group>L1_Punc</group>
      <groupName>标点问题</groupName>
      <ability>L2_Punc_CN</ability>
      <abilityName>标点符号问题</abilityName>
      <candidateList>
        <item/>
      </candidateList>
      <explain/>
      <paraID>4E3795CD</paraID>
      <start>54</start>
      <end>54</end>
      <status>modified</status>
      <modifiedWord/>
      <trackRevisions>false</trackRevisions>
    </reviewItem>
    <reviewItem>
      <errorID>b637751d-546d-4bd9-9734-a83d63a85f9e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66C0EB7</paraID>
      <start>0</start>
      <end>2</end>
      <status>ignored</status>
      <modifiedWord/>
      <trackRevisions>false</trackRevisions>
    </reviewItem>
    <reviewItem>
      <errorID>4a561051-492a-46e9-90a7-fb120fc5d2d8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648A0BA7</paraID>
      <start>0</start>
      <end>2</end>
      <status>ignored</status>
      <modifiedWord/>
      <trackRevisions>false</trackRevisions>
    </reviewItem>
    <reviewItem>
      <errorID>415c224a-108c-4ca2-b398-dfb8712b5d99</errorID>
      <errorWord>胶粘剂</errorWord>
      <group>L1_Word</group>
      <groupName>字词问题</groupName>
      <ability>L2_Typo</ability>
      <abilityName>字词错误</abilityName>
      <candidateList>
        <item>胶黏剂</item>
      </candidateList>
      <explain/>
      <paraID>3931FF77</paraID>
      <start>41</start>
      <end>44</end>
      <status>ignored</status>
      <modifiedWord/>
      <trackRevisions>false</trackRevisions>
    </reviewItem>
    <reviewItem>
      <errorID>0fe11b93-a29e-4286-9240-cb6866c4c89a</errorID>
      <errorWord>、</errorWord>
      <group>L1_Word</group>
      <groupName>字词问题</groupName>
      <ability>L2_Typo</ability>
      <abilityName>字词错误</abilityName>
      <candidateList>
        <item>工序</item>
      </candidateList>
      <explain/>
      <paraID>33E807A9</paraID>
      <start>45</start>
      <end>47</end>
      <status>modified</status>
      <modifiedWord>工序</modifiedWord>
      <trackRevisions>false</trackRevisions>
    </reviewItem>
    <reviewItem>
      <errorID>0b653142-76e1-48d3-9fe6-821453df8f19</errorID>
      <errorWord>"</errorWord>
      <group>L1_Format</group>
      <groupName>格式问题</groupName>
      <ability>L2_HalfPunc_CN</ability>
      <abilityName>全半角问题</abilityName>
      <candidateList>
        <item>“</item>
      </candidateList>
      <explain>文本全半角错误。</explain>
      <paraID>7C49DB31</paraID>
      <start>11</start>
      <end>12</end>
      <status>modified</status>
      <modifiedWord>“</modifiedWord>
      <trackRevisions>false</trackRevisions>
    </reviewItem>
    <reviewItem>
      <errorID>50b847f3-4f66-4a8b-884b-c52c96c7b3a0</errorID>
      <errorWord>"</errorWord>
      <group>L1_Format</group>
      <groupName>格式问题</groupName>
      <ability>L2_HalfPunc_CN</ability>
      <abilityName>全半角问题</abilityName>
      <candidateList>
        <item>”</item>
      </candidateList>
      <explain>文本全半角错误。</explain>
      <paraID>7C49DB31</paraID>
      <start>21</start>
      <end>22</end>
      <status>modified</status>
      <modifiedWord>”</modifiedWord>
      <trackRevisions>false</trackRevisions>
    </reviewItem>
    <reviewItem>
      <errorID>51feb6fa-0c9f-48cb-b7aa-95334e645470</errorID>
      <errorWord>(</errorWord>
      <group>L1_Format</group>
      <groupName>格式问题</groupName>
      <ability>L2_HalfPunc_CN</ability>
      <abilityName>全半角问题</abilityName>
      <candidateList>
        <item>（</item>
      </candidateList>
      <explain>文本全半角错误。</explain>
      <paraID>1B523AD3</paraID>
      <start>10</start>
      <end>11</end>
      <status>modified</status>
      <modifiedWord>（</modifiedWord>
      <trackRevisions>false</trackRevisions>
    </reviewItem>
    <reviewItem>
      <errorID>9c8f6b74-03d6-48a8-9324-a8b480693489</errorID>
      <errorWord>)</errorWord>
      <group>L1_Format</group>
      <groupName>格式问题</groupName>
      <ability>L2_HalfPunc_CN</ability>
      <abilityName>全半角问题</abilityName>
      <candidateList>
        <item>）</item>
      </candidateList>
      <explain>文本全半角错误。</explain>
      <paraID>1B523AD3</paraID>
      <start>12</start>
      <end>13</end>
      <status>modified</status>
      <modifiedWord>）</modifiedWord>
      <trackRevisions>false</trackRevisions>
    </reviewItem>
    <reviewItem>
      <errorID>84b753a9-ccf2-459b-971f-0592ed5a0ddb</errorID>
      <errorWord>(</errorWord>
      <group>L1_Format</group>
      <groupName>格式问题</groupName>
      <ability>L2_HalfPunc_CN</ability>
      <abilityName>全半角问题</abilityName>
      <candidateList>
        <item>（</item>
      </candidateList>
      <explain>文本全半角错误。</explain>
      <paraID>1B523AD3</paraID>
      <start>53</start>
      <end>54</end>
      <status>modified</status>
      <modifiedWord>（</modifiedWord>
      <trackRevisions>false</trackRevisions>
    </reviewItem>
    <reviewItem>
      <errorID>d1c26816-dfc6-4fef-ae59-d1b61c2d3370</errorID>
      <errorWord>)</errorWord>
      <group>L1_Format</group>
      <groupName>格式问题</groupName>
      <ability>L2_HalfPunc_CN</ability>
      <abilityName>全半角问题</abilityName>
      <candidateList>
        <item>）</item>
      </candidateList>
      <explain>文本全半角错误。</explain>
      <paraID>1B523AD3</paraID>
      <start>68</start>
      <end>69</end>
      <status>modified</status>
      <modifiedWord>）</modifiedWord>
      <trackRevisions>false</trackRevisions>
    </reviewItem>
    <reviewItem>
      <errorID>5bda69e5-76b2-47e4-8cb7-24091ef835d6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6A1914B0</paraID>
      <start>0</start>
      <end>2</end>
      <status>ignored</status>
      <modifiedWord/>
      <trackRevisions>false</trackRevisions>
    </reviewItem>
    <reviewItem>
      <errorID>f3c250b5-4dad-4f23-8ec3-85d84440299f</errorID>
      <errorWord>【VOCs物料存储无组织排放控制要求】</errorWord>
      <group>L1_Punc</group>
      <groupName>标点问题</groupName>
      <ability>L2_Punc_CN</ability>
      <abilityName>标点符号问题</abilityName>
      <candidateList>
        <item> [VOCs物料存储无组织排放控制要求] </item>
      </candidateList>
      <explain/>
      <paraID>32463E52</paraID>
      <start>5</start>
      <end>24</end>
      <status>ignored</status>
      <modifiedWord/>
      <trackRevisions>false</trackRevisions>
    </reviewItem>
    <reviewItem>
      <errorID>4d8fedca-0aed-4d76-9bdf-f654d6bbe8a5</errorID>
      <errorWord>【VOCs物料转移和输送无组织排放控制要求】</errorWord>
      <group>L1_Punc</group>
      <groupName>标点问题</groupName>
      <ability>L2_Punc_CN</ability>
      <abilityName>标点符号问题</abilityName>
      <candidateList>
        <item> [VOCs物料转移和输送无组织排放控制要求] </item>
      </candidateList>
      <explain/>
      <paraID>59457538</paraID>
      <start>3</start>
      <end>25</end>
      <status>ignored</status>
      <modifiedWord/>
      <trackRevisions>false</trackRevisions>
    </reviewItem>
    <reviewItem>
      <errorID>24dedb78-5349-4b44-886f-6825778c743c</errorID>
      <errorWord>【工艺过程VOCs无组织排放控制要求】</errorWord>
      <group>L1_Punc</group>
      <groupName>标点问题</groupName>
      <ability>L2_Punc_CN</ability>
      <abilityName>标点符号问题</abilityName>
      <candidateList>
        <item> [工艺过程VOCs无组织排放控制要求]</item>
      </candidateList>
      <explain/>
      <paraID>2443ACFF</paraID>
      <start>3</start>
      <end>22</end>
      <status>ignored</status>
      <modifiedWord/>
      <trackRevisions>false</trackRevisions>
    </reviewItem>
    <reviewItem>
      <errorID>5e89962c-a001-4b3b-8b5e-c7ed01c9051b</errorID>
      <errorWord>企业</errorWord>
      <group>L1_Word</group>
      <groupName>字词问题</groupName>
      <ability>L2_Typo</ability>
      <abilityName>字词错误</abilityName>
      <candidateList>
        <item> 企业</item>
      </candidateList>
      <explain/>
      <paraID>206789F0</paraID>
      <start>7</start>
      <end>9</end>
      <status>ignored</status>
      <modifiedWord/>
      <trackRevisions>false</trackRevisions>
    </reviewItem>
    <reviewItem>
      <errorID>1f810648-0c9a-49df-8c65-d9a7eb0cec49</errorID>
      <errorWord>通风</errorWord>
      <group>L1_Word</group>
      <groupName>字词问题</groupName>
      <ability>L2_Typo</ability>
      <abilityName>字词错误</abilityName>
      <candidateList>
        <item> 通风</item>
      </candidateList>
      <explain/>
      <paraID>2C939EDD</paraID>
      <start>7</start>
      <end>9</end>
      <status>ignored</status>
      <modifiedWord/>
      <trackRevisions>false</trackRevisions>
    </reviewItem>
    <reviewItem>
      <errorID>81a4d5cf-4048-47da-85a0-971c23d77cbc</errorID>
      <errorWord>。</errorWord>
      <group>L1_Punc</group>
      <groupName>标点问题</groupName>
      <ability>L2_Punc_CN</ability>
      <abilityName>标点符号问题</abilityName>
      <candidateList>
        <item>、</item>
      </candidateList>
      <explain/>
      <paraID>2C939EDD</paraID>
      <start>18</start>
      <end>19</end>
      <status>modified</status>
      <modifiedWord>、</modifiedWord>
      <trackRevisions>false</trackRevisions>
    </reviewItem>
    <reviewItem>
      <errorID>484a26d3-bfd2-4a6f-8863-e77dd95895c3</errorID>
      <errorWord>等的</errorWord>
      <group>L1_Word</group>
      <groupName>字词问题</groupName>
      <ability>L2_Typo</ability>
      <abilityName>字词错误</abilityName>
      <candidateList>
        <item>等</item>
      </candidateList>
      <explain/>
      <paraID>2C939EDD</paraID>
      <start>74</start>
      <end>75</end>
      <status>modified</status>
      <modifiedWord>等</modifiedWord>
      <trackRevisions>false</trackRevisions>
    </reviewItem>
    <reviewItem>
      <errorID>c7304152-fb55-4119-82b3-8a9297f49d9b</errorID>
      <errorWord>【VOCs无组织排放废气收集处理系统要求】</errorWord>
      <group>L1_Punc</group>
      <groupName>标点问题</groupName>
      <ability>L2_Punc_CN</ability>
      <abilityName>标点符号问题</abilityName>
      <candidateList>
        <item> [VOCs无组织排放废气收集处理系统要求]</item>
      </candidateList>
      <explain/>
      <paraID>3BD313D1</paraID>
      <start>3</start>
      <end>24</end>
      <status>ignored</status>
      <modifiedWord/>
      <trackRevisions>false</trackRevisions>
    </reviewItem>
    <reviewItem>
      <errorID>dc347d5d-6ae1-470d-9398-2a505eecde32</errorID>
      <errorWord>废气</errorWord>
      <group>L1_Word</group>
      <groupName>字词问题</groupName>
      <ability>L2_Typo</ability>
      <abilityName>字词错误</abilityName>
      <candidateList>
        <item> 废气</item>
      </candidateList>
      <explain/>
      <paraID>2E0C5688</paraID>
      <start>7</start>
      <end>10</end>
      <status>modified</status>
      <modifiedWord> 废气</modifiedWord>
      <trackRevisions>false</trackRevisions>
    </reviewItem>
    <reviewItem>
      <errorID>bb55688c-85cb-43db-8c4a-174b9c89c348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1DCCAED3</paraID>
      <start>0</start>
      <end>2</end>
      <status>ignored</status>
      <modifiedWord/>
      <trackRevisions>false</trackRevisions>
    </reviewItem>
    <reviewItem>
      <errorID>4883c5ac-a0da-42ec-b345-97065a2e1ac3</errorID>
      <errorWord>"三线一单"</errorWord>
      <group>L1_Political</group>
      <groupName>政治性问题</groupName>
      <ability>L2_Keyword</ability>
      <abilityName>固定表述</abilityName>
      <candidateList>
        <item>“三线一单”</item>
      </candidateList>
      <explain>此处内容疑似含有固定表述相关错误，建议核查。</explain>
      <paraID>1DCCAED3</paraID>
      <start>6</start>
      <end>12</end>
      <status>modified</status>
      <modifiedWord>“三线一单”</modifiedWord>
      <trackRevisions>false</trackRevisions>
    </reviewItem>
    <reviewItem>
      <errorID>371c219e-d5b7-476c-9ba9-899467b5cf77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39CE2FEC</paraID>
      <start>61</start>
      <end>62</end>
      <status>ignored</status>
      <modifiedWord/>
      <trackRevisions>false</trackRevisions>
    </reviewItem>
    <reviewItem>
      <errorID>549d2f1f-fcb3-4b06-bc52-a32211208e0d</errorID>
      <errorWord> </errorWord>
      <group>L1_Punc</group>
      <groupName>标点问题</groupName>
      <ability>L2_Punc_CN</ability>
      <abilityName>标点符号问题</abilityName>
      <candidateList>
        <item>.</item>
      </candidateList>
      <explain/>
      <paraID> 7A63528</paraID>
      <start>1</start>
      <end>2</end>
      <status>modified</status>
      <modifiedWord>.</modifiedWord>
      <trackRevisions>false</trackRevisions>
    </reviewItem>
    <reviewItem>
      <errorID>f9663628-e965-4da2-bf85-92610a22f30b</errorID>
      <errorWord> </errorWord>
      <group>L1_Punc</group>
      <groupName>标点问题</groupName>
      <ability>L2_Punc_CN</ability>
      <abilityName>标点符号问题</abilityName>
      <candidateList>
        <item>.</item>
      </candidateList>
      <explain/>
      <paraID>438EB111</paraID>
      <start>1</start>
      <end>2</end>
      <status>modified</status>
      <modifiedWord>.</modifiedWord>
      <trackRevisions>false</trackRevisions>
    </reviewItem>
    <reviewItem>
      <errorID>c077c252-1776-4cc4-b0ba-a505d25b19b5</errorID>
      <errorWord> </errorWord>
      <group>L1_Punc</group>
      <groupName>标点问题</groupName>
      <ability>L2_Punc_CN</ability>
      <abilityName>标点符号问题</abilityName>
      <candidateList>
        <item>.</item>
      </candidateList>
      <explain/>
      <paraID>7E999388</paraID>
      <start>1</start>
      <end>2</end>
      <status>modified</status>
      <modifiedWord>.</modifiedWord>
      <trackRevisions>false</trackRevisions>
    </reviewItem>
    <reviewItem>
      <errorID>a485f039-472f-4a6f-b567-44c1ad39efc7</errorID>
      <errorWord>且</errorWord>
      <group>L1_Punc</group>
      <groupName>标点问题</groupName>
      <ability>L2_Punc_CN</ability>
      <abilityName>标点符号问题</abilityName>
      <candidateList>
        <item>，且</item>
      </candidateList>
      <explain/>
      <paraID>7E999388</paraID>
      <start>45</start>
      <end>46</end>
      <status>ignored</status>
      <modifiedWord/>
      <trackRevisions>false</trackRevisions>
    </reviewItem>
    <reviewItem>
      <errorID>7c30aa73-9b09-46d6-ad95-a8bbf2ee4975</errorID>
      <errorWord>，</errorWord>
      <group>L1_Punc</group>
      <groupName>标点问题</groupName>
      <ability>L2_Punc_CN</ability>
      <abilityName>标点符号问题</abilityName>
      <candidateList>
        <item>；</item>
      </candidateList>
      <explain/>
      <paraID>7E999388</paraID>
      <start>57</start>
      <end>58</end>
      <status>ignored</status>
      <modifiedWord/>
      <trackRevisions>false</trackRevisions>
    </reviewItem>
    <reviewItem>
      <errorID>ff865420-a7a2-4d7b-a894-c1288ed50bcf</errorID>
      <errorWord>，</errorWord>
      <group>L1_Punc</group>
      <groupName>标点问题</groupName>
      <ability>L2_Punc_CN</ability>
      <abilityName>标点符号问题</abilityName>
      <candidateList>
        <item>；</item>
      </candidateList>
      <explain/>
      <paraID>7E999388</paraID>
      <start>99</start>
      <end>100</end>
      <status>ignored</status>
      <modifiedWord/>
      <trackRevisions>false</trackRevisions>
    </reviewItem>
    <reviewItem>
      <errorID>18391d9d-6dfa-46d2-80c0-25dbc19f8be2</errorID>
      <errorWord>(</errorWord>
      <group>L1_Format</group>
      <groupName>格式问题</groupName>
      <ability>L2_HalfPunc_CN</ability>
      <abilityName>全半角问题</abilityName>
      <candidateList>
        <item>（</item>
      </candidateList>
      <explain>文本全半角错误。</explain>
      <paraID>7E999388</paraID>
      <start>131</start>
      <end>132</end>
      <status>modified</status>
      <modifiedWord>（</modifiedWord>
      <trackRevisions>false</trackRevisions>
    </reviewItem>
    <reviewItem>
      <errorID>8e7ef80b-95f8-432f-8e9c-f5aaf0109279</errorID>
      <errorWord>)</errorWord>
      <group>L1_Format</group>
      <groupName>格式问题</groupName>
      <ability>L2_HalfPunc_CN</ability>
      <abilityName>全半角问题</abilityName>
      <candidateList>
        <item>）</item>
      </candidateList>
      <explain>文本全半角错误。</explain>
      <paraID>7E999388</paraID>
      <start>139</start>
      <end>140</end>
      <status>modified</status>
      <modifiedWord>）</modifiedWord>
      <trackRevisions>false</trackRevisions>
    </reviewItem>
    <reviewItem>
      <errorID>a7bf31f9-895d-4be9-8d8d-12cef42b3686</errorID>
      <errorWord>，</errorWord>
      <group>L1_Punc</group>
      <groupName>标点问题</groupName>
      <ability>L2_Punc_CN</ability>
      <abilityName>标点符号问题</abilityName>
      <candidateList>
        <item>；</item>
      </candidateList>
      <explain/>
      <paraID>7E999388</paraID>
      <start>145</start>
      <end>146</end>
      <status>ignored</status>
      <modifiedWord/>
      <trackRevisions>false</trackRevisions>
    </reviewItem>
    <reviewItem>
      <errorID>8db44560-a508-4fa6-8f2e-4c71a3e8265f</errorID>
      <errorWord>(</errorWord>
      <group>L1_Format</group>
      <groupName>格式问题</groupName>
      <ability>L2_HalfPunc_CN</ability>
      <abilityName>全半角问题</abilityName>
      <candidateList>
        <item>（</item>
      </candidateList>
      <explain>文本全半角错误。</explain>
      <paraID>7E999388</paraID>
      <start>180</start>
      <end>181</end>
      <status>modified</status>
      <modifiedWord>（</modifiedWord>
      <trackRevisions>false</trackRevisions>
    </reviewItem>
    <reviewItem>
      <errorID>281215cf-a9e7-4fb7-968b-8c3188263a46</errorID>
      <errorWord>)</errorWord>
      <group>L1_Format</group>
      <groupName>格式问题</groupName>
      <ability>L2_HalfPunc_CN</ability>
      <abilityName>全半角问题</abilityName>
      <candidateList>
        <item>）</item>
      </candidateList>
      <explain>文本全半角错误。</explain>
      <paraID>7E999388</paraID>
      <start>189</start>
      <end>190</end>
      <status>modified</status>
      <modifiedWord>）</modifiedWord>
      <trackRevisions>false</trackRevisions>
    </reviewItem>
    <reviewItem>
      <errorID>566f8b1f-55ea-4fea-bc85-70b6ac9dfe36</errorID>
      <errorWord>(</errorWord>
      <group>L1_Format</group>
      <groupName>格式问题</groupName>
      <ability>L2_HalfPunc_CN</ability>
      <abilityName>全半角问题</abilityName>
      <candidateList>
        <item>（</item>
      </candidateList>
      <explain>文本全半角错误。</explain>
      <paraID>7E999388</paraID>
      <start>195</start>
      <end>196</end>
      <status>modified</status>
      <modifiedWord>（</modifiedWord>
      <trackRevisions>false</trackRevisions>
    </reviewItem>
    <reviewItem>
      <errorID>d7953f4d-c366-4667-b9ff-90d2c842b4b1</errorID>
      <errorWord>)</errorWord>
      <group>L1_Format</group>
      <groupName>格式问题</groupName>
      <ability>L2_HalfPunc_CN</ability>
      <abilityName>全半角问题</abilityName>
      <candidateList>
        <item>）</item>
      </candidateList>
      <explain>文本全半角错误。</explain>
      <paraID>7E999388</paraID>
      <start>291</start>
      <end>292</end>
      <status>modified</status>
      <modifiedWord>）</modifiedWord>
      <trackRevisions>false</trackRevisions>
    </reviewItem>
    <reviewItem>
      <errorID>d5caddcb-16c0-4dcb-9c25-d07dc31a186f</errorID>
      <errorWord> </errorWord>
      <group>L1_Punc</group>
      <groupName>标点问题</groupName>
      <ability>L2_Punc_CN</ability>
      <abilityName>标点符号问题</abilityName>
      <candidateList>
        <item>.</item>
      </candidateList>
      <explain/>
      <paraID>6873EC2A</paraID>
      <start>1</start>
      <end>2</end>
      <status>modified</status>
      <modifiedWord>.</modifiedWord>
      <trackRevisions>false</trackRevisions>
    </reviewItem>
    <reviewItem>
      <errorID>57505606-4876-49f4-9c2e-9a56f776dfe3</errorID>
      <errorWord>(</errorWord>
      <group>L1_Format</group>
      <groupName>格式问题</groupName>
      <ability>L2_HalfPunc_CN</ability>
      <abilityName>全半角问题</abilityName>
      <candidateList>
        <item>（</item>
      </candidateList>
      <explain>文本全半角错误。</explain>
      <paraID>6873EC2A</paraID>
      <start>57</start>
      <end>58</end>
      <status>modified</status>
      <modifiedWord>（</modifiedWord>
      <trackRevisions>false</trackRevisions>
    </reviewItem>
    <reviewItem>
      <errorID>6393e48e-ddb4-4bb1-900f-ff573354a230</errorID>
      <errorWord>)</errorWord>
      <group>L1_Format</group>
      <groupName>格式问题</groupName>
      <ability>L2_HalfPunc_CN</ability>
      <abilityName>全半角问题</abilityName>
      <candidateList>
        <item>）</item>
      </candidateList>
      <explain>文本全半角错误。</explain>
      <paraID>6873EC2A</paraID>
      <start>60</start>
      <end>61</end>
      <status>modified</status>
      <modifiedWord>）</modifiedWord>
      <trackRevisions>false</trackRevisions>
    </reviewItem>
    <reviewItem>
      <errorID>0a8a39bb-c368-431f-9014-97dbb87ca663</errorID>
      <errorWord> </errorWord>
      <group>L1_Punc</group>
      <groupName>标点问题</groupName>
      <ability>L2_Punc_CN</ability>
      <abilityName>标点符号问题</abilityName>
      <candidateList>
        <item/>
      </candidateList>
      <explain>此处空格冗余，建议删除。</explain>
      <paraID>6873EC2A</paraID>
      <start>62</start>
      <end>63</end>
      <status>ignored</status>
      <modifiedWord/>
      <trackRevisions>false</trackRevisions>
    </reviewItem>
    <reviewItem>
      <errorID>9fe01f78-0ab4-4edc-9c75-55461939f9b1</errorID>
      <errorWord> </errorWord>
      <group>L1_Punc</group>
      <groupName>标点问题</groupName>
      <ability>L2_Punc_CN</ability>
      <abilityName>标点符号问题</abilityName>
      <candidateList>
        <item>.</item>
      </candidateList>
      <explain/>
      <paraID>569376C3</paraID>
      <start>1</start>
      <end>2</end>
      <status>modified</status>
      <modifiedWord>.</modifiedWord>
      <trackRevisions>false</trackRevisions>
    </reviewItem>
    <reviewItem>
      <errorID>0a904452-2a5c-42ba-b6c5-0fb8af0d586e</errorID>
      <errorWord> </errorWord>
      <group>L1_Punc</group>
      <groupName>标点问题</groupName>
      <ability>L2_Punc_CN</ability>
      <abilityName>标点符号问题</abilityName>
      <candidateList>
        <item>.</item>
      </candidateList>
      <explain/>
      <paraID>1BA8EAFB</paraID>
      <start>1</start>
      <end>2</end>
      <status>modified</status>
      <modifiedWord>.</modifiedWord>
      <trackRevisions>false</trackRevisions>
    </reviewItem>
    <reviewItem>
      <errorID>aa292a7a-d18f-4b93-a599-ca6cfb68e965</errorID>
      <errorWord> </errorWord>
      <group>L1_Punc</group>
      <groupName>标点问题</groupName>
      <ability>L2_Punc_CN</ability>
      <abilityName>标点符号问题</abilityName>
      <candidateList>
        <item>.</item>
      </candidateList>
      <explain/>
      <paraID>48A4A6F3</paraID>
      <start>1</start>
      <end>2</end>
      <status>modified</status>
      <modifiedWord>.</modifiedWord>
      <trackRevisions>false</trackRevisions>
    </reviewItem>
    <reviewItem>
      <errorID>e47c5104-21c6-45e4-b20c-ebc7c54aa11a</errorID>
      <errorWord> </errorWord>
      <group>L1_Punc</group>
      <groupName>标点问题</groupName>
      <ability>L2_Punc_CN</ability>
      <abilityName>标点符号问题</abilityName>
      <candidateList>
        <item>.</item>
      </candidateList>
      <explain/>
      <paraID>39AC9E70</paraID>
      <start>1</start>
      <end>2</end>
      <status>modified</status>
      <modifiedWord>.</modifiedWord>
      <trackRevisions>false</trackRevisions>
    </reviewItem>
    <reviewItem>
      <errorID>44866018-6dbc-43e2-b2fe-c2fdc1648589</errorID>
      <errorWord> </errorWord>
      <group>L1_Punc</group>
      <groupName>标点问题</groupName>
      <ability>L2_Punc_CN</ability>
      <abilityName>标点符号问题</abilityName>
      <candidateList>
        <item>.</item>
      </candidateList>
      <explain/>
      <paraID>34B7119A</paraID>
      <start>1</start>
      <end>2</end>
      <status>modified</status>
      <modifiedWord>.</modifiedWord>
      <trackRevisions>false</trackRevisions>
    </reviewItem>
    <reviewItem>
      <errorID>2fc26795-cf14-418d-9cc5-e40f8d08e2dc</errorID>
      <errorWord> </errorWord>
      <group>L1_Punc</group>
      <groupName>标点问题</groupName>
      <ability>L2_Punc_CN</ability>
      <abilityName>标点符号问题</abilityName>
      <candidateList>
        <item>.</item>
      </candidateList>
      <explain/>
      <paraID>2A741712</paraID>
      <start>1</start>
      <end>2</end>
      <status>modified</status>
      <modifiedWord>.</modifiedWord>
      <trackRevisions>false</trackRevisions>
    </reviewItem>
    <reviewItem>
      <errorID>2f3e73a5-7efa-4596-a32a-0b6d73508598</errorID>
      <errorWord> </errorWord>
      <group>L1_Punc</group>
      <groupName>标点问题</groupName>
      <ability>L2_Punc_CN</ability>
      <abilityName>标点符号问题</abilityName>
      <candidateList>
        <item>.</item>
      </candidateList>
      <explain/>
      <paraID>5B4A853B</paraID>
      <start>1</start>
      <end>2</end>
      <status>modified</status>
      <modifiedWord>.</modifiedWord>
      <trackRevisions>false</trackRevisions>
    </reviewItem>
    <reviewItem>
      <errorID>77e6ccb8-8ab4-4bf5-a57f-46b0ce34b35d</errorID>
      <errorWord> </errorWord>
      <group>L1_Punc</group>
      <groupName>标点问题</groupName>
      <ability>L2_Punc_CN</ability>
      <abilityName>标点符号问题</abilityName>
      <candidateList>
        <item>.</item>
      </candidateList>
      <explain/>
      <paraID>2F9641B7</paraID>
      <start>1</start>
      <end>2</end>
      <status>modified</status>
      <modifiedWord>.</modifiedWord>
      <trackRevisions>false</trackRevisions>
    </reviewItem>
    <reviewItem>
      <errorID>4451f980-524a-4412-b556-520762078ace</errorID>
      <errorWord> </errorWord>
      <group>L1_Punc</group>
      <groupName>标点问题</groupName>
      <ability>L2_Punc_CN</ability>
      <abilityName>标点符号问题</abilityName>
      <candidateList>
        <item>.</item>
      </candidateList>
      <explain/>
      <paraID>47060F2F</paraID>
      <start>1</start>
      <end>2</end>
      <status>modified</status>
      <modifiedWord>.</modifiedWord>
      <trackRevisions>false</trackRevisions>
    </reviewItem>
    <reviewItem>
      <errorID>221b378f-f357-4ef6-aad1-c6dff8b71865</errorID>
      <errorWord> </errorWord>
      <group>L1_Punc</group>
      <groupName>标点问题</groupName>
      <ability>L2_Punc_CN</ability>
      <abilityName>标点符号问题</abilityName>
      <candidateList>
        <item>.</item>
      </candidateList>
      <explain/>
      <paraID>7954094A</paraID>
      <start>1</start>
      <end>2</end>
      <status>modified</status>
      <modifiedWord>.</modifiedWord>
      <trackRevisions>false</trackRevisions>
    </reviewItem>
    <reviewItem>
      <errorID>ebcfa0af-6fe3-4343-b311-659731c636a8</errorID>
      <errorWord> </errorWord>
      <group>L1_Punc</group>
      <groupName>标点问题</groupName>
      <ability>L2_Punc_CN</ability>
      <abilityName>标点符号问题</abilityName>
      <candidateList>
        <item>.</item>
      </candidateList>
      <explain/>
      <paraID>731DC972</paraID>
      <start>1</start>
      <end>2</end>
      <status>modified</status>
      <modifiedWord>.</modifiedWord>
      <trackRevisions>false</trackRevisions>
    </reviewItem>
    <reviewItem>
      <errorID>5991d139-338b-462e-bde6-42fcbdc6c3b9</errorID>
      <errorWord> </errorWord>
      <group>L1_Punc</group>
      <groupName>标点问题</groupName>
      <ability>L2_Punc_CN</ability>
      <abilityName>标点符号问题</abilityName>
      <candidateList>
        <item>.</item>
      </candidateList>
      <explain/>
      <paraID>67F67407</paraID>
      <start>1</start>
      <end>2</end>
      <status>modified</status>
      <modifiedWord>.</modifiedWord>
      <trackRevisions>false</trackRevisions>
    </reviewItem>
    <reviewItem>
      <errorID>320f5a91-be5c-4522-8d01-413700c55d32</errorID>
      <errorWord> </errorWord>
      <group>L1_Punc</group>
      <groupName>标点问题</groupName>
      <ability>L2_Punc_CN</ability>
      <abilityName>标点符号问题</abilityName>
      <candidateList>
        <item>.</item>
      </candidateList>
      <explain/>
      <paraID>1E93EB96</paraID>
      <start>1</start>
      <end>2</end>
      <status>modified</status>
      <modifiedWord>.</modifiedWord>
      <trackRevisions>false</trackRevisions>
    </reviewItem>
    <reviewItem>
      <errorID>156e85e2-3686-4364-b484-8ed1e52f7160</errorID>
      <errorWord> </errorWord>
      <group>L1_Punc</group>
      <groupName>标点问题</groupName>
      <ability>L2_Punc_CN</ability>
      <abilityName>标点符号问题</abilityName>
      <candidateList>
        <item>.</item>
      </candidateList>
      <explain/>
      <paraID>3C2D6F9A</paraID>
      <start>1</start>
      <end>2</end>
      <status>modified</status>
      <modifiedWord>.</modifiedWord>
      <trackRevisions>false</trackRevisions>
    </reviewItem>
    <reviewItem>
      <errorID>cf667883-2809-4b49-afd1-f02c7a47729f</errorID>
      <errorWord> </errorWord>
      <group>L1_Punc</group>
      <groupName>标点问题</groupName>
      <ability>L2_Punc_CN</ability>
      <abilityName>标点符号问题</abilityName>
      <candidateList>
        <item>.</item>
      </candidateList>
      <explain/>
      <paraID>3F59550F</paraID>
      <start>1</start>
      <end>2</end>
      <status>modified</status>
      <modifiedWord>.</modifiedWord>
      <trackRevisions>false</trackRevisions>
    </reviewItem>
    <reviewItem>
      <errorID>05ae41d5-c9ba-43dd-81df-1274a0ec6a89</errorID>
      <errorWord> </errorWord>
      <group>L1_Punc</group>
      <groupName>标点问题</groupName>
      <ability>L2_Punc_CN</ability>
      <abilityName>标点符号问题</abilityName>
      <candidateList>
        <item>.</item>
      </candidateList>
      <explain/>
      <paraID>5C8F0DDE</paraID>
      <start>1</start>
      <end>2</end>
      <status>modified</status>
      <modifiedWord>.</modifiedWord>
      <trackRevisions>false</trackRevisions>
    </reviewItem>
    <reviewItem>
      <errorID>ef753616-5a2e-433a-aca9-8f455a5ac311</errorID>
      <errorWord>，</errorWord>
      <group>L1_Word</group>
      <groupName>字词问题</groupName>
      <ability>L2_Typo</ability>
      <abilityName>字词错误</abilityName>
      <candidateList>
        <item>，对</item>
      </candidateList>
      <explain/>
      <paraID>12F7B361</paraID>
      <start>38</start>
      <end>40</end>
      <status>modified</status>
      <modifiedWord>，对</modifiedWord>
      <trackRevisions>false</trackRevisions>
    </reviewItem>
    <reviewItem>
      <errorID>1252e8fa-af22-4a08-ae62-f22495741d89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19741509</paraID>
      <start>0</start>
      <end>2</end>
      <status>ignored</status>
      <modifiedWord/>
      <trackRevisions>false</trackRevisions>
    </reviewItem>
    <reviewItem>
      <errorID>76e1e2cc-1309-4835-840e-7482d626da75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13BC445A</paraID>
      <start>0</start>
      <end>2</end>
      <status>ignored</status>
      <modifiedWord/>
      <trackRevisions>false</trackRevisions>
    </reviewItem>
    <reviewItem>
      <errorID>9669b3c1-e770-4546-8fb8-90fc8346bdba</errorID>
      <errorWord>胶粘剂</errorWord>
      <group>L1_Word</group>
      <groupName>字词问题</groupName>
      <ability>L2_Typo</ability>
      <abilityName>字词错误</abilityName>
      <candidateList>
        <item>胶黏剂</item>
      </candidateList>
      <explain/>
      <paraID> 280A297</paraID>
      <start>57</start>
      <end>60</end>
      <status>ignored</status>
      <modifiedWord/>
      <trackRevisions>false</trackRevisions>
    </reviewItem>
    <reviewItem>
      <errorID>8ac0810f-461b-4273-87c7-1e4334dce60e</errorID>
      <errorWord>"三线一单"</errorWord>
      <group>L1_Political</group>
      <groupName>政治性问题</groupName>
      <ability>L2_Keyword</ability>
      <abilityName>固定表述</abilityName>
      <candidateList>
        <item>“三线一单”</item>
      </candidateList>
      <explain>注意检查当前固定表述标点是否使用规范。</explain>
      <paraID>31EF617E</paraID>
      <start>19</start>
      <end>25</end>
      <status>modified</status>
      <modifiedWord>“三线一单”</modifiedWord>
      <trackRevisions>false</trackRevisions>
    </reviewItem>
    <reviewItem>
      <errorID>379f6b3b-77a9-4ed2-8198-2573edfde21e</errorID>
      <errorWord>GB31572</errorWord>
      <group>L1_Word</group>
      <groupName>字词问题</groupName>
      <ability>L2_Typo</ability>
      <abilityName>字词错误</abilityName>
      <candidateList>
        <item>GB 31572</item>
      </candidateList>
      <explain/>
      <paraID>4C2AF904</paraID>
      <start>20</start>
      <end>27</end>
      <status>ignored</status>
      <modifiedWord/>
      <trackRevisions>false</trackRevisions>
    </reviewItem>
    <reviewItem>
      <errorID>fc0472f5-40d9-4efc-a7bf-2d7dbba93e0f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322C5DDB</paraID>
      <start>0</start>
      <end>2</end>
      <status>ignored</status>
      <modifiedWord/>
      <trackRevisions>false</trackRevisions>
    </reviewItem>
    <reviewItem>
      <errorID>40f9b3f7-6f88-4a94-8cd6-34493fcb0135</errorID>
      <errorWord> </errorWord>
      <group>L1_Word</group>
      <groupName>字词问题</groupName>
      <ability>L2_Typo</ability>
      <abilityName>字词错误</abilityName>
      <candidateList>
        <item>°</item>
      </candidateList>
      <explain/>
      <paraID>43AE2D2D</paraID>
      <start>41</start>
      <end>42</end>
      <status>ignored</status>
      <modifiedWord/>
      <trackRevisions>false</trackRevisions>
    </reviewItem>
    <reviewItem>
      <errorID>db0657d3-7e82-41cf-ab04-7133fd1cee86</errorID>
      <errorWord> </errorWord>
      <group>L1_Word</group>
      <groupName>字词问题</groupName>
      <ability>L2_Typo</ability>
      <abilityName>字词错误</abilityName>
      <candidateList>
        <item>°</item>
      </candidateList>
      <explain/>
      <paraID>43AE2D2D</paraID>
      <start>56</start>
      <end>57</end>
      <status>ignored</status>
      <modifiedWord/>
      <trackRevisions>false</trackRevisions>
    </reviewItem>
    <reviewItem>
      <errorID>2d9684d8-e9f1-40db-b692-3694da6a4c83</errorID>
      <errorWord>4层层</errorWord>
      <group>L1_Word</group>
      <groupName>字词问题</groupName>
      <ability>L2_Typo</ability>
      <abilityName>字词错误</abilityName>
      <candidateList>
        <item>4层</item>
      </candidateList>
      <explain/>
      <paraID>77DCF1BC</paraID>
      <start>117</start>
      <end>119</end>
      <status>modified</status>
      <modifiedWord>4层</modifiedWord>
      <trackRevisions>false</trackRevisions>
    </reviewItem>
    <reviewItem>
      <errorID>e11312f5-60f3-4d9e-bb4f-8290023879a0</errorID>
      <errorWord>4层层</errorWord>
      <group>L1_Word</group>
      <groupName>字词问题</groupName>
      <ability>L2_Typo</ability>
      <abilityName>字词错误</abilityName>
      <candidateList>
        <item>4层</item>
      </candidateList>
      <explain/>
      <paraID> B0223F8</paraID>
      <start>114</start>
      <end>116</end>
      <status>modified</status>
      <modifiedWord>4层</modifiedWord>
      <trackRevisions>false</trackRevisions>
    </reviewItem>
    <reviewItem>
      <errorID>267f3666-81c8-4057-90e8-153e25c6fc75</errorID>
      <errorWord>，</errorWord>
      <group>L1_Punc</group>
      <groupName>标点问题</groupName>
      <ability>L2_Punc_CN</ability>
      <abilityName>标点符号问题</abilityName>
      <candidateList>
        <item/>
      </candidateList>
      <explain/>
      <paraID> B0223F8</paraID>
      <start>152</start>
      <end>152</end>
      <status>modified</status>
      <modifiedWord/>
      <trackRevisions>false</trackRevisions>
    </reviewItem>
    <reviewItem>
      <errorID>cabd7ea8-6e79-4ce9-be1d-84e6425ca4e4</errorID>
      <errorWord> </errorWord>
      <group>L1_Punc</group>
      <groupName>标点问题</groupName>
      <ability>L2_Punc_CN</ability>
      <abilityName>标点符号问题</abilityName>
      <candidateList>
        <item>、</item>
      </candidateList>
      <explain/>
      <paraID> D7EA5E4</paraID>
      <start>1</start>
      <end>2</end>
      <status>modified</status>
      <modifiedWord>、</modifiedWord>
      <trackRevisions>false</trackRevisions>
    </reviewItem>
    <reviewItem>
      <errorID>8c952579-e096-43df-9893-f0d1bfa3e4eb</errorID>
      <errorWord>程</errorWord>
      <group>L1_Word</group>
      <groupName>字词问题</groupName>
      <ability>L2_Typo</ability>
      <abilityName>字词错误</abilityName>
      <candidateList>
        <item>程中</item>
      </candidateList>
      <explain/>
      <paraID> F88FAB2</paraID>
      <start>49</start>
      <end>51</end>
      <status>modified</status>
      <modifiedWord>程中</modifiedWord>
      <trackRevisions>false</trackRevisions>
    </reviewItem>
    <reviewItem>
      <errorID>0da1e402-1093-4420-b1c1-540c9e93f89d</errorID>
      <errorWord>减震</errorWord>
      <group>L1_Word</group>
      <groupName>字词问题</groupName>
      <ability>L2_Typo</ability>
      <abilityName>字词错误</abilityName>
      <candidateList>
        <item>减振</item>
      </candidateList>
      <explain>存在发音相同字词的误用。</explain>
      <paraID>71F5A787</paraID>
      <start>1</start>
      <end>3</end>
      <status>ignored</status>
      <modifiedWord/>
      <trackRevisions>false</trackRevisions>
    </reviewItem>
    <reviewItem>
      <errorID>7e5784b1-16f9-4a1c-95a7-3d10ab540937</errorID>
      <errorWord>由</errorWord>
      <group>L1_Word</group>
      <groupName>字词问题</groupName>
      <ability>L2_Typo</ability>
      <abilityName>字词错误</abilityName>
      <candidateList>
        <item>由具</item>
      </candidateList>
      <explain/>
      <paraID>4C3BA579</paraID>
      <start>8</start>
      <end>10</end>
      <status>modified</status>
      <modifiedWord>由具</modifiedWord>
      <trackRevisions>false</trackRevisions>
    </reviewItem>
    <reviewItem>
      <errorID>243b48e8-9c73-4b26-99a5-a3967b6a0b39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28851E80</paraID>
      <start>0</start>
      <end>2</end>
      <status>ignored</status>
      <modifiedWord/>
      <trackRevisions>false</trackRevisions>
    </reviewItem>
    <reviewItem>
      <errorID>73cd4cd8-626d-481b-b8a0-93eda8366ac9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13FEABE5</paraID>
      <start>0</start>
      <end>2</end>
      <status>ignored</status>
      <modifiedWord/>
      <trackRevisions>false</trackRevisions>
    </reviewItem>
    <reviewItem>
      <errorID>84dd0d26-fad0-4a04-adbb-55e8fe0c6a95</errorID>
      <errorWord>(</errorWord>
      <group>L1_Format</group>
      <groupName>格式问题</groupName>
      <ability>L2_HalfPunc_CN</ability>
      <abilityName>全半角问题</abilityName>
      <candidateList>
        <item>（</item>
      </candidateList>
      <explain>文本全半角错误。</explain>
      <paraID>37FD0A56</paraID>
      <start>140</start>
      <end>141</end>
      <status>modified</status>
      <modifiedWord>（</modifiedWord>
      <trackRevisions>false</trackRevisions>
    </reviewItem>
    <reviewItem>
      <errorID>684a86fa-bef6-48ee-bfae-150750d8ef68</errorID>
      <errorWord>)</errorWord>
      <group>L1_Format</group>
      <groupName>格式问题</groupName>
      <ability>L2_HalfPunc_CN</ability>
      <abilityName>全半角问题</abilityName>
      <candidateList>
        <item>）</item>
      </candidateList>
      <explain>文本全半角错误。</explain>
      <paraID>37FD0A56</paraID>
      <start>152</start>
      <end>153</end>
      <status>modified</status>
      <modifiedWord>）</modifiedWord>
      <trackRevisions>false</trackRevisions>
    </reviewItem>
    <reviewItem>
      <errorID>7e7a4113-db1e-4924-b843-6d6059e56fce</errorID>
      <errorWord>氢氧化碱</errorWord>
      <group>L1_Word</group>
      <groupName>字词问题</groupName>
      <ability>L2_Typo</ability>
      <abilityName>字词错误</abilityName>
      <candidateList>
        <item>氢氧化钠</item>
      </candidateList>
      <explain/>
      <paraID>763E6887</paraID>
      <start>45</start>
      <end>49</end>
      <status>modified</status>
      <modifiedWord>氢氧化钠</modifiedWord>
      <trackRevisions>false</trackRevisions>
    </reviewItem>
    <reviewItem>
      <errorID>8faf6a2c-1b46-4445-8cbb-115086fca293</errorID>
      <errorWord>为</errorWord>
      <group>L1_Word</group>
      <groupName>字词问题</groupName>
      <ability>L2_Typo</ability>
      <abilityName>字词错误</abilityName>
      <candidateList>
        <item>在</item>
      </candidateList>
      <explain/>
      <paraID>59BB0091</paraID>
      <start>13</start>
      <end>14</end>
      <status>modified</status>
      <modifiedWord>在</modifiedWord>
      <trackRevisions>false</trackRevisions>
    </reviewItem>
    <reviewItem>
      <errorID>a4d7f5f3-c786-43a4-bd38-e8a422a962f1</errorID>
      <errorWord>编针织</errorWord>
      <group>L1_Word</group>
      <groupName>字词问题</groupName>
      <ability>L2_Typo</ability>
      <abilityName>字词错误</abilityName>
      <candidateList>
        <item>纬编织</item>
      </candidateList>
      <explain/>
      <paraID>60391739</paraID>
      <start>55</start>
      <end>58</end>
      <status>ignored</status>
      <modifiedWord/>
      <trackRevisions>false</trackRevisions>
    </reviewItem>
    <reviewItem>
      <errorID>dc45acac-378d-4a78-b3b8-acb632469bd8</errorID>
      <errorWord>经编针织</errorWord>
      <group>L1_Word</group>
      <groupName>字词问题</groupName>
      <ability>L2_Typo</ability>
      <abilityName>字词错误</abilityName>
      <candidateList>
        <item>经编织</item>
      </candidateList>
      <explain/>
      <paraID>60391739</paraID>
      <start>61</start>
      <end>64</end>
      <status>modified</status>
      <modifiedWord>经编织</modifiedWord>
      <trackRevisions>false</trackRevisions>
    </reviewItem>
    <reviewItem>
      <errorID>42a9679a-a2da-402a-bac0-13468cf2d554</errorID>
      <errorWord>90-99%</errorWord>
      <group>L1_Knowledge</group>
      <groupName>知识性问题</groupName>
      <ability>L2_Knowledge</ability>
      <abilityName>其他知识</abilityName>
      <candidateList>
        <item>90%—99%</item>
      </candidateList>
      <explain>1. “90-99%”中的单位“%”仅出现在后一个数字上，容易引起歧义；根据《现代汉语标点符号数字用法规范手册》，数字表示范围两边需要使用统一的格式。2. 根据标点国标 4.13 中的规则，数字、时间或地域连接符应使用（视觉上更长的）“—”或“～”。</explain>
      <paraID>5E414873</paraID>
      <start>86</start>
      <end>93</end>
      <status>modified</status>
      <modifiedWord>90%—99%</modifiedWord>
      <trackRevisions>false</trackRevisions>
    </reviewItem>
    <reviewItem>
      <errorID>d8e0332f-08ad-4db8-80da-97a1c1ca4bde</errorID>
      <errorWord>1-10%</errorWord>
      <group>L1_Knowledge</group>
      <groupName>知识性问题</groupName>
      <ability>L2_Knowledge</ability>
      <abilityName>其他知识</abilityName>
      <candidateList>
        <item>1%—10%</item>
      </candidateList>
      <explain>1. “1-10%”中的单位“%”仅出现在后一个数字上，容易引起歧义；根据《现代汉语标点符号数字用法规范手册》，数字表示范围两边需要使用统一的格式。2. 根据标点国标 4.13 中的规则，数字、时间或地域连接符应使用（视觉上更长的）“—”或“～”。</explain>
      <paraID>5E414873</paraID>
      <start>101</start>
      <end>107</end>
      <status>modified</status>
      <modifiedWord>1%—10%</modifiedWord>
      <trackRevisions>false</trackRevisions>
    </reviewItem>
    <reviewItem>
      <errorID>fa009988-ea29-4700-a67d-ca39d93499b0</errorID>
      <errorWord>1-10%</errorWord>
      <group>L1_Knowledge</group>
      <groupName>知识性问题</groupName>
      <ability>L2_Knowledge</ability>
      <abilityName>其他知识</abilityName>
      <candidateList>
        <item>1%—10%</item>
      </candidateList>
      <explain>1. “1-10%”中的单位“%”仅出现在后一个数字上，容易引起歧义；根据《现代汉语标点符号数字用法规范手册》，数字表示范围两边需要使用统一的格式。2. 根据标点国标 4.13 中的规则，数字、时间或地域连接符应使用（视觉上更长的）“—”或“～”。</explain>
      <paraID>5E414873</paraID>
      <start>116</start>
      <end>122</end>
      <status>modified</status>
      <modifiedWord>1%—10%</modifiedWord>
      <trackRevisions>false</trackRevisions>
    </reviewItem>
    <reviewItem>
      <errorID>03f8eb6a-4b6e-446f-a153-3aaeae050268</errorID>
      <errorWord>胶粘剂</errorWord>
      <group>L1_Word</group>
      <groupName>字词问题</groupName>
      <ability>L2_Typo</ability>
      <abilityName>字词错误</abilityName>
      <candidateList>
        <item>胶黏剂</item>
      </candidateList>
      <explain/>
      <paraID>5E414873</paraID>
      <start>181</start>
      <end>184</end>
      <status>ignored</status>
      <modifiedWord/>
      <trackRevisions>false</trackRevisions>
    </reviewItem>
    <reviewItem>
      <errorID>f636e75c-fa3e-4b7a-acb4-4aff66b077df</errorID>
      <errorWord>0.5~3%</errorWord>
      <group>L1_Knowledge</group>
      <groupName>知识性问题</groupName>
      <ability>L2_Knowledge</ability>
      <abilityName>其他知识</abilityName>
      <candidateList>
        <item>0.5%～3%</item>
      </candidateList>
      <explain>1. “0.5~3%”中的单位“%”仅出现在后一个数字上，容易引起歧义；根据《现代汉语标点符号数字用法规范手册》，数字表示范围两边需要使用统一的格式。2. 根据标点国标 4.13 中的规则，数字、时间或地域连接符应使用（视觉上更长的）“—”或“～”。</explain>
      <paraID>14D14C6C</paraID>
      <start>32</start>
      <end>39</end>
      <status>modified</status>
      <modifiedWord>0.5%～3%</modifiedWord>
      <trackRevisions>false</trackRevisions>
    </reviewItem>
    <reviewItem>
      <errorID>b448f573-ea3f-4bca-a734-2f59c3bb45ca</errorID>
      <errorWord>20~38%</errorWord>
      <group>L1_Knowledge</group>
      <groupName>知识性问题</groupName>
      <ability>L2_Knowledge</ability>
      <abilityName>其他知识</abilityName>
      <candidateList>
        <item>20%～38%</item>
      </candidateList>
      <explain>1. “20~38%”中的单位“%”仅出现在后一个数字上，容易引起歧义；根据《现代汉语标点符号数字用法规范手册》，数字表示范围两边需要使用统一的格式。2. 根据标点国标 4.13 中的规则，数字、时间或地域连接符应使用（视觉上更长的）“—”或“～”。</explain>
      <paraID>14D14C6C</paraID>
      <start>42</start>
      <end>49</end>
      <status>modified</status>
      <modifiedWord>20%～38%</modifiedWord>
      <trackRevisions>false</trackRevisions>
    </reviewItem>
    <reviewItem>
      <errorID>c37d0265-085e-43b0-a2db-eb259eaff0b8</errorID>
      <errorWord>50~80%</errorWord>
      <group>L1_Knowledge</group>
      <groupName>知识性问题</groupName>
      <ability>L2_Knowledge</ability>
      <abilityName>其他知识</abilityName>
      <candidateList>
        <item>50%～80%</item>
      </candidateList>
      <explain>1. “50~80%”中的单位“%”仅出现在后一个数字上，容易引起歧义；根据《现代汉语标点符号数字用法规范手册》，数字表示范围两边需要使用统一的格式。2. 根据标点国标 4.13 中的规则，数字、时间或地域连接符应使用（视觉上更长的）“—”或“～”。</explain>
      <paraID>14D14C6C</paraID>
      <start>54</start>
      <end>61</end>
      <status>modified</status>
      <modifiedWord>50%～80%</modifiedWord>
      <trackRevisions>false</trackRevisions>
    </reviewItem>
    <reviewItem>
      <errorID>3dcf5458-f44d-412d-8185-a6eed34313fd</errorID>
      <errorWord> </errorWord>
      <group>L1_Punc</group>
      <groupName>标点问题</groupName>
      <ability>L2_Punc_CN</ability>
      <abilityName>标点符号问题</abilityName>
      <candidateList>
        <item> - </item>
      </candidateList>
      <explain/>
      <paraID> 83DD043</paraID>
      <start>98</start>
      <end>101</end>
      <status>modified</status>
      <modifiedWord> - </modifiedWord>
      <trackRevisions>false</trackRevisions>
    </reviewItem>
    <reviewItem>
      <errorID>690d7c35-b9b0-4280-a8c2-80aa24445f7c</errorID>
      <errorWord> </errorWord>
      <group>L1_Punc</group>
      <groupName>标点问题</groupName>
      <ability>L2_Punc_CN</ability>
      <abilityName>标点符号问题</abilityName>
      <candidateList>
        <item> - </item>
      </candidateList>
      <explain/>
      <paraID> 83DD043</paraID>
      <start>108</start>
      <end>111</end>
      <status>modified</status>
      <modifiedWord> - </modifiedWord>
      <trackRevisions>false</trackRevisions>
    </reviewItem>
    <reviewItem>
      <errorID>b647fb9c-8500-4a8f-a226-c2b1331aa8bc</errorID>
      <errorWord>胶粘剂</errorWord>
      <group>L1_Word</group>
      <groupName>字词问题</groupName>
      <ability>L2_Typo</ability>
      <abilityName>字词错误</abilityName>
      <candidateList>
        <item>胶黏剂</item>
      </candidateList>
      <explain/>
      <paraID> 83DD043</paraID>
      <start>179</start>
      <end>182</end>
      <status>ignored</status>
      <modifiedWord/>
      <trackRevisions>false</trackRevisions>
    </reviewItem>
    <reviewItem>
      <errorID>655e12df-9e29-4e82-beb4-b097cd9baf7e</errorID>
      <errorWord>胶粘剂</errorWord>
      <group>L1_Word</group>
      <groupName>字词问题</groupName>
      <ability>L2_Typo</ability>
      <abilityName>字词错误</abilityName>
      <candidateList>
        <item>胶黏剂</item>
      </candidateList>
      <explain/>
      <paraID> 83DD043</paraID>
      <start>218</start>
      <end>221</end>
      <status>ignored</status>
      <modifiedWord/>
      <trackRevisions>false</trackRevisions>
    </reviewItem>
    <reviewItem>
      <errorID>3d69913c-07be-400e-a2c3-37e773cb5b75</errorID>
      <errorWord>60~70%</errorWord>
      <group>L1_Knowledge</group>
      <groupName>知识性问题</groupName>
      <ability>L2_Knowledge</ability>
      <abilityName>其他知识</abilityName>
      <candidateList>
        <item>60%～70%</item>
      </candidateList>
      <explain>1. “60~70%”中的单位“%”仅出现在后一个数字上，容易引起歧义；根据《现代汉语标点符号数字用法规范手册》，数字表示范围两边需要使用统一的格式。2. 根据标点国标 4.13 中的规则，数字、时间或地域连接符应使用（视觉上更长的）“—”或“～”。</explain>
      <paraID> 54624F8</paraID>
      <start>43</start>
      <end>50</end>
      <status>modified</status>
      <modifiedWord>60%～70%</modifiedWord>
      <trackRevisions>false</trackRevisions>
    </reviewItem>
    <reviewItem>
      <errorID>3a28db04-c2fd-4abb-9bd1-6db814658925</errorID>
      <errorWord>10~15%</errorWord>
      <group>L1_Knowledge</group>
      <groupName>知识性问题</groupName>
      <ability>L2_Knowledge</ability>
      <abilityName>其他知识</abilityName>
      <candidateList>
        <item>10%～15%</item>
      </candidateList>
      <explain>1. “10~15%”中的单位“%”仅出现在后一个数字上，容易引起歧义；根据《现代汉语标点符号数字用法规范手册》，数字表示范围两边需要使用统一的格式。2. 根据标点国标 4.13 中的规则，数字、时间或地域连接符应使用（视觉上更长的）“—”或“～”。</explain>
      <paraID> 54624F8</paraID>
      <start>57</start>
      <end>64</end>
      <status>modified</status>
      <modifiedWord>10%～15%</modifiedWord>
      <trackRevisions>false</trackRevisions>
    </reviewItem>
    <reviewItem>
      <errorID>fa2fc332-43e9-4aba-ba80-618aedf9c5fa</errorID>
      <errorWord>10~15%</errorWord>
      <group>L1_Knowledge</group>
      <groupName>知识性问题</groupName>
      <ability>L2_Knowledge</ability>
      <abilityName>其他知识</abilityName>
      <candidateList>
        <item>10%～15%</item>
      </candidateList>
      <explain>1. “10~15%”中的单位“%”仅出现在后一个数字上，容易引起歧义；根据《现代汉语标点符号数字用法规范手册》，数字表示范围两边需要使用统一的格式。2. 根据标点国标 4.13 中的规则，数字、时间或地域连接符应使用（视觉上更长的）“—”或“～”。</explain>
      <paraID> 54624F8</paraID>
      <start>69</start>
      <end>76</end>
      <status>modified</status>
      <modifiedWord>10%～15%</modifiedWord>
      <trackRevisions>false</trackRevisions>
    </reviewItem>
    <reviewItem>
      <errorID>12abfaeb-8b9d-404a-b801-6bcef6ed3e38</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 54624F8</paraID>
      <start>81</start>
      <end>86</end>
      <status>modified</status>
      <modifiedWord>3%～5%</modifiedWord>
      <trackRevisions>false</trackRevisions>
    </reviewItem>
    <reviewItem>
      <errorID>773aba87-3905-4e8e-8899-e055240deb7a</errorID>
      <errorWord>~</errorWord>
      <group>L1_Format</group>
      <groupName>格式问题</groupName>
      <ability>L2_HalfPunc_CN</ability>
      <abilityName>全半角问题</abilityName>
      <candidateList>
        <item>～</item>
      </candidateList>
      <explain>文本全半角错误。</explain>
      <paraID> 54624F8</paraID>
      <start>93</start>
      <end>94</end>
      <status>modified</status>
      <modifiedWord>～</modifiedWord>
      <trackRevisions>false</trackRevisions>
    </reviewItem>
    <reviewItem>
      <errorID>ed150d3d-8d8c-40e0-95dd-f8ceab66eda5</errorID>
      <errorWord>GB38507</errorWord>
      <group>L1_Word</group>
      <groupName>字词问题</groupName>
      <ability>L2_Typo</ability>
      <abilityName>字词错误</abilityName>
      <candidateList>
        <item>GB 38507</item>
      </candidateList>
      <explain/>
      <paraID> 54624F8</paraID>
      <start>218</start>
      <end>226</end>
      <status>modified</status>
      <modifiedWord>GB 38507</modifiedWord>
      <trackRevisions>false</trackRevisions>
    </reviewItem>
    <reviewItem>
      <errorID>86dc2c69-e044-44f7-b10d-d94c690df601</errorID>
      <errorWord>中非</errorWord>
      <group>L1_Word</group>
      <groupName>字词问题</groupName>
      <ability>L2_Typo</ability>
      <abilityName>字词错误</abilityName>
      <candidateList>
        <item>—非</item>
      </candidateList>
      <explain/>
      <paraID> 54624F8</paraID>
      <start>241</start>
      <end>243</end>
      <status>modified</status>
      <modifiedWord>—非</modifiedWord>
      <trackRevisions>false</trackRevisions>
    </reviewItem>
    <reviewItem>
      <errorID>e5d170f0-ea98-4029-80a6-18c8e3780a1c</errorID>
      <errorWord>60~70%</errorWord>
      <group>L1_Knowledge</group>
      <groupName>知识性问题</groupName>
      <ability>L2_Knowledge</ability>
      <abilityName>其他知识</abilityName>
      <candidateList>
        <item>60%～70%</item>
      </candidateList>
      <explain>1. “60~70%”中的单位“%”仅出现在后一个数字上，容易引起歧义；根据《现代汉语标点符号数字用法规范手册》，数字表示范围两边需要使用统一的格式。2. 根据标点国标 4.13 中的规则，数字、时间或地域连接符应使用（视觉上更长的）“—”或“～”。</explain>
      <paraID>5106DEA6</paraID>
      <start>52</start>
      <end>59</end>
      <status>modified</status>
      <modifiedWord>60%～70%</modifiedWord>
      <trackRevisions>false</trackRevisions>
    </reviewItem>
    <reviewItem>
      <errorID>000350d5-da7a-46cb-8e9b-ef22287646d3</errorID>
      <errorWord>10~15%</errorWord>
      <group>L1_Knowledge</group>
      <groupName>知识性问题</groupName>
      <ability>L2_Knowledge</ability>
      <abilityName>其他知识</abilityName>
      <candidateList>
        <item>10%～15%</item>
      </candidateList>
      <explain>1. “10~15%”中的单位“%”仅出现在后一个数字上，容易引起歧义；根据《现代汉语标点符号数字用法规范手册》，数字表示范围两边需要使用统一的格式。2. 根据标点国标 4.13 中的规则，数字、时间或地域连接符应使用（视觉上更长的）“—”或“～”。</explain>
      <paraID>5106DEA6</paraID>
      <start>66</start>
      <end>73</end>
      <status>modified</status>
      <modifiedWord>10%～15%</modifiedWord>
      <trackRevisions>false</trackRevisions>
    </reviewItem>
    <reviewItem>
      <errorID>a15f4a2c-83c5-41df-bd88-dc0b41c211f8</errorID>
      <errorWord>10~15%</errorWord>
      <group>L1_Knowledge</group>
      <groupName>知识性问题</groupName>
      <ability>L2_Knowledge</ability>
      <abilityName>其他知识</abilityName>
      <candidateList>
        <item>10%～15%</item>
      </candidateList>
      <explain>1. “10~15%”中的单位“%”仅出现在后一个数字上，容易引起歧义；根据《现代汉语标点符号数字用法规范手册》，数字表示范围两边需要使用统一的格式。2. 根据标点国标 4.13 中的规则，数字、时间或地域连接符应使用（视觉上更长的）“—”或“～”。</explain>
      <paraID>5106DEA6</paraID>
      <start>78</start>
      <end>85</end>
      <status>modified</status>
      <modifiedWord>10%～15%</modifiedWord>
      <trackRevisions>false</trackRevisions>
    </reviewItem>
    <reviewItem>
      <errorID>df7daf71-16be-43b6-98e7-9d54c2e1714a</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5106DEA6</paraID>
      <start>90</start>
      <end>95</end>
      <status>modified</status>
      <modifiedWord>3%～5%</modifiedWord>
      <trackRevisions>false</trackRevisions>
    </reviewItem>
    <reviewItem>
      <errorID>1478b842-e8c3-4062-b39e-45c3492921fd</errorID>
      <errorWord>~</errorWord>
      <group>L1_Format</group>
      <groupName>格式问题</groupName>
      <ability>L2_HalfPunc_CN</ability>
      <abilityName>全半角问题</abilityName>
      <candidateList>
        <item>～</item>
      </candidateList>
      <explain>文本全半角错误。</explain>
      <paraID>5106DEA6</paraID>
      <start>102</start>
      <end>103</end>
      <status>modified</status>
      <modifiedWord>～</modifiedWord>
      <trackRevisions>false</trackRevisions>
    </reviewItem>
    <reviewItem>
      <errorID>2ac4f5fc-59cb-471f-a289-d606981cc20b</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5106DEA6</paraID>
      <start>258</start>
      <end>263</end>
      <status>modified</status>
      <modifiedWord>3%～5%</modifiedWord>
      <trackRevisions>false</trackRevisions>
    </reviewItem>
    <reviewItem>
      <errorID>d15944aa-3373-4781-885c-2a0edb28ad11</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5106DEA6</paraID>
      <start>280</start>
      <end>285</end>
      <status>modified</status>
      <modifiedWord>3%～5%</modifiedWord>
      <trackRevisions>false</trackRevisions>
    </reviewItem>
    <reviewItem>
      <errorID>732b056c-a85d-41a9-9775-6e976c45fd7e</errorID>
      <errorWord>(</errorWord>
      <group>L1_Format</group>
      <groupName>格式问题</groupName>
      <ability>L2_HalfPunc_CN</ability>
      <abilityName>全半角问题</abilityName>
      <candidateList>
        <item>（</item>
      </candidateList>
      <explain>文本全半角错误。</explain>
      <paraID>29CBEEBE</paraID>
      <start>70</start>
      <end>71</end>
      <status>modified</status>
      <modifiedWord>（</modifiedWord>
      <trackRevisions>false</trackRevisions>
    </reviewItem>
    <reviewItem>
      <errorID>758e7d2e-9b8b-4392-af90-f4082ab26e15</errorID>
      <errorWord>)</errorWord>
      <group>L1_Format</group>
      <groupName>格式问题</groupName>
      <ability>L2_HalfPunc_CN</ability>
      <abilityName>全半角问题</abilityName>
      <candidateList>
        <item>）</item>
      </candidateList>
      <explain>文本全半角错误。</explain>
      <paraID>29CBEEBE</paraID>
      <start>84</start>
      <end>85</end>
      <status>modified</status>
      <modifiedWord>）</modifiedWord>
      <trackRevisions>false</trackRevisions>
    </reviewItem>
    <reviewItem>
      <errorID>7b216e37-2bf6-402a-ac79-8ee4d4e4d9da</errorID>
      <errorWord>~</errorWord>
      <group>L1_Format</group>
      <groupName>格式问题</groupName>
      <ability>L2_HalfPunc_CN</ability>
      <abilityName>全半角问题</abilityName>
      <candidateList>
        <item>～</item>
      </candidateList>
      <explain>文本全半角错误。</explain>
      <paraID>29CBEEBE</paraID>
      <start>112</start>
      <end>113</end>
      <status>modified</status>
      <modifiedWord>～</modifiedWord>
      <trackRevisions>false</trackRevisions>
    </reviewItem>
    <reviewItem>
      <errorID>08a056d5-bc15-4acf-a5d4-1ed7bc31d5bd</errorID>
      <errorWord>放置于</errorWord>
      <group>L1_Word</group>
      <groupName>字词问题</groupName>
      <ability>L2_Typo</ability>
      <abilityName>字词错误</abilityName>
      <candidateList>
        <item>放置</item>
      </candidateList>
      <explain/>
      <paraID>5EC585F8</paraID>
      <start>111</start>
      <end>113</end>
      <status>modified</status>
      <modifiedWord>放置</modifiedWord>
      <trackRevisions>false</trackRevisions>
    </reviewItem>
    <reviewItem>
      <errorID>d5ebd835-86a3-4dca-a769-f19a1019918b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5EC585F8</paraID>
      <start>114</start>
      <end>115</end>
      <status>modified</status>
      <modifiedWord>—</modifiedWord>
      <trackRevisions>false</trackRevisions>
    </reviewItem>
    <reviewItem>
      <errorID>c808a522-b07d-4720-86af-423ad3cbff14</errorID>
      <errorWord>胶粘剂</errorWord>
      <group>L1_Word</group>
      <groupName>字词问题</groupName>
      <ability>L2_Typo</ability>
      <abilityName>字词错误</abilityName>
      <candidateList>
        <item>胶黏剂</item>
      </candidateList>
      <explain/>
      <paraID>5982B967</paraID>
      <start>0</start>
      <end>3</end>
      <status>ignored</status>
      <modifiedWord/>
      <trackRevisions>false</trackRevisions>
    </reviewItem>
    <reviewItem>
      <errorID>af18803a-4da4-44b2-b321-32e5950806d1</errorID>
      <errorWord>胶黏剂</errorWord>
      <group>L1_Word</group>
      <groupName>字词问题</groupName>
      <ability>L2_Typo</ability>
      <abilityName>字词错误</abilityName>
      <candidateList>
        <item>胶粘剂</item>
      </candidateList>
      <explain/>
      <paraID>1AA7FF42</paraID>
      <start>0</start>
      <end>3</end>
      <status>ignored</status>
      <modifiedWord/>
      <trackRevisions>false</trackRevisions>
    </reviewItem>
    <reviewItem>
      <errorID>fbbc2256-ac47-430b-b199-81a16abb7151</errorID>
      <errorWord>49-51%</errorWord>
      <group>L1_Knowledge</group>
      <groupName>知识性问题</groupName>
      <ability>L2_Knowledge</ability>
      <abilityName>其他知识</abilityName>
      <candidateList>
        <item>49%—51%</item>
      </candidateList>
      <explain>1. “49-51%”中的单位“%”仅出现在后一个数字上，容易引起歧义；根据《现代汉语标点符号数字用法规范手册》，数字表示范围两边需要使用统一的格式。2. 根据标点国标 4.13 中的规则，数字、时间或地域连接符应使用（视觉上更长的）“—”或“～”。</explain>
      <paraID>34D375B6</paraID>
      <start>38</start>
      <end>45</end>
      <status>modified</status>
      <modifiedWord>49%—51%</modifiedWord>
      <trackRevisions>false</trackRevisions>
    </reviewItem>
    <reviewItem>
      <errorID>780ac4ea-c93c-43d7-97db-14e5cedd5cc7</errorID>
      <errorWord>49-51%</errorWord>
      <group>L1_Knowledge</group>
      <groupName>知识性问题</groupName>
      <ability>L2_Knowledge</ability>
      <abilityName>其他知识</abilityName>
      <candidateList>
        <item>49%—51%</item>
      </candidateList>
      <explain>1. “49-51%”中的单位“%”仅出现在后一个数字上，容易引起歧义；根据《现代汉语标点符号数字用法规范手册》，数字表示范围两边需要使用统一的格式。2. 根据标点国标 4.13 中的规则，数字、时间或地域连接符应使用（视觉上更长的）“—”或“～”。</explain>
      <paraID>34D375B6</paraID>
      <start>47</start>
      <end>54</end>
      <status>modified</status>
      <modifiedWord>49%—51%</modifiedWord>
      <trackRevisions>false</trackRevisions>
    </reviewItem>
    <reviewItem>
      <errorID>ea724ee7-dd35-4be8-bb5b-4ceeb42e3df6</errorID>
      <errorWord>~</errorWord>
      <group>L1_Format</group>
      <groupName>格式问题</groupName>
      <ability>L2_HalfPunc_CN</ability>
      <abilityName>全半角问题</abilityName>
      <candidateList>
        <item>～</item>
      </candidateList>
      <explain>文本全半角错误。</explain>
      <paraID>16001785</paraID>
      <start>136</start>
      <end>137</end>
      <status>modified</status>
      <modifiedWord>～</modifiedWord>
      <trackRevisions>false</trackRevisions>
    </reviewItem>
    <reviewItem>
      <errorID>5a73c379-1e8a-4da8-88cc-a2f863ffc093</errorID>
      <errorWord>90~99%</errorWord>
      <group>L1_Knowledge</group>
      <groupName>知识性问题</groupName>
      <ability>L2_Knowledge</ability>
      <abilityName>其他知识</abilityName>
      <candidateList>
        <item>90%～99%</item>
      </candidateList>
      <explain>1. “90~99%”中的单位“%”仅出现在后一个数字上，容易引起歧义；根据《现代汉语标点符号数字用法规范手册》，数字表示范围两边需要使用统一的格式。2. 根据标点国标 4.13 中的规则，数字、时间或地域连接符应使用（视觉上更长的）“—”或“～”。</explain>
      <paraID>37312702</paraID>
      <start>34</start>
      <end>41</end>
      <status>modified</status>
      <modifiedWord>90%～99%</modifiedWord>
      <trackRevisions>false</trackRevisions>
    </reviewItem>
    <reviewItem>
      <errorID>eeb93027-5472-45e0-8ba8-b07b090f6645</errorID>
      <errorWord>1~10%</errorWord>
      <group>L1_Knowledge</group>
      <groupName>知识性问题</groupName>
      <ability>L2_Knowledge</ability>
      <abilityName>其他知识</abilityName>
      <candidateList>
        <item>1%～10%</item>
      </candidateList>
      <explain>1. “1~10%”中的单位“%”仅出现在后一个数字上，容易引起歧义；根据《现代汉语标点符号数字用法规范手册》，数字表示范围两边需要使用统一的格式。2. 根据标点国标 4.13 中的规则，数字、时间或地域连接符应使用（视觉上更长的）“—”或“～”。</explain>
      <paraID>37312702</paraID>
      <start>49</start>
      <end>55</end>
      <status>modified</status>
      <modifiedWord>1%～10%</modifiedWord>
      <trackRevisions>false</trackRevisions>
    </reviewItem>
    <reviewItem>
      <errorID>a958531a-59d8-428b-b424-2f4e50f2197e</errorID>
      <errorWord>1~10%</errorWord>
      <group>L1_Knowledge</group>
      <groupName>知识性问题</groupName>
      <ability>L2_Knowledge</ability>
      <abilityName>其他知识</abilityName>
      <candidateList>
        <item>1%～10%</item>
      </candidateList>
      <explain>1. “1~10%”中的单位“%”仅出现在后一个数字上，容易引起歧义；根据《现代汉语标点符号数字用法规范手册》，数字表示范围两边需要使用统一的格式。2. 根据标点国标 4.13 中的规则，数字、时间或地域连接符应使用（视觉上更长的）“—”或“～”。</explain>
      <paraID>37312702</paraID>
      <start>64</start>
      <end>70</end>
      <status>modified</status>
      <modifiedWord>1%～10%</modifiedWord>
      <trackRevisions>false</trackRevisions>
    </reviewItem>
    <reviewItem>
      <errorID>473c9ed6-b010-44dd-9f94-79ae2087e491</errorID>
      <errorWord>边缘</errorWord>
      <group>L1_Punc</group>
      <groupName>标点问题</groupName>
      <ability>L2_Punc_CN</ability>
      <abilityName>标点符号问题</abilityName>
      <candidateList>
        <item>，边缘</item>
      </candidateList>
      <explain/>
      <paraID>15561A37</paraID>
      <start>23</start>
      <end>26</end>
      <status>modified</status>
      <modifiedWord>，边缘</modifiedWord>
      <trackRevisions>false</trackRevisions>
    </reviewItem>
    <reviewItem>
      <errorID>d6890cca-ecb8-4ec9-9ad1-03762775000d</errorID>
      <errorWord>：</errorWord>
      <group>L1_Punc</group>
      <groupName>标点问题</groupName>
      <ability>L2_Punc_CN</ability>
      <abilityName>标点符号问题</abilityName>
      <candidateList>
        <item>；</item>
      </candidateList>
      <explain/>
      <paraID>15561A37</paraID>
      <start>35</start>
      <end>36</end>
      <status>modified</status>
      <modifiedWord>；</modifiedWord>
      <trackRevisions>false</trackRevisions>
    </reviewItem>
    <reviewItem>
      <errorID>3d2e79eb-6d59-4242-96a0-788a95ccd5ae</errorID>
      <errorWord>全面</errorWord>
      <group>L1_Punc</group>
      <groupName>标点问题</groupName>
      <ability>L2_Punc_CN</ability>
      <abilityName>标点符号问题</abilityName>
      <candidateList>
        <item>，全面</item>
      </candidateList>
      <explain/>
      <paraID>15561A37</paraID>
      <start>47</start>
      <end>50</end>
      <status>modified</status>
      <modifiedWord>，全面</modifiedWord>
      <trackRevisions>false</trackRevisions>
    </reviewItem>
    <reviewItem>
      <errorID>ac6581c9-4ec3-4b85-95ab-4a04585db4c3</errorID>
      <errorWord>需用</errorWord>
      <group>L1_Punc</group>
      <groupName>标点问题</groupName>
      <ability>L2_Punc_CN</ability>
      <abilityName>标点符号问题</abilityName>
      <candidateList>
        <item>，需用</item>
      </candidateList>
      <explain/>
      <paraID>70447C95</paraID>
      <start>12</start>
      <end>15</end>
      <status>modified</status>
      <modifiedWord>，需用</modifiedWord>
      <trackRevisions>false</trackRevisions>
    </reviewItem>
    <reviewItem>
      <errorID>7b58f77b-6139-4579-a62b-75681b6dbf79</errorID>
      <errorWord>；</errorWord>
      <group>L1_Punc</group>
      <groupName>标点问题</groupName>
      <ability>L2_Punc_CN</ability>
      <abilityName>标点符号问题</abilityName>
      <candidateList>
        <item>。</item>
      </candidateList>
      <explain/>
      <paraID>70447C95</paraID>
      <start>50</start>
      <end>51</end>
      <status>modified</status>
      <modifiedWord>。</modifiedWord>
      <trackRevisions>false</trackRevisions>
    </reviewItem>
    <reviewItem>
      <errorID>318e12b6-d15b-41b2-8e62-d66952f08b9c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4821DF00</paraID>
      <start>0</start>
      <end>2</end>
      <status>ignored</status>
      <modifiedWord/>
      <trackRevisions>false</trackRevisions>
    </reviewItem>
    <reviewItem>
      <errorID>ab41a69b-f8cf-41b0-9568-f930bb4cf9ed</errorID>
      <errorWord>震动</errorWord>
      <group>L1_Word</group>
      <groupName>字词问题</groupName>
      <ability>L2_Typo</ability>
      <abilityName>字词错误</abilityName>
      <candidateList>
        <item>振动</item>
      </candidateList>
      <explain>存在发音相同字词的误用。</explain>
      <paraID>776AEF22</paraID>
      <start>3</start>
      <end>5</end>
      <status>ignored</status>
      <modifiedWord/>
      <trackRevisions>false</trackRevisions>
    </reviewItem>
    <reviewItem>
      <errorID>ae0aa006-5a5e-4600-b1a2-2f4b0116d898</errorID>
      <errorWord>锺</errorWord>
      <group>L1_Word</group>
      <groupName>字词问题</groupName>
      <ability>L2_Typo</ability>
      <abilityName>字词错误</abilityName>
      <candidateList>
        <item>烘干</item>
      </candidateList>
      <explain/>
      <paraID>49127076</paraID>
      <start>1</start>
      <end>2</end>
      <status>ignored</status>
      <modifiedWord/>
      <trackRevisions>false</trackRevisions>
    </reviewItem>
    <reviewItem>
      <errorID>31cc5d4c-b44c-445b-ba7c-5c4266ce48c4</errorID>
      <errorWord>HZ</errorWord>
      <group>L1_Word</group>
      <groupName>字词问题</groupName>
      <ability>L2_Typo</ability>
      <abilityName>字词错误</abilityName>
      <candidateList>
        <item>Hz</item>
      </candidateList>
      <explain/>
      <paraID>1E45D370</paraID>
      <start>0</start>
      <end>2</end>
      <status>ignored</status>
      <modifiedWord/>
      <trackRevisions>false</trackRevisions>
    </reviewItem>
    <reviewItem>
      <errorID>4cf08979-3545-4584-8f66-4b2234064ebe</errorID>
      <errorWord>HZ</errorWord>
      <group>L1_Word</group>
      <groupName>字词问题</groupName>
      <ability>L2_Typo</ability>
      <abilityName>字词错误</abilityName>
      <candidateList>
        <item>Hz</item>
      </candidateList>
      <explain/>
      <paraID>7D39486C</paraID>
      <start>0</start>
      <end>2</end>
      <status>ignored</status>
      <modifiedWord/>
      <trackRevisions>false</trackRevisions>
    </reviewItem>
    <reviewItem>
      <errorID>a4f42a1a-8437-422b-8300-a7bf64e108de</errorID>
      <errorWord>HZ</errorWord>
      <group>L1_Word</group>
      <groupName>字词问题</groupName>
      <ability>L2_Typo</ability>
      <abilityName>字词错误</abilityName>
      <candidateList>
        <item>Hz</item>
      </candidateList>
      <explain/>
      <paraID>46CD6903</paraID>
      <start>0</start>
      <end>2</end>
      <status>ignored</status>
      <modifiedWord/>
      <trackRevisions>false</trackRevisions>
    </reviewItem>
    <reviewItem>
      <errorID>68138f96-8410-452f-9676-31efd8b6bc4c</errorID>
      <errorWord>HZ</errorWord>
      <group>L1_Word</group>
      <groupName>字词问题</groupName>
      <ability>L2_Typo</ability>
      <abilityName>字词错误</abilityName>
      <candidateList>
        <item>Hz</item>
      </candidateList>
      <explain/>
      <paraID>2C53D60A</paraID>
      <start>0</start>
      <end>2</end>
      <status>ignored</status>
      <modifiedWord/>
      <trackRevisions>false</trackRevisions>
    </reviewItem>
    <reviewItem>
      <errorID>a2b5cec8-b6fb-489c-9adf-50f326d31173</errorID>
      <errorWord>HZ</errorWord>
      <group>L1_Word</group>
      <groupName>字词问题</groupName>
      <ability>L2_Typo</ability>
      <abilityName>字词错误</abilityName>
      <candidateList>
        <item>Hz</item>
      </candidateList>
      <explain/>
      <paraID>7C4279C0</paraID>
      <start>0</start>
      <end>2</end>
      <status>ignored</status>
      <modifiedWord/>
      <trackRevisions>false</trackRevisions>
    </reviewItem>
    <reviewItem>
      <errorID>b4656e6f-8b79-48b9-aba1-58c96b4544e1</errorID>
      <errorWord>(</errorWord>
      <group>L1_Format</group>
      <groupName>格式问题</groupName>
      <ability>L2_HalfPunc_CN</ability>
      <abilityName>全半角问题</abilityName>
      <candidateList>
        <item>（</item>
      </candidateList>
      <explain>文本全半角错误。</explain>
      <paraID>65DEE445</paraID>
      <start>2</start>
      <end>3</end>
      <status>modified</status>
      <modifiedWord>（</modifiedWord>
      <trackRevisions>false</trackRevisions>
    </reviewItem>
    <reviewItem>
      <errorID>ebd0bd87-f5cc-4213-b199-fcad6b8b0616</errorID>
      <errorWord>)</errorWord>
      <group>L1_Format</group>
      <groupName>格式问题</groupName>
      <ability>L2_HalfPunc_CN</ability>
      <abilityName>全半角问题</abilityName>
      <candidateList>
        <item>）</item>
      </candidateList>
      <explain>文本全半角错误。</explain>
      <paraID>65DEE445</paraID>
      <start>4</start>
      <end>5</end>
      <status>modified</status>
      <modifiedWord>）</modifiedWord>
      <trackRevisions>false</trackRevisions>
    </reviewItem>
    <reviewItem>
      <errorID>2c2726db-0044-4d74-85c8-d0da16e6b98b</errorID>
      <errorWord>(</errorWord>
      <group>L1_Format</group>
      <groupName>格式问题</groupName>
      <ability>L2_HalfPunc_CN</ability>
      <abilityName>全半角问题</abilityName>
      <candidateList>
        <item>（</item>
      </candidateList>
      <explain>文本全半角错误。</explain>
      <paraID>4FA5D729</paraID>
      <start>6</start>
      <end>7</end>
      <status>modified</status>
      <modifiedWord>（</modifiedWord>
      <trackRevisions>false</trackRevisions>
    </reviewItem>
    <reviewItem>
      <errorID>36ef1907-bf16-452d-afa0-d021594a58fa</errorID>
      <errorWord>)</errorWord>
      <group>L1_Format</group>
      <groupName>格式问题</groupName>
      <ability>L2_HalfPunc_CN</ability>
      <abilityName>全半角问题</abilityName>
      <candidateList>
        <item>）</item>
      </candidateList>
      <explain>文本全半角错误。</explain>
      <paraID>4FA5D729</paraID>
      <start>11</start>
      <end>12</end>
      <status>modified</status>
      <modifiedWord>）</modifiedWord>
      <trackRevisions>false</trackRevisions>
    </reviewItem>
    <reviewItem>
      <errorID>e7d50d83-8343-4ab8-8c47-8af7b11d84de</errorID>
      <errorWord>(</errorWord>
      <group>L1_Format</group>
      <groupName>格式问题</groupName>
      <ability>L2_HalfPunc_CN</ability>
      <abilityName>全半角问题</abilityName>
      <candidateList>
        <item>（</item>
      </candidateList>
      <explain>文本全半角错误。</explain>
      <paraID>7239318D</paraID>
      <start>6</start>
      <end>7</end>
      <status>modified</status>
      <modifiedWord>（</modifiedWord>
      <trackRevisions>false</trackRevisions>
    </reviewItem>
    <reviewItem>
      <errorID>e28c1bdc-6aef-489a-8c5a-0da04fd1ecfd</errorID>
      <errorWord>)</errorWord>
      <group>L1_Format</group>
      <groupName>格式问题</groupName>
      <ability>L2_HalfPunc_CN</ability>
      <abilityName>全半角问题</abilityName>
      <candidateList>
        <item>）</item>
      </candidateList>
      <explain>文本全半角错误。</explain>
      <paraID>7239318D</paraID>
      <start>10</start>
      <end>11</end>
      <status>modified</status>
      <modifiedWord>）</modifiedWord>
      <trackRevisions>false</trackRevisions>
    </reviewItem>
    <reviewItem>
      <errorID>ec1d23d2-f716-4526-ac37-0a34b7507d16</errorID>
      <errorWord>(</errorWord>
      <group>L1_Format</group>
      <groupName>格式问题</groupName>
      <ability>L2_HalfPunc_CN</ability>
      <abilityName>全半角问题</abilityName>
      <candidateList>
        <item>（</item>
      </candidateList>
      <explain>文本全半角错误。</explain>
      <paraID>251EBF05</paraID>
      <start>5</start>
      <end>6</end>
      <status>modified</status>
      <modifiedWord>（</modifiedWord>
      <trackRevisions>false</trackRevisions>
    </reviewItem>
    <reviewItem>
      <errorID>e73ac6cd-868d-4835-a993-6814b4e7c40c</errorID>
      <errorWord>)</errorWord>
      <group>L1_Format</group>
      <groupName>格式问题</groupName>
      <ability>L2_HalfPunc_CN</ability>
      <abilityName>全半角问题</abilityName>
      <candidateList>
        <item>）</item>
      </candidateList>
      <explain>文本全半角错误。</explain>
      <paraID>251EBF05</paraID>
      <start>7</start>
      <end>8</end>
      <status>modified</status>
      <modifiedWord>）</modifiedWord>
      <trackRevisions>false</trackRevisions>
    </reviewItem>
    <reviewItem>
      <errorID>6e758e04-a495-4030-8df3-2f6c4d729400</errorID>
      <errorWord>(</errorWord>
      <group>L1_Format</group>
      <groupName>格式问题</groupName>
      <ability>L2_HalfPunc_CN</ability>
      <abilityName>全半角问题</abilityName>
      <candidateList>
        <item>（</item>
      </candidateList>
      <explain>文本全半角错误。</explain>
      <paraID>225CB46D</paraID>
      <start>5</start>
      <end>6</end>
      <status>modified</status>
      <modifiedWord>（</modifiedWord>
      <trackRevisions>false</trackRevisions>
    </reviewItem>
    <reviewItem>
      <errorID>7f99fdb7-1753-497f-8a69-06fe3f2a9e21</errorID>
      <errorWord>)</errorWord>
      <group>L1_Format</group>
      <groupName>格式问题</groupName>
      <ability>L2_HalfPunc_CN</ability>
      <abilityName>全半角问题</abilityName>
      <candidateList>
        <item>）</item>
      </candidateList>
      <explain>文本全半角错误。</explain>
      <paraID>225CB46D</paraID>
      <start>7</start>
      <end>8</end>
      <status>modified</status>
      <modifiedWord>）</modifiedWord>
      <trackRevisions>false</trackRevisions>
    </reviewItem>
    <reviewItem>
      <errorID>209fe883-05f8-444b-b597-f81691de4b65</errorID>
      <errorWord>(</errorWord>
      <group>L1_Format</group>
      <groupName>格式问题</groupName>
      <ability>L2_HalfPunc_CN</ability>
      <abilityName>全半角问题</abilityName>
      <candidateList>
        <item>（</item>
      </candidateList>
      <explain>文本全半角错误。</explain>
      <paraID>19FF0FF6</paraID>
      <start>5</start>
      <end>6</end>
      <status>modified</status>
      <modifiedWord>（</modifiedWord>
      <trackRevisions>false</trackRevisions>
    </reviewItem>
    <reviewItem>
      <errorID>726090d0-3007-4391-9d4a-113af8c5f891</errorID>
      <errorWord>)</errorWord>
      <group>L1_Format</group>
      <groupName>格式问题</groupName>
      <ability>L2_HalfPunc_CN</ability>
      <abilityName>全半角问题</abilityName>
      <candidateList>
        <item>）</item>
      </candidateList>
      <explain>文本全半角错误。</explain>
      <paraID>19FF0FF6</paraID>
      <start>7</start>
      <end>8</end>
      <status>modified</status>
      <modifiedWord>）</modifiedWord>
      <trackRevisions>false</trackRevisions>
    </reviewItem>
    <reviewItem>
      <errorID>79d0adc8-76fd-4b40-8c0b-8a2f171115d7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604C3691</paraID>
      <start>0</start>
      <end>2</end>
      <status>ignored</status>
      <modifiedWord/>
      <trackRevisions>false</trackRevisions>
    </reviewItem>
    <reviewItem>
      <errorID>3959105b-3810-472e-9ede-b716a9f4493f</errorID>
      <errorWord>、</errorWord>
      <group>L1_Punc</group>
      <groupName>标点问题</groupName>
      <ability>L2_Punc_CN</ability>
      <abilityName>标点符号问题</abilityName>
      <candidateList>
        <item>，</item>
      </candidateList>
      <explain/>
      <paraID>4074C34C</paraID>
      <start>28</start>
      <end>29</end>
      <status>modified</status>
      <modifiedWord>，</modifiedWord>
      <trackRevisions>false</trackRevisions>
    </reviewItem>
    <reviewItem>
      <errorID>bb5ef5e8-4fd8-481b-9373-243410e34ed3</errorID>
      <errorWord>第</errorWord>
      <group>L1_Word</group>
      <groupName>字词问题</groupName>
      <ability>L2_Typo</ability>
      <abilityName>字词错误</abilityName>
      <candidateList>
        <item> 第</item>
      </candidateList>
      <explain/>
      <paraID>4074C34C</paraID>
      <start>53</start>
      <end>55</end>
      <status>modified</status>
      <modifiedWord> 第</modifiedWord>
      <trackRevisions>false</trackRevisions>
    </reviewItem>
    <reviewItem>
      <errorID>a99420dc-d393-44f8-913f-96d29e2a2f31</errorID>
      <errorWord>T1461</errorWord>
      <group>L1_Word</group>
      <groupName>字词问题</groupName>
      <ability>L2_Typo</ability>
      <abilityName>字词错误</abilityName>
      <candidateList>
        <item>T 1461</item>
      </candidateList>
      <explain/>
      <paraID>4074C34C</paraID>
      <start>68</start>
      <end>74</end>
      <status>modified</status>
      <modifiedWord>T 1461</modifiedWord>
      <trackRevisions>false</trackRevisions>
    </reviewItem>
    <reviewItem>
      <errorID>b9047b89-37a5-4661-8cd3-14af9dbc7f67</errorID>
      <errorWord> </errorWord>
      <group>L1_Punc</group>
      <groupName>标点问题</groupName>
      <ability>L2_Punc_CN</ability>
      <abilityName>标点符号问题</abilityName>
      <candidateList>
        <item/>
      </candidateList>
      <explain>此处空格冗余，建议删除。</explain>
      <paraID>4074C34C</paraID>
      <start>150</start>
      <end>151</end>
      <status>ignored</status>
      <modifiedWord/>
      <trackRevisions>false</trackRevisions>
    </reviewItem>
    <reviewItem>
      <errorID>2269ad63-b26d-4d63-b358-16727cf72117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340A3354</paraID>
      <start>0</start>
      <end>2</end>
      <status>ignored</status>
      <modifiedWord/>
      <trackRevisions>false</trackRevisions>
    </reviewItem>
    <reviewItem>
      <errorID>0bff1b48-9403-492c-8c0b-30af5782a2f8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3A8C89DA</paraID>
      <start>0</start>
      <end>2</end>
      <status>ignored</status>
      <modifiedWord/>
      <trackRevisions>false</trackRevisions>
    </reviewItem>
    <reviewItem>
      <errorID>fb25e1a7-9493-45f0-bc1b-4233c99d4f3f</errorID>
      <errorWord>粘合</errorWord>
      <group>L1_Word</group>
      <groupName>字词问题</groupName>
      <ability>L2_Alias</ability>
      <abilityName>也作/曾用词</abilityName>
      <candidateList>
        <item>黏合</item>
      </candidateList>
      <explain>词汇[粘合]为不规范表述或旧称，其规范书面表述为[黏合]。</explain>
      <paraID> 8F4C629</paraID>
      <start>56</start>
      <end>58</end>
      <status>ignored</status>
      <modifiedWord/>
      <trackRevisions>false</trackRevisions>
    </reviewItem>
    <reviewItem>
      <errorID>9c2d2cd4-ac9e-4f23-8f75-72c1e9e4962b</errorID>
      <errorWord>粘合</errorWord>
      <group>L1_Word</group>
      <groupName>字词问题</groupName>
      <ability>L2_Alias</ability>
      <abilityName>也作/曾用词</abilityName>
      <candidateList>
        <item>黏合</item>
      </candidateList>
      <explain>词汇[粘合]为不规范表述或旧称，其规范书面表述为[黏合]。</explain>
      <paraID> 630EA38</paraID>
      <start>64</start>
      <end>66</end>
      <status>ignored</status>
      <modifiedWord/>
      <trackRevisions>false</trackRevisions>
    </reviewItem>
    <reviewItem>
      <errorID>e8abc810-1104-46fd-a093-62609f01c2ff</errorID>
      <errorWord>经</errorWord>
      <group>L1_Grammar</group>
      <groupName>语法问题</groupName>
      <ability>L2_Grammar</ability>
      <abilityName>语法错误</abilityName>
      <candidateList>
        <item>产生的</item>
      </candidateList>
      <explain/>
      <paraID>7A4174E7</paraID>
      <start>26</start>
      <end>29</end>
      <status>modified</status>
      <modifiedWord>产生的</modifiedWord>
      <trackRevisions>false</trackRevisions>
    </reviewItem>
    <reviewItem>
      <errorID>5cae0844-ad70-4215-9755-f8ce02ff2c6a</errorID>
      <errorWord>统一</errorWord>
      <group>L1_Punc</group>
      <groupName>标点问题</groupName>
      <ability>L2_Punc_CN</ability>
      <abilityName>标点符号问题</abilityName>
      <candidateList>
        <item>，统一</item>
      </candidateList>
      <explain/>
      <paraID>7A4174E7</paraID>
      <start>59</start>
      <end>62</end>
      <status>modified</status>
      <modifiedWord>，统一</modifiedWord>
      <trackRevisions>false</trackRevisions>
    </reviewItem>
    <reviewItem>
      <errorID>88108b83-4596-483d-88ec-24d0ed809440</errorID>
      <errorWord>经</errorWord>
      <group>L1_Punc</group>
      <groupName>标点问题</groupName>
      <ability>L2_Punc_CN</ability>
      <abilityName>标点符号问题</abilityName>
      <candidateList>
        <item>，经</item>
      </candidateList>
      <explain/>
      <paraID>7A4174E7</paraID>
      <start>86</start>
      <end>88</end>
      <status>modified</status>
      <modifiedWord>，经</modifiedWord>
      <trackRevisions>false</trackRevisions>
    </reviewItem>
    <reviewItem>
      <errorID>5611fbc8-5f8d-4361-8614-f6d470a9508e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29DB2F16</paraID>
      <start>0</start>
      <end>3</end>
      <status>ignored</status>
      <modifiedWord/>
      <trackRevisions>false</trackRevisions>
    </reviewItem>
    <reviewItem>
      <errorID>0342f62c-c484-4095-8d1e-f12345baf925</errorID>
      <errorWord>、</errorWord>
      <group>L1_Punc</group>
      <groupName>标点问题</groupName>
      <ability>L2_Punc_CN</ability>
      <abilityName>标点符号问题</abilityName>
      <candidateList>
        <item>：</item>
      </candidateList>
      <explain/>
      <paraID>363B02E3</paraID>
      <start>2</start>
      <end>3</end>
      <status>ignored</status>
      <modifiedWord/>
      <trackRevisions>false</trackRevisions>
    </reviewItem>
    <reviewItem>
      <errorID>6c0ed381-044d-4939-a3bb-8cfd5ce59091</errorID>
      <errorWord>EVA</errorWord>
      <group>L1_Word</group>
      <groupName>字词问题</groupName>
      <ability>L2_Typo</ability>
      <abilityName>字词错误</abilityName>
      <candidateList>
        <item>的EVA</item>
      </candidateList>
      <explain/>
      <paraID> EA945B7</paraID>
      <start>6</start>
      <end>10</end>
      <status>modified</status>
      <modifiedWord>的EVA</modifiedWord>
      <trackRevisions>false</trackRevisions>
    </reviewItem>
    <reviewItem>
      <errorID>d58c8496-f439-4c10-b912-cfba20265faf</errorID>
      <errorWord>浸泡药水</errorWord>
      <group>L1_Word</group>
      <groupName>字词问题</groupName>
      <ability>L2_Typo</ability>
      <abilityName>字词错误</abilityName>
      <candidateList>
        <item>药水浸泡</item>
      </candidateList>
      <explain/>
      <paraID> EA945B7</paraID>
      <start>14</start>
      <end>18</end>
      <status>modified</status>
      <modifiedWord>药水浸泡</modifiedWord>
      <trackRevisions>false</trackRevisions>
    </reviewItem>
    <reviewItem>
      <errorID>2690fd98-2967-44e8-a6dd-daa8d6b3448d</errorID>
      <errorWord> </errorWord>
      <group>L1_Punc</group>
      <groupName>标点问题</groupName>
      <ability>L2_Punc_CN</ability>
      <abilityName>标点符号问题</abilityName>
      <candidateList>
        <item> - </item>
      </candidateList>
      <explain/>
      <paraID> EA945B7</paraID>
      <start>53</start>
      <end>56</end>
      <status>modified</status>
      <modifiedWord> - </modifiedWord>
      <trackRevisions>false</trackRevisions>
    </reviewItem>
    <reviewItem>
      <errorID>60fa81fb-9248-4620-ba08-89b91172a8b6</errorID>
      <errorWord>一步</errorWord>
      <group>L1_Knowledge</group>
      <groupName>知识性问题</groupName>
      <ability>L2_Knowledge</ability>
      <abilityName>其他知识</abilityName>
      <candidateList>
        <item>一道</item>
      </candidateList>
      <explain/>
      <paraID> EA945B7</paraID>
      <start>71</start>
      <end>73</end>
      <status>modified</status>
      <modifiedWord>一道</modifiedWord>
      <trackRevisions>false</trackRevisions>
    </reviewItem>
    <reviewItem>
      <errorID>2241ded3-c8af-4139-9d00-6655cc9c8e95</errorID>
      <errorWord> </errorWord>
      <group>L1_Punc</group>
      <groupName>标点问题</groupName>
      <ability>L2_Punc_CN</ability>
      <abilityName>标点符号问题</abilityName>
      <candidateList>
        <item> - </item>
      </candidateList>
      <explain/>
      <paraID>2487B945</paraID>
      <start>22</start>
      <end>25</end>
      <status>modified</status>
      <modifiedWord> - </modifiedWord>
      <trackRevisions>false</trackRevisions>
    </reviewItem>
    <reviewItem>
      <errorID>078c2cb3-d91e-4050-b346-a5456e9cc444</errorID>
      <errorWord>粘合</errorWord>
      <group>L1_Word</group>
      <groupName>字词问题</groupName>
      <ability>L2_Alias</ability>
      <abilityName>也作/曾用词</abilityName>
      <candidateList>
        <item>黏合</item>
      </candidateList>
      <explain>词汇[粘合]为不规范表述或旧称，其规范书面表述为[黏合]。</explain>
      <paraID>623BC1C2</paraID>
      <start>56</start>
      <end>58</end>
      <status>ignored</status>
      <modifiedWord/>
      <trackRevisions>false</trackRevisions>
    </reviewItem>
    <reviewItem>
      <errorID>c3b5f782-74ea-417a-9bad-0616bf5bb175</errorID>
      <errorWord>胶粘剂</errorWord>
      <group>L1_Word</group>
      <groupName>字词问题</groupName>
      <ability>L2_Typo</ability>
      <abilityName>字词错误</abilityName>
      <candidateList>
        <item>胶黏剂</item>
      </candidateList>
      <explain/>
      <paraID>2BDFC463</paraID>
      <start>57</start>
      <end>60</end>
      <status>ignored</status>
      <modifiedWord/>
      <trackRevisions>false</trackRevisions>
    </reviewItem>
    <reviewItem>
      <errorID>d674bae8-726e-4a8d-8a67-af786efef460</errorID>
      <errorWord>胶粘剂</errorWord>
      <group>L1_Word</group>
      <groupName>字词问题</groupName>
      <ability>L2_Typo</ability>
      <abilityName>字词错误</abilityName>
      <candidateList>
        <item>胶黏剂</item>
      </candidateList>
      <explain/>
      <paraID>792ED4D3</paraID>
      <start>58</start>
      <end>61</end>
      <status>ignored</status>
      <modifiedWord/>
      <trackRevisions>false</trackRevisions>
    </reviewItem>
    <reviewItem>
      <errorID>7c7fa9d6-9191-4c48-8a1b-2ee93dff07ab</errorID>
      <errorWord>粘性的</errorWord>
      <group>L1_Word</group>
      <groupName>字词问题</groupName>
      <ability>L2_Alias</ability>
      <abilityName>也作/曾用词</abilityName>
      <candidateList>
        <item>黏性的</item>
      </candidateList>
      <explain>词汇[粘性的]为不规范表述或旧称，其规范书面表述为[黏性的]。</explain>
      <paraID>792ED4D3</paraID>
      <start>73</start>
      <end>76</end>
      <status>ignored</status>
      <modifiedWord/>
      <trackRevisions>false</trackRevisions>
    </reviewItem>
    <reviewItem>
      <errorID>76867ceb-b820-4a2b-b725-3dc2472eebc4</errorID>
      <errorWord>粘合</errorWord>
      <group>L1_Word</group>
      <groupName>字词问题</groupName>
      <ability>L2_Alias</ability>
      <abilityName>也作/曾用词</abilityName>
      <candidateList>
        <item>黏合</item>
      </candidateList>
      <explain>词汇[粘合]为不规范表述或旧称，其规范书面表述为[黏合]。</explain>
      <paraID>6342EB59</paraID>
      <start>51</start>
      <end>53</end>
      <status>ignored</status>
      <modifiedWord/>
      <trackRevisions>false</trackRevisions>
    </reviewItem>
    <reviewItem>
      <errorID>a70429a3-1685-4135-af15-70da8e4ccff1</errorID>
      <errorWord>胶粘剂</errorWord>
      <group>L1_Word</group>
      <groupName>字词问题</groupName>
      <ability>L2_Typo</ability>
      <abilityName>字词错误</abilityName>
      <candidateList>
        <item>胶黏剂</item>
      </candidateList>
      <explain/>
      <paraID>6342EB59</paraID>
      <start>64</start>
      <end>67</end>
      <status>ignored</status>
      <modifiedWord/>
      <trackRevisions>false</trackRevisions>
    </reviewItem>
    <reviewItem>
      <errorID>7c6660d1-8fa4-4b80-adc3-2b9ca41c28c5</errorID>
      <errorWord>胶粘剂</errorWord>
      <group>L1_Word</group>
      <groupName>字词问题</groupName>
      <ability>L2_Typo</ability>
      <abilityName>字词错误</abilityName>
      <candidateList>
        <item>胶黏剂</item>
      </candidateList>
      <explain/>
      <paraID>6342EB59</paraID>
      <start>98</start>
      <end>101</end>
      <status>ignored</status>
      <modifiedWord/>
      <trackRevisions>false</trackRevisions>
    </reviewItem>
    <reviewItem>
      <errorID>350c7468-4ea6-41ef-9fc7-29f448ada88c</errorID>
      <errorWord>。。</errorWord>
      <group>L1_Punc</group>
      <groupName>标点问题</groupName>
      <ability>L2_Punc_CN</ability>
      <abilityName>标点符号问题</abilityName>
      <candidateList>
        <item>。</item>
      </candidateList>
      <explain/>
      <paraID>6342EB59</paraID>
      <start>137</start>
      <end>138</end>
      <status>modified</status>
      <modifiedWord>。</modifiedWord>
      <trackRevisions>false</trackRevisions>
    </reviewItem>
    <reviewItem>
      <errorID>838ebc1d-9aab-4c91-9570-a0fd87f31c2a</errorID>
      <errorWord>~</errorWord>
      <group>L1_Format</group>
      <groupName>格式问题</groupName>
      <ability>L2_HalfPunc_CN</ability>
      <abilityName>全半角问题</abilityName>
      <candidateList>
        <item>～</item>
      </candidateList>
      <explain>文本全半角错误。</explain>
      <paraID>1C2D060B</paraID>
      <start>26</start>
      <end>27</end>
      <status>modified</status>
      <modifiedWord>～</modifiedWord>
      <trackRevisions>false</trackRevisions>
    </reviewItem>
    <reviewItem>
      <errorID>e1d75bbd-299e-45d9-99af-ed5442ae398d</errorID>
      <errorWord>粘合</errorWord>
      <group>L1_Word</group>
      <groupName>字词问题</groupName>
      <ability>L2_Alias</ability>
      <abilityName>也作/曾用词</abilityName>
      <candidateList>
        <item>黏合</item>
      </candidateList>
      <explain>词汇[粘合]为不规范表述或旧称，其规范书面表述为[黏合]。</explain>
      <paraID>1C2D060B</paraID>
      <start>73</start>
      <end>75</end>
      <status>ignored</status>
      <modifiedWord/>
      <trackRevisions>false</trackRevisions>
    </reviewItem>
    <reviewItem>
      <errorID>903b74f6-5813-4506-9866-2edc47998171</errorID>
      <errorWord>、</errorWord>
      <group>L1_Punc</group>
      <groupName>标点问题</groupName>
      <ability>L2_Punc_CN</ability>
      <abilityName>标点符号问题</abilityName>
      <candidateList>
        <item>：</item>
      </candidateList>
      <explain/>
      <paraID>73B97564</paraID>
      <start>2</start>
      <end>3</end>
      <status>ignored</status>
      <modifiedWord/>
      <trackRevisions>false</trackRevisions>
    </reviewItem>
    <reviewItem>
      <errorID>d47a4aa5-fae9-405e-ab4f-082c5e85dc10</errorID>
      <errorWord>震动</errorWord>
      <group>L1_Word</group>
      <groupName>字词问题</groupName>
      <ability>L2_Typo</ability>
      <abilityName>字词错误</abilityName>
      <candidateList>
        <item>振动</item>
      </candidateList>
      <explain>存在发音相同字词的误用。</explain>
      <paraID>7B6CB183</paraID>
      <start>29</start>
      <end>31</end>
      <status>ignored</status>
      <modifiedWord/>
      <trackRevisions>false</trackRevisions>
    </reviewItem>
    <reviewItem>
      <errorID>8fa8b405-0c8e-4f25-acd7-84e0cd4bf31d</errorID>
      <errorWord>震动</errorWord>
      <group>L1_Word</group>
      <groupName>字词问题</groupName>
      <ability>L2_Typo</ability>
      <abilityName>字词错误</abilityName>
      <candidateList>
        <item>振动</item>
      </candidateList>
      <explain>存在发音相同字词的误用。</explain>
      <paraID>709488D0</paraID>
      <start>3</start>
      <end>5</end>
      <status>ignored</status>
      <modifiedWord/>
      <trackRevisions>false</trackRevisions>
    </reviewItem>
    <reviewItem>
      <errorID>d6f1b8a8-3fbd-4730-a877-242f5cbeed05</errorID>
      <errorWord>胶粘剂</errorWord>
      <group>L1_Word</group>
      <groupName>字词问题</groupName>
      <ability>L2_Typo</ability>
      <abilityName>字词错误</abilityName>
      <candidateList>
        <item>胶黏剂</item>
      </candidateList>
      <explain/>
      <paraID> F265F3C</paraID>
      <start>72</start>
      <end>75</end>
      <status>ignored</status>
      <modifiedWord/>
      <trackRevisions>false</trackRevisions>
    </reviewItem>
    <reviewItem>
      <errorID>cdc698c1-1d3b-4ab8-98c2-cc31a356c778</errorID>
      <errorWord>、</errorWord>
      <group>L1_Punc</group>
      <groupName>标点问题</groupName>
      <ability>L2_Punc_CN</ability>
      <abilityName>标点符号问题</abilityName>
      <candidateList>
        <item>：</item>
      </candidateList>
      <explain/>
      <paraID>41251A19</paraID>
      <start>2</start>
      <end>3</end>
      <status>ignored</status>
      <modifiedWord/>
      <trackRevisions>false</trackRevisions>
    </reviewItem>
    <reviewItem>
      <errorID>44c68d7d-5b35-4747-a49a-06942dc5fcbf</errorID>
      <errorWord>粘合</errorWord>
      <group>L1_Word</group>
      <groupName>字词问题</groupName>
      <ability>L2_Alias</ability>
      <abilityName>也作/曾用词</abilityName>
      <candidateList>
        <item>黏合</item>
      </candidateList>
      <explain>词汇[粘合]为不规范表述或旧称，其规范书面表述为[黏合]。</explain>
      <paraID>59103F35</paraID>
      <start>203</start>
      <end>205</end>
      <status>ignored</status>
      <modifiedWord/>
      <trackRevisions>false</trackRevisions>
    </reviewItem>
    <reviewItem>
      <errorID>8b6befe8-2338-459f-84c2-96e6f0ffc18d</errorID>
      <errorWord>噪声</errorWord>
      <group>L1_Punc</group>
      <groupName>标点问题</groupName>
      <ability>L2_Punc_CN</ability>
      <abilityName>标点符号问题</abilityName>
      <candidateList>
        <item>噪声。</item>
      </candidateList>
      <explain/>
      <paraID>190BF0CB</paraID>
      <start>27</start>
      <end>30</end>
      <status>modified</status>
      <modifiedWord>噪声。</modifiedWord>
      <trackRevisions>false</trackRevisions>
    </reviewItem>
    <reviewItem>
      <errorID>c6563771-60e9-4f54-baec-cf842d92b11b</errorID>
      <errorWord>粘合</errorWord>
      <group>L1_Word</group>
      <groupName>字词问题</groupName>
      <ability>L2_Alias</ability>
      <abilityName>也作/曾用词</abilityName>
      <candidateList>
        <item>黏合</item>
      </candidateList>
      <explain>词汇[粘合]为不规范表述或旧称，其规范书面表述为[黏合]。</explain>
      <paraID>40D75381</paraID>
      <start>65</start>
      <end>67</end>
      <status>ignored</status>
      <modifiedWord/>
      <trackRevisions>false</trackRevisions>
    </reviewItem>
    <reviewItem>
      <errorID>efc3d5b8-08e6-4131-a628-e402a187f1d5</errorID>
      <errorWord>胶粘剂</errorWord>
      <group>L1_Word</group>
      <groupName>字词问题</groupName>
      <ability>L2_Typo</ability>
      <abilityName>字词错误</abilityName>
      <candidateList>
        <item>胶黏剂</item>
      </candidateList>
      <explain/>
      <paraID>1C087DB6</paraID>
      <start>73</start>
      <end>76</end>
      <status>ignored</status>
      <modifiedWord/>
      <trackRevisions>false</trackRevisions>
    </reviewItem>
    <reviewItem>
      <errorID>48b67d23-41f1-425c-acf5-c72b213819b9</errorID>
      <errorWord>粘性的</errorWord>
      <group>L1_Word</group>
      <groupName>字词问题</groupName>
      <ability>L2_Alias</ability>
      <abilityName>也作/曾用词</abilityName>
      <candidateList>
        <item>黏性的</item>
      </candidateList>
      <explain>词汇[粘性的]为不规范表述或旧称，其规范书面表述为[黏性的]。</explain>
      <paraID>1C087DB6</paraID>
      <start>88</start>
      <end>91</end>
      <status>ignored</status>
      <modifiedWord/>
      <trackRevisions>false</trackRevisions>
    </reviewItem>
    <reviewItem>
      <errorID>ac757cd5-c3a2-4dcc-9169-6a369fe53c64</errorID>
      <errorWord>粘合</errorWord>
      <group>L1_Word</group>
      <groupName>字词问题</groupName>
      <ability>L2_Alias</ability>
      <abilityName>也作/曾用词</abilityName>
      <candidateList>
        <item>黏合</item>
      </candidateList>
      <explain>词汇[粘合]为不规范表述或旧称，其规范书面表述为[黏合]。</explain>
      <paraID>1C087DB6</paraID>
      <start>97</start>
      <end>99</end>
      <status>ignored</status>
      <modifiedWord/>
      <trackRevisions>false</trackRevisions>
    </reviewItem>
    <reviewItem>
      <errorID>e0344fb3-cc6c-4402-9a90-65243c902aac</errorID>
      <errorWord>粘合</errorWord>
      <group>L1_Word</group>
      <groupName>字词问题</groupName>
      <ability>L2_Alias</ability>
      <abilityName>也作/曾用词</abilityName>
      <candidateList>
        <item>黏合</item>
      </candidateList>
      <explain>词汇[粘合]为不规范表述或旧称，其规范书面表述为[黏合]。</explain>
      <paraID>76D1BAC0</paraID>
      <start>23</start>
      <end>25</end>
      <status>ignored</status>
      <modifiedWord/>
      <trackRevisions>false</trackRevisions>
    </reviewItem>
    <reviewItem>
      <errorID>161613b7-57ff-495e-aade-505c3b7a624f</errorID>
      <errorWord>粘合</errorWord>
      <group>L1_Word</group>
      <groupName>字词问题</groupName>
      <ability>L2_Alias</ability>
      <abilityName>也作/曾用词</abilityName>
      <candidateList>
        <item>黏合</item>
      </candidateList>
      <explain>词汇[粘合]为不规范表述或旧称，其规范书面表述为[黏合]。</explain>
      <paraID>76D1BAC0</paraID>
      <start>57</start>
      <end>59</end>
      <status>ignored</status>
      <modifiedWord/>
      <trackRevisions>false</trackRevisions>
    </reviewItem>
    <reviewItem>
      <errorID>94e35551-0e5a-4d27-921b-4b19979b8429</errorID>
      <errorWord>~</errorWord>
      <group>L1_Format</group>
      <groupName>格式问题</groupName>
      <ability>L2_HalfPunc_CN</ability>
      <abilityName>全半角问题</abilityName>
      <candidateList>
        <item>～</item>
      </candidateList>
      <explain>文本全半角错误。</explain>
      <paraID>50A7D8E8</paraID>
      <start>19</start>
      <end>20</end>
      <status>modified</status>
      <modifiedWord>～</modifiedWord>
      <trackRevisions>false</trackRevisions>
    </reviewItem>
    <reviewItem>
      <errorID>451ba0c7-4827-450e-a33f-73476393f4e0</errorID>
      <errorWord>粘合</errorWord>
      <group>L1_Word</group>
      <groupName>字词问题</groupName>
      <ability>L2_Alias</ability>
      <abilityName>也作/曾用词</abilityName>
      <candidateList>
        <item>黏合</item>
      </candidateList>
      <explain>词汇[粘合]为不规范表述或旧称，其规范书面表述为[黏合]。</explain>
      <paraID>50A7D8E8</paraID>
      <start>65</start>
      <end>67</end>
      <status>ignored</status>
      <modifiedWord/>
      <trackRevisions>false</trackRevisions>
    </reviewItem>
    <reviewItem>
      <errorID>48726154-b833-4779-bf7d-84f1dde7cf5a</errorID>
      <errorWord>胶粘剂</errorWord>
      <group>L1_Word</group>
      <groupName>字词问题</groupName>
      <ability>L2_Typo</ability>
      <abilityName>字词错误</abilityName>
      <candidateList>
        <item>胶黏剂</item>
      </candidateList>
      <explain/>
      <paraID>2FB46CD3</paraID>
      <start>52</start>
      <end>55</end>
      <status>ignored</status>
      <modifiedWord/>
      <trackRevisions>false</trackRevisions>
    </reviewItem>
    <reviewItem>
      <errorID>6894b850-eac0-4d17-8edb-410e2ffe7554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7C1AE04D</paraID>
      <start>0</start>
      <end>2</end>
      <status>ignored</status>
      <modifiedWord/>
      <trackRevisions>false</trackRevisions>
    </reviewItem>
    <reviewItem>
      <errorID>a63a6718-ccd2-4f91-900a-3fd15037e93e</errorID>
      <errorWord>紫外光</errorWord>
      <group>L1_Word</group>
      <groupName>字词问题</groupName>
      <ability>L2_Typo</ability>
      <abilityName>字词错误</abilityName>
      <candidateList>
        <item>紫外线</item>
      </candidateList>
      <explain/>
      <paraID>5BAC4D35</paraID>
      <start>57</start>
      <end>60</end>
      <status>modified</status>
      <modifiedWord>紫外线</modifiedWord>
      <trackRevisions>false</trackRevisions>
    </reviewItem>
    <reviewItem>
      <errorID>350c5736-37a0-4699-b61f-59ddd56682c9</errorID>
      <errorWord>属</errorWord>
      <group>L1_Word</group>
      <groupName>字词问题</groupName>
      <ability>L2_Typo</ability>
      <abilityName>字词错误</abilityName>
      <candidateList>
        <item>属于</item>
      </candidateList>
      <explain/>
      <paraID>6E75B64F</paraID>
      <start>3</start>
      <end>5</end>
      <status>modified</status>
      <modifiedWord>属于</modifiedWord>
      <trackRevisions>false</trackRevisions>
    </reviewItem>
    <reviewItem>
      <errorID>f2312846-0142-4dd3-89fe-a169892ed785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1CB00E1B</paraID>
      <start>0</start>
      <end>2</end>
      <status>ignored</status>
      <modifiedWord/>
      <trackRevisions>false</trackRevisions>
    </reviewItem>
    <reviewItem>
      <errorID>030e82cd-f37f-47d4-bf98-3198a58eb7bf</errorID>
      <errorWord>中山市《</errorWord>
      <group>L1_Word</group>
      <groupName>字词问题</groupName>
      <ability>L2_Typo</ability>
      <abilityName>字词错误</abilityName>
      <candidateList>
        <item>《中山市</item>
      </candidateList>
      <explain/>
      <paraID>5EADD37A</paraID>
      <start>16</start>
      <end>20</end>
      <status>modified</status>
      <modifiedWord>《中山市</modifiedWord>
      <trackRevisions>false</trackRevisions>
    </reviewItem>
    <reviewItem>
      <errorID>491de66e-1ad1-4b39-863c-249e506f4e2c</errorID>
      <errorWord>中</errorWord>
      <group>L1_Word</group>
      <groupName>字词问题</groupName>
      <ability>L2_Typo</ability>
      <abilityName>字词错误</abilityName>
      <candidateList>
        <item>显示</item>
      </candidateList>
      <explain/>
      <paraID>5EADD37A</paraID>
      <start>31</start>
      <end>33</end>
      <status>modified</status>
      <modifiedWord>显示</modifiedWord>
      <trackRevisions>false</trackRevisions>
    </reviewItem>
    <reviewItem>
      <errorID>6307e2b2-368a-4fb7-bafd-744bfbe77979</errorID>
      <errorWord>轻度度</errorWord>
      <group>L1_Word</group>
      <groupName>字词问题</groupName>
      <ability>L2_Typo</ability>
      <abilityName>字词错误</abilityName>
      <candidateList>
        <item>轻度</item>
      </candidateList>
      <explain/>
      <paraID>5EADD37A</paraID>
      <start>48</start>
      <end>50</end>
      <status>modified</status>
      <modifiedWord>轻度</modifiedWord>
      <trackRevisions>false</trackRevisions>
    </reviewItem>
    <reviewItem>
      <errorID>58a9a0d7-0306-4455-950c-b467242e0cce</errorID>
      <errorWord>、</errorWord>
      <group>L1_Punc</group>
      <groupName>标点问题</groupName>
      <ability>L2_Punc_CN</ability>
      <abilityName>标点符号问题</abilityName>
      <candidateList>
        <item>：</item>
      </candidateList>
      <explain/>
      <paraID>4DA7FF95</paraID>
      <start>2</start>
      <end>3</end>
      <status>ignored</status>
      <modifiedWord/>
      <trackRevisions>false</trackRevisions>
    </reviewItem>
    <reviewItem>
      <errorID>50da26ec-841f-45c2-8b36-88b76a38fc82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2EAB54B4</paraID>
      <start>0</start>
      <end>2</end>
      <status>ignored</status>
      <modifiedWord/>
      <trackRevisions>false</trackRevisions>
    </reviewItem>
    <reviewItem>
      <errorID>6ed3cea9-2360-41bc-bfd3-0b7aa5783e3f</errorID>
      <errorWord>1、环境</errorWord>
      <group>L1_Grammar</group>
      <groupName>语法问题</groupName>
      <ability>L2_Grammar</ability>
      <abilityName>语法错误</abilityName>
      <candidateList>
        <item>环境</item>
      </candidateList>
      <explain/>
      <paraID>3E04D17D</paraID>
      <start>0</start>
      <end>2</end>
      <status>modified</status>
      <modifiedWord>环境</modifiedWord>
      <trackRevisions>false</trackRevisions>
    </reviewItem>
    <reviewItem>
      <errorID>1cd23993-f39a-49d2-b5cf-1a75adcc2e24</errorID>
      <errorWord>(</errorWord>
      <group>L1_Format</group>
      <groupName>格式问题</groupName>
      <ability>L2_HalfPunc_CN</ability>
      <abilityName>全半角问题</abilityName>
      <candidateList>
        <item>（</item>
      </candidateList>
      <explain>文本全半角错误。</explain>
      <paraID>5A7C2F77</paraID>
      <start>78</start>
      <end>79</end>
      <status>modified</status>
      <modifiedWord>（</modifiedWord>
      <trackRevisions>false</trackRevisions>
    </reviewItem>
    <reviewItem>
      <errorID>cf5136eb-e3f3-44d2-bd88-a99131ff05f7</errorID>
      <errorWord>)</errorWord>
      <group>L1_Format</group>
      <groupName>格式问题</groupName>
      <ability>L2_HalfPunc_CN</ability>
      <abilityName>全半角问题</abilityName>
      <candidateList>
        <item>）</item>
      </candidateList>
      <explain>文本全半角错误。</explain>
      <paraID>5A7C2F77</paraID>
      <start>90</start>
      <end>91</end>
      <status>modified</status>
      <modifiedWord>）</modifiedWord>
      <trackRevisions>false</trackRevisions>
    </reviewItem>
    <reviewItem>
      <errorID>01f31a45-f9f9-4209-bff0-a92022340f9a</errorID>
      <errorWord>(</errorWord>
      <group>L1_Format</group>
      <groupName>格式问题</groupName>
      <ability>L2_HalfPunc_CN</ability>
      <abilityName>全半角问题</abilityName>
      <candidateList>
        <item>（</item>
      </candidateList>
      <explain>文本全半角错误。</explain>
      <paraID>4E21654A</paraID>
      <start>135</start>
      <end>136</end>
      <status>modified</status>
      <modifiedWord>（</modifiedWord>
      <trackRevisions>false</trackRevisions>
    </reviewItem>
    <reviewItem>
      <errorID>dd8d269c-4cda-486a-ad07-3f0a4c8107f0</errorID>
      <errorWord>)</errorWord>
      <group>L1_Format</group>
      <groupName>格式问题</groupName>
      <ability>L2_HalfPunc_CN</ability>
      <abilityName>全半角问题</abilityName>
      <candidateList>
        <item>）</item>
      </candidateList>
      <explain>文本全半角错误。</explain>
      <paraID>4E21654A</paraID>
      <start>147</start>
      <end>148</end>
      <status>modified</status>
      <modifiedWord>）</modifiedWord>
      <trackRevisions>false</trackRevisions>
    </reviewItem>
    <reviewItem>
      <errorID>80d2efb8-d15b-4c5f-abcd-a5a5863da552</errorID>
      <errorWord>(</errorWord>
      <group>L1_Format</group>
      <groupName>格式问题</groupName>
      <ability>L2_HalfPunc_CN</ability>
      <abilityName>全半角问题</abilityName>
      <candidateList>
        <item>（</item>
      </candidateList>
      <explain>文本全半角错误。</explain>
      <paraID>3A11E67D</paraID>
      <start>51</start>
      <end>52</end>
      <status>modified</status>
      <modifiedWord>（</modifiedWord>
      <trackRevisions>false</trackRevisions>
    </reviewItem>
    <reviewItem>
      <errorID>8d603ffa-d64e-4e55-af46-4e632bf38dca</errorID>
      <errorWord>)</errorWord>
      <group>L1_Format</group>
      <groupName>格式问题</groupName>
      <ability>L2_HalfPunc_CN</ability>
      <abilityName>全半角问题</abilityName>
      <candidateList>
        <item>）</item>
      </candidateList>
      <explain>文本全半角错误。</explain>
      <paraID>3A11E67D</paraID>
      <start>63</start>
      <end>64</end>
      <status>modified</status>
      <modifiedWord>）</modifiedWord>
      <trackRevisions>false</trackRevisions>
    </reviewItem>
    <reviewItem>
      <errorID>e1d7643a-ffe8-41d1-91aa-ff8e5d013a60</errorID>
      <errorWord>均值数</errorWord>
      <group>L1_Word</group>
      <groupName>字词问题</groupName>
      <ability>L2_Typo</ability>
      <abilityName>字词错误</abilityName>
      <candidateList>
        <item>均值</item>
      </candidateList>
      <explain/>
      <paraID>3A11E67D</paraID>
      <start>98</start>
      <end>100</end>
      <status>modified</status>
      <modifiedWord>均值</modifiedWord>
      <trackRevisions>false</trackRevisions>
    </reviewItem>
    <reviewItem>
      <errorID>c5a905fb-9db1-442e-8753-ec41b9cf29e9</errorID>
      <errorWord>监测站数据</errorWord>
      <group>L1_Word</group>
      <groupName>字词问题</groupName>
      <ability>L2_Typo</ability>
      <abilityName>字词错误</abilityName>
      <candidateList>
        <item>监测数据</item>
      </candidateList>
      <explain/>
      <paraID>3A11E67D</paraID>
      <start>118</start>
      <end>122</end>
      <status>modified</status>
      <modifiedWord>监测数据</modifiedWord>
      <trackRevisions>false</trackRevisions>
    </reviewItem>
    <reviewItem>
      <errorID>82fefe35-e809-4718-b7c3-26101e47954a</errorID>
      <errorWord> </errorWord>
      <group>L1_Word</group>
      <groupName>字词问题</groupName>
      <ability>L2_Typo</ability>
      <abilityName>字词错误</abilityName>
      <candidateList>
        <item>°</item>
      </candidateList>
      <explain/>
      <paraID> AFFEF23</paraID>
      <start>3</start>
      <end>4</end>
      <status>ignored</status>
      <modifiedWord/>
      <trackRevisions>false</trackRevisions>
    </reviewItem>
    <reviewItem>
      <errorID>80b73927-6d81-41bc-8099-06c550be6db7</errorID>
      <errorWord> </errorWord>
      <group>L1_Word</group>
      <groupName>字词问题</groupName>
      <ability>L2_Typo</ability>
      <abilityName>字词错误</abilityName>
      <candidateList>
        <item>°</item>
      </candidateList>
      <explain/>
      <paraID>61291C22</paraID>
      <start>2</start>
      <end>3</end>
      <status>ignored</status>
      <modifiedWord/>
      <trackRevisions>false</trackRevisions>
    </reviewItem>
    <reviewItem>
      <errorID>e9ba37a5-6dea-4d4c-927a-00ab8131219a</errorID>
      <errorWord>SO2</errorWord>
      <group>L1_Word</group>
      <groupName>字词问题</groupName>
      <ability>L2_Typo</ability>
      <abilityName>字词错误</abilityName>
      <candidateList>
        <item>SO₂</item>
      </candidateList>
      <explain/>
      <paraID>7906BD54</paraID>
      <start>5</start>
      <end>8</end>
      <status>modified</status>
      <modifiedWord>SO₂</modifiedWord>
      <trackRevisions>false</trackRevisions>
    </reviewItem>
    <reviewItem>
      <errorID>523b2725-5659-43a2-8df7-6582eef22789</errorID>
      <errorWord>(</errorWord>
      <group>L1_Format</group>
      <groupName>格式问题</groupName>
      <ability>L2_HalfPunc_CN</ability>
      <abilityName>全半角问题</abilityName>
      <candidateList>
        <item>（</item>
      </candidateList>
      <explain>文本全半角错误。</explain>
      <paraID>7906BD54</paraID>
      <start>39</start>
      <end>40</end>
      <status>modified</status>
      <modifiedWord>（</modifiedWord>
      <trackRevisions>false</trackRevisions>
    </reviewItem>
    <reviewItem>
      <errorID>70956e40-4195-4636-9415-e1a1f4a54a4a</errorID>
      <errorWord>GB3095</errorWord>
      <group>L1_Word</group>
      <groupName>字词问题</groupName>
      <ability>L2_Typo</ability>
      <abilityName>字词错误</abilityName>
      <candidateList>
        <item>GB 3095</item>
      </candidateList>
      <explain/>
      <paraID>7906BD54</paraID>
      <start>40</start>
      <end>47</end>
      <status>modified</status>
      <modifiedWord>GB 3095</modifiedWord>
      <trackRevisions>false</trackRevisions>
    </reviewItem>
    <reviewItem>
      <errorID>b881f226-ad5e-4620-82fd-af5f78c83ad4</errorID>
      <errorWord>)</errorWord>
      <group>L1_Format</group>
      <groupName>格式问题</groupName>
      <ability>L2_HalfPunc_CN</ability>
      <abilityName>全半角问题</abilityName>
      <candidateList>
        <item>）</item>
      </candidateList>
      <explain>文本全半角错误。</explain>
      <paraID>7906BD54</paraID>
      <start>52</start>
      <end>53</end>
      <status>modified</status>
      <modifiedWord>）</modifiedWord>
      <trackRevisions>false</trackRevisions>
    </reviewItem>
    <reviewItem>
      <errorID>d73a146e-a2cd-48b7-b487-0b989da50a71</errorID>
      <errorWord>PM10</errorWord>
      <group>L1_Word</group>
      <groupName>字词问题</groupName>
      <ability>L2_Typo</ability>
      <abilityName>字词错误</abilityName>
      <candidateList>
        <item>PM₁₀</item>
      </candidateList>
      <explain/>
      <paraID>7906BD54</paraID>
      <start>68</start>
      <end>72</end>
      <status>modified</status>
      <modifiedWord>PM₁₀</modifiedWord>
      <trackRevisions>false</trackRevisions>
    </reviewItem>
    <reviewItem>
      <errorID>82d11af8-26ba-4dc2-b41d-e1b43198fb38</errorID>
      <errorWord>(</errorWord>
      <group>L1_Format</group>
      <groupName>格式问题</groupName>
      <ability>L2_HalfPunc_CN</ability>
      <abilityName>全半角问题</abilityName>
      <candidateList>
        <item>（</item>
      </candidateList>
      <explain>文本全半角错误。</explain>
      <paraID>7906BD54</paraID>
      <start>103</start>
      <end>104</end>
      <status>modified</status>
      <modifiedWord>（</modifiedWord>
      <trackRevisions>false</trackRevisions>
    </reviewItem>
    <reviewItem>
      <errorID>28468878-955c-4422-b8b6-b016694c9fd1</errorID>
      <errorWord>GB3095- </errorWord>
      <group>L1_Word</group>
      <groupName>字词问题</groupName>
      <ability>L2_Typo</ability>
      <abilityName>字词错误</abilityName>
      <candidateList>
        <item>GB 3095-</item>
      </candidateList>
      <explain/>
      <paraID>7906BD54</paraID>
      <start>104</start>
      <end>112</end>
      <status>modified</status>
      <modifiedWord>GB 3095-</modifiedWord>
      <trackRevisions>false</trackRevisions>
    </reviewItem>
    <reviewItem>
      <errorID>be4564db-ccc5-42d5-83a7-e542283cbb06</errorID>
      <errorWord>)</errorWord>
      <group>L1_Format</group>
      <groupName>格式问题</groupName>
      <ability>L2_HalfPunc_CN</ability>
      <abilityName>全半角问题</abilityName>
      <candidateList>
        <item>）</item>
      </candidateList>
      <explain>文本全半角错误。</explain>
      <paraID>7906BD54</paraID>
      <start>116</start>
      <end>117</end>
      <status>modified</status>
      <modifiedWord>）</modifiedWord>
      <trackRevisions>false</trackRevisions>
    </reviewItem>
    <reviewItem>
      <errorID>d129d61f-9d88-40bc-b8df-fff8b6a20844</errorID>
      <errorWord>(</errorWord>
      <group>L1_Format</group>
      <groupName>格式问题</groupName>
      <ability>L2_HalfPunc_CN</ability>
      <abilityName>全半角问题</abilityName>
      <candidateList>
        <item>（</item>
      </candidateList>
      <explain>文本全半角错误。</explain>
      <paraID>7906BD54</paraID>
      <start>169</start>
      <end>170</end>
      <status>modified</status>
      <modifiedWord>（</modifiedWord>
      <trackRevisions>false</trackRevisions>
    </reviewItem>
    <reviewItem>
      <errorID>a27b2ba0-a8b7-46a0-9631-180950c37569</errorID>
      <errorWord>GB3095</errorWord>
      <group>L1_Word</group>
      <groupName>字词问题</groupName>
      <ability>L2_Typo</ability>
      <abilityName>字词错误</abilityName>
      <candidateList>
        <item>GB 3095</item>
      </candidateList>
      <explain/>
      <paraID>7906BD54</paraID>
      <start>170</start>
      <end>177</end>
      <status>modified</status>
      <modifiedWord>GB 3095</modifiedWord>
      <trackRevisions>false</trackRevisions>
    </reviewItem>
    <reviewItem>
      <errorID>898ef5e7-b121-4bff-9f2e-ec5e6a8a8162</errorID>
      <errorWord>)</errorWord>
      <group>L1_Format</group>
      <groupName>格式问题</groupName>
      <ability>L2_HalfPunc_CN</ability>
      <abilityName>全半角问题</abilityName>
      <candidateList>
        <item>）</item>
      </candidateList>
      <explain>文本全半角错误。</explain>
      <paraID>7906BD54</paraID>
      <start>182</start>
      <end>183</end>
      <status>modified</status>
      <modifiedWord>）</modifiedWord>
      <trackRevisions>false</trackRevisions>
    </reviewItem>
    <reviewItem>
      <errorID>93e2b957-36c7-42bf-80c7-9ba1bc988fca</errorID>
      <errorWord>CO24</errorWord>
      <group>L1_Word</group>
      <groupName>字词问题</groupName>
      <ability>L2_Typo</ability>
      <abilityName>字词错误</abilityName>
      <candidateList>
        <item>CO₂₄</item>
      </candidateList>
      <explain/>
      <paraID>7906BD54</paraID>
      <start>198</start>
      <end>202</end>
      <status>ignored</status>
      <modifiedWord/>
      <trackRevisions>false</trackRevisions>
    </reviewItem>
    <reviewItem>
      <errorID>59fab477-ea8b-47ea-bdd8-be1f1c26ea11</errorID>
      <errorWord>(</errorWord>
      <group>L1_Format</group>
      <groupName>格式问题</groupName>
      <ability>L2_HalfPunc_CN</ability>
      <abilityName>全半角问题</abilityName>
      <candidateList>
        <item>（</item>
      </candidateList>
      <explain>文本全半角错误。</explain>
      <paraID>7906BD54</paraID>
      <start>225</start>
      <end>226</end>
      <status>modified</status>
      <modifiedWord>（</modifiedWord>
      <trackRevisions>false</trackRevisions>
    </reviewItem>
    <reviewItem>
      <errorID>8ac47578-0866-45f1-8f84-0e9c18895568</errorID>
      <errorWord>GB3095</errorWord>
      <group>L1_Word</group>
      <groupName>字词问题</groupName>
      <ability>L2_Typo</ability>
      <abilityName>字词错误</abilityName>
      <candidateList>
        <item>GB 3095</item>
      </candidateList>
      <explain/>
      <paraID>7906BD54</paraID>
      <start>226</start>
      <end>233</end>
      <status>modified</status>
      <modifiedWord>GB 3095</modifiedWord>
      <trackRevisions>false</trackRevisions>
    </reviewItem>
    <reviewItem>
      <errorID>b6f54ff1-ef6f-4bb3-bbd7-505130a674f0</errorID>
      <errorWord>)</errorWord>
      <group>L1_Format</group>
      <groupName>格式问题</groupName>
      <ability>L2_HalfPunc_CN</ability>
      <abilityName>全半角问题</abilityName>
      <candidateList>
        <item>）</item>
      </candidateList>
      <explain>文本全半角错误。</explain>
      <paraID>7906BD54</paraID>
      <start>238</start>
      <end>239</end>
      <status>modified</status>
      <modifiedWord>）</modifiedWord>
      <trackRevisions>false</trackRevisions>
    </reviewItem>
    <reviewItem>
      <errorID>b3ff37af-83d5-4e60-bab6-9c700b38b71e</errorID>
      <errorWord>NO2</errorWord>
      <group>L1_Word</group>
      <groupName>字词问题</groupName>
      <ability>L2_Typo</ability>
      <abilityName>字词错误</abilityName>
      <candidateList>
        <item>NO₂</item>
      </candidateList>
      <explain/>
      <paraID>7906BD54</paraID>
      <start>254</start>
      <end>257</end>
      <status>ignored</status>
      <modifiedWord/>
      <trackRevisions>false</trackRevisions>
    </reviewItem>
    <reviewItem>
      <errorID>ccf601a7-67fb-4220-b744-187778646e50</errorID>
      <errorWord>(</errorWord>
      <group>L1_Format</group>
      <groupName>格式问题</groupName>
      <ability>L2_HalfPunc_CN</ability>
      <abilityName>全半角问题</abilityName>
      <candidateList>
        <item>（</item>
      </candidateList>
      <explain>文本全半角错误。</explain>
      <paraID>7906BD54</paraID>
      <start>282</start>
      <end>283</end>
      <status>modified</status>
      <modifiedWord>（</modifiedWord>
      <trackRevisions>false</trackRevisions>
    </reviewItem>
    <reviewItem>
      <errorID>1a7280b4-0ae1-4fa6-accd-a16c19e2fdf6</errorID>
      <errorWord>GB3095</errorWord>
      <group>L1_Word</group>
      <groupName>字词问题</groupName>
      <ability>L2_Typo</ability>
      <abilityName>字词错误</abilityName>
      <candidateList>
        <item>GB 3095</item>
      </candidateList>
      <explain/>
      <paraID>7906BD54</paraID>
      <start>283</start>
      <end>290</end>
      <status>modified</status>
      <modifiedWord>GB 3095</modifiedWord>
      <trackRevisions>false</trackRevisions>
    </reviewItem>
    <reviewItem>
      <errorID>3f14b494-f460-486a-87fc-885e06257403</errorID>
      <errorWord>)</errorWord>
      <group>L1_Format</group>
      <groupName>格式问题</groupName>
      <ability>L2_HalfPunc_CN</ability>
      <abilityName>全半角问题</abilityName>
      <candidateList>
        <item>）</item>
      </candidateList>
      <explain>文本全半角错误。</explain>
      <paraID>7906BD54</paraID>
      <start>295</start>
      <end>296</end>
      <status>modified</status>
      <modifiedWord>）</modifiedWord>
      <trackRevisions>false</trackRevisions>
    </reviewItem>
    <reviewItem>
      <errorID>9ed09151-b270-4493-bb69-ae8241b00336</errorID>
      <errorWord>O3</errorWord>
      <group>L1_Word</group>
      <groupName>字词问题</groupName>
      <ability>L2_Typo</ability>
      <abilityName>字词错误</abilityName>
      <candidateList>
        <item>O₃</item>
      </candidateList>
      <explain/>
      <paraID>7906BD54</paraID>
      <start>311</start>
      <end>313</end>
      <status>ignored</status>
      <modifiedWord/>
      <trackRevisions>false</trackRevisions>
    </reviewItem>
    <reviewItem>
      <errorID>1de6161f-ab13-465d-b523-149bc5a6fedd</errorID>
      <errorWord>(</errorWord>
      <group>L1_Format</group>
      <groupName>格式问题</groupName>
      <ability>L2_HalfPunc_CN</ability>
      <abilityName>全半角问题</abilityName>
      <candidateList>
        <item>（</item>
      </candidateList>
      <explain>文本全半角错误。</explain>
      <paraID>7906BD54</paraID>
      <start>340</start>
      <end>341</end>
      <status>modified</status>
      <modifiedWord>（</modifiedWord>
      <trackRevisions>false</trackRevisions>
    </reviewItem>
    <reviewItem>
      <errorID>bc70073a-6aa0-458b-babb-a630def227f1</errorID>
      <errorWord>GB3095</errorWord>
      <group>L1_Word</group>
      <groupName>字词问题</groupName>
      <ability>L2_Typo</ability>
      <abilityName>字词错误</abilityName>
      <candidateList>
        <item>GB 3095</item>
      </candidateList>
      <explain/>
      <paraID>7906BD54</paraID>
      <start>341</start>
      <end>348</end>
      <status>modified</status>
      <modifiedWord>GB 3095</modifiedWord>
      <trackRevisions>false</trackRevisions>
    </reviewItem>
    <reviewItem>
      <errorID>7aec7f2f-16ac-41f2-93bb-38cc2a80cae6</errorID>
      <errorWord>)</errorWord>
      <group>L1_Format</group>
      <groupName>格式问题</groupName>
      <ability>L2_HalfPunc_CN</ability>
      <abilityName>全半角问题</abilityName>
      <candidateList>
        <item>）</item>
      </candidateList>
      <explain>文本全半角错误。</explain>
      <paraID>7906BD54</paraID>
      <start>353</start>
      <end>354</end>
      <status>modified</status>
      <modifiedWord>）</modifiedWord>
      <trackRevisions>false</trackRevisions>
    </reviewItem>
    <reviewItem>
      <errorID>4f2eeebd-448f-46a4-9e7f-88e94caa12c9</errorID>
      <errorWord>》</errorWord>
      <group>L1_Punc</group>
      <groupName>标点问题</groupName>
      <ability>L2_Punc_CN</ability>
      <abilityName>标点符号问题</abilityName>
      <candidateList>
        <item/>
      </candidateList>
      <explain/>
      <paraID>1C006EEE</paraID>
      <start>24</start>
      <end>25</end>
      <status>ignored</status>
      <modifiedWord/>
      <trackRevisions>false</trackRevisions>
    </reviewItem>
    <reviewItem>
      <errorID>b3a1099a-bffd-41b9-a41b-1450ad0cadab</errorID>
      <errorWord>，</errorWord>
      <group>L1_Punc</group>
      <groupName>标点问题</groupName>
      <ability>L2_Punc_CN</ability>
      <abilityName>标点符号问题</abilityName>
      <candidateList>
        <item>》，</item>
      </candidateList>
      <explain/>
      <paraID>1C006EEE</paraID>
      <start>33</start>
      <end>34</end>
      <status>ignored</status>
      <modifiedWord/>
      <trackRevisions>false</trackRevisions>
    </reviewItem>
    <reviewItem>
      <errorID>5ad1dded-12cc-4ad0-94cd-a6e759d871ed</errorID>
      <errorWord>2024年01月04日</errorWord>
      <group>L1_Knowledge</group>
      <groupName>知识性问题</groupName>
      <ability>L2_Time</ability>
      <abilityName>日期时间</abilityName>
      <candidateList>
        <item>2024年1月4日</item>
      </candidateList>
      <explain>根据日常书写习惯，月份和日期一般会省略前导零。</explain>
      <paraID>1C006EEE</paraID>
      <start>53</start>
      <end>62</end>
      <status>modified</status>
      <modifiedWord>2024年1月4日</modifiedWord>
      <trackRevisions>false</trackRevisions>
    </reviewItem>
    <reviewItem>
      <errorID>82d5c147-ce67-4ed8-abcd-6e60e1ef6024</errorID>
      <errorWord>01月06日</errorWord>
      <group>L1_Knowledge</group>
      <groupName>知识性问题</groupName>
      <ability>L2_Time</ability>
      <abilityName>日期时间</abilityName>
      <candidateList>
        <item>1月6日</item>
      </candidateList>
      <explain>根据日常书写习惯，月份和日期一般会省略前导零。</explain>
      <paraID>1C006EEE</paraID>
      <start>63</start>
      <end>67</end>
      <status>modified</status>
      <modifiedWord>1月6日</modifiedWord>
      <trackRevisions>false</trackRevisions>
    </reviewItem>
    <reviewItem>
      <errorID>fa7c5621-d894-411d-a41e-3d8080c58f09</errorID>
      <errorWord>布设的</errorWord>
      <group>L1_Word</group>
      <groupName>字词问题</groupName>
      <ability>L2_Typo</ability>
      <abilityName>字词错误</abilityName>
      <candidateList>
        <item>布设</item>
      </candidateList>
      <explain/>
      <paraID>1C006EEE</paraID>
      <start>86</start>
      <end>88</end>
      <status>modified</status>
      <modifiedWord>布设</modifiedWord>
      <trackRevisions>false</trackRevisions>
    </reviewItem>
    <reviewItem>
      <errorID>d35ddae2-c963-4b44-b98b-167d7e2488ce</errorID>
      <errorWord>位于</errorWord>
      <group>L1_Grammar</group>
      <groupName>语法问题</groupName>
      <ability>L2_Grammar</ability>
      <abilityName>语法错误</abilityName>
      <candidateList>
        <item>该点位位于</item>
      </candidateList>
      <explain/>
      <paraID>1C006EEE</paraID>
      <start>97</start>
      <end>102</end>
      <status>modified</status>
      <modifiedWord>该点位位于</modifiedWord>
      <trackRevisions>false</trackRevisions>
    </reviewItem>
    <reviewItem>
      <errorID>c376b237-7ade-4631-9246-b763f1305bec</errorID>
      <errorWord>建设项目环境影响报告表编制技术指南（污染影响类）（试行）</errorWord>
      <group>L1_Political</group>
      <groupName>政治性问题</groupName>
      <ability>L2_Keyword</ability>
      <abilityName>固定表述</abilityName>
      <candidateList>
        <item>《建设项目环境影响报告表编制技术指南（污染影响类）（试行）》</item>
      </candidateList>
      <explain>此处内容疑似含有固定表述相关错误，建议核查。</explain>
      <paraID>1C006EEE</paraID>
      <start>117</start>
      <end>147</end>
      <status>modified</status>
      <modifiedWord>《建设项目环境影响报告表编制技术指南（污染影响类）（试行）》</modifiedWord>
      <trackRevisions>false</trackRevisions>
    </reviewItem>
    <reviewItem>
      <errorID>d65ca55e-78cf-4f55-b008-8887d7be01ca</errorID>
      <errorWord>大气环境</errorWord>
      <group>L1_Word</group>
      <groupName>字词问题</groupName>
      <ability>L2_Typo</ability>
      <abilityName>字词错误</abilityName>
      <candidateList>
        <item>的大气环境</item>
      </candidateList>
      <explain/>
      <paraID>1C006EEE</paraID>
      <start>152</start>
      <end>157</end>
      <status>modified</status>
      <modifiedWord>的大气环境</modifiedWord>
      <trackRevisions>false</trackRevisions>
    </reviewItem>
    <reviewItem>
      <errorID>4745a8c5-2f4c-400e-b61d-e69183078b4e</errorID>
      <errorWord>监测</errorWord>
      <group>L1_Word</group>
      <groupName>字词问题</groupName>
      <ability>L2_Typo</ability>
      <abilityName>字词错误</abilityName>
      <candidateList>
        <item>的监测</item>
      </candidateList>
      <explain/>
      <paraID>1C006EEE</paraID>
      <start>186</start>
      <end>189</end>
      <status>modified</status>
      <modifiedWord>的监测</modifiedWord>
      <trackRevisions>false</trackRevisions>
    </reviewItem>
    <reviewItem>
      <errorID>3d573d2f-7a5c-4f2c-aef1-dbfbe4d4da4b</errorID>
      <errorWord>针对于</errorWord>
      <group>L1_Word</group>
      <groupName>字词问题</groupName>
      <ability>L2_Typo</ability>
      <abilityName>字词错误</abilityName>
      <candidateList>
        <item>针对</item>
      </candidateList>
      <explain/>
      <paraID>1C006EEE</paraID>
      <start>191</start>
      <end>193</end>
      <status>modified</status>
      <modifiedWord>针对</modifiedWord>
      <trackRevisions>false</trackRevisions>
    </reviewItem>
    <reviewItem>
      <errorID>ce0cd0c7-b8ad-46b0-b803-e0dd14d08018</errorID>
      <errorWord>在</errorWord>
      <group>L1_Word</group>
      <groupName>字词问题</groupName>
      <ability>L2_Typo</ability>
      <abilityName>字词错误</abilityName>
      <candidateList>
        <item>位于</item>
      </candidateList>
      <explain/>
      <paraID>1C006EEE</paraID>
      <start>223</start>
      <end>225</end>
      <status>modified</status>
      <modifiedWord>位于</modifiedWord>
      <trackRevisions>false</trackRevisions>
    </reviewItem>
    <reviewItem>
      <errorID>5e0efe84-879b-4234-b2f0-854441d7c76e</errorID>
      <errorWord>数据</errorWord>
      <group>L1_Word</group>
      <groupName>字词问题</groupName>
      <ability>L2_Typo</ability>
      <abilityName>字词错误</abilityName>
      <candidateList>
        <item>的数据</item>
      </candidateList>
      <explain/>
      <paraID>1C006EEE</paraID>
      <start>260</start>
      <end>263</end>
      <status>modified</status>
      <modifiedWord>的数据</modifiedWord>
      <trackRevisions>false</trackRevisions>
    </reviewItem>
    <reviewItem>
      <errorID>bfa137bf-9a8c-44bb-b743-a1701e2b0066</errorID>
      <errorWord>结果符合</errorWord>
      <group>L1_Grammar</group>
      <groupName>语法问题</groupName>
      <ability>L2_Grammar</ability>
      <abilityName>语法错误</abilityName>
      <candidateList>
        <item>结果</item>
      </candidateList>
      <explain/>
      <paraID>2CF5076A</paraID>
      <start>23</start>
      <end>25</end>
      <status>modified</status>
      <modifiedWord>结果</modifiedWord>
      <trackRevisions>false</trackRevisions>
    </reviewItem>
    <reviewItem>
      <errorID>232bad85-d922-4af4-abab-ef22eb3e0934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4F2A3B22</paraID>
      <start>0</start>
      <end>2</end>
      <status>ignored</status>
      <modifiedWord/>
      <trackRevisions>false</trackRevisions>
    </reviewItem>
    <reviewItem>
      <errorID>a3866039-0ba0-4dff-8342-e0ecb0c2de05</errorID>
      <errorWord>)</errorWord>
      <group>L1_Format</group>
      <groupName>格式问题</groupName>
      <ability>L2_HalfPunc_CN</ability>
      <abilityName>全半角问题</abilityName>
      <candidateList>
        <item>）</item>
      </candidateList>
      <explain>文本全半角错误。</explain>
      <paraID>222B6816</paraID>
      <start>76</start>
      <end>77</end>
      <status>modified</status>
      <modifiedWord>）</modifiedWord>
      <trackRevisions>false</trackRevisions>
    </reviewItem>
    <reviewItem>
      <errorID>98ff2d92-7ebf-4442-948b-f20ca7b48ffb</errorID>
      <errorWord>)</errorWord>
      <group>L1_Format</group>
      <groupName>格式问题</groupName>
      <ability>L2_HalfPunc_CN</ability>
      <abilityName>全半角问题</abilityName>
      <candidateList>
        <item>）</item>
      </candidateList>
      <explain>文本全半角错误。</explain>
      <paraID>222B6816</paraID>
      <start>87</start>
      <end>88</end>
      <status>modified</status>
      <modifiedWord>）</modifiedWord>
      <trackRevisions>false</trackRevisions>
    </reviewItem>
    <reviewItem>
      <errorID>5f28f51b-2d89-4870-860f-063d34650fa9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23E86920</paraID>
      <start>0</start>
      <end>2</end>
      <status>ignored</status>
      <modifiedWord/>
      <trackRevisions>false</trackRevisions>
    </reviewItem>
    <reviewItem>
      <errorID>87320745-8292-4d0d-b40d-f7df317ef0ba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41DD6D5</paraID>
      <start>0</start>
      <end>2</end>
      <status>ignored</status>
      <modifiedWord/>
      <trackRevisions>false</trackRevisions>
    </reviewItem>
    <reviewItem>
      <errorID>f71a6899-bd15-4e87-8358-71d10df96df2</errorID>
      <errorWord>凿开</errorWord>
      <group>L1_Word</group>
      <groupName>字词问题</groupName>
      <ability>L2_Typo</ability>
      <abilityName>字词错误</abilityName>
      <candidateList>
        <item>开凿</item>
      </candidateList>
      <explain/>
      <paraID>733C93DA</paraID>
      <start>115</start>
      <end>117</end>
      <status>ignored</status>
      <modifiedWord/>
      <trackRevisions>false</trackRevisions>
    </reviewItem>
    <reviewItem>
      <errorID>5393b902-242d-4f97-84fd-f134a86126e0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7C4041B7</paraID>
      <start>0</start>
      <end>2</end>
      <status>ignored</status>
      <modifiedWord/>
      <trackRevisions>false</trackRevisions>
    </reviewItem>
    <reviewItem>
      <errorID>a6995c9c-a521-4526-9b95-ac14996095c1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48D9FF67</paraID>
      <start>0</start>
      <end>2</end>
      <status>ignored</status>
      <modifiedWord/>
      <trackRevisions>false</trackRevisions>
    </reviewItem>
    <reviewItem>
      <errorID>05433f76-f61d-43db-8291-8e119360d86f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573A1AD</paraID>
      <start>0</start>
      <end>2</end>
      <status>ignored</status>
      <modifiedWord/>
      <trackRevisions>false</trackRevisions>
    </reviewItem>
    <reviewItem>
      <errorID>18d586f4-75d8-4255-a44b-7269486ccd1c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59DBEDE7</paraID>
      <start>0</start>
      <end>2</end>
      <status>ignored</status>
      <modifiedWord/>
      <trackRevisions>false</trackRevisions>
    </reviewItem>
    <reviewItem>
      <errorID>31259956-ec06-48c4-b4a7-17d77c764155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4C79A69B</paraID>
      <start>0</start>
      <end>2</end>
      <status>ignored</status>
      <modifiedWord/>
      <trackRevisions>false</trackRevisions>
    </reviewItem>
    <reviewItem>
      <errorID>9ce828ce-04a4-4494-85ce-a27d7f0cd97d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7EBA41E2</paraID>
      <start>0</start>
      <end>2</end>
      <status>ignored</status>
      <modifiedWord/>
      <trackRevisions>false</trackRevisions>
    </reviewItem>
    <reviewItem>
      <errorID>38ec4db6-ada0-49a0-8fe3-6b5688951191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4203F7C4</paraID>
      <start>0</start>
      <end>2</end>
      <status>ignored</status>
      <modifiedWord/>
      <trackRevisions>false</trackRevisions>
    </reviewItem>
    <reviewItem>
      <errorID>fdd44d21-d534-4066-98e9-ff4b95fcef83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7D6465C5</paraID>
      <start>0</start>
      <end>2</end>
      <status>ignored</status>
      <modifiedWord/>
      <trackRevisions>false</trackRevisions>
    </reviewItem>
    <reviewItem>
      <errorID>c7af85f8-3cbd-4efe-9edf-eccd747d55ab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550F043D</paraID>
      <start>0</start>
      <end>2</end>
      <status>ignored</status>
      <modifiedWord/>
      <trackRevisions>false</trackRevisions>
    </reviewItem>
    <reviewItem>
      <errorID>daad8f8b-1d02-411d-afe2-4908bc09002b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138FD83D</paraID>
      <start>0</start>
      <end>2</end>
      <status>ignored</status>
      <modifiedWord/>
      <trackRevisions>false</trackRevisions>
    </reviewItem>
    <reviewItem>
      <errorID>a9efeceb-8c75-4dd3-bbb1-0b6ba474d74c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4E6B1B5E</paraID>
      <start>0</start>
      <end>2</end>
      <status>ignored</status>
      <modifiedWord/>
      <trackRevisions>false</trackRevisions>
    </reviewItem>
    <reviewItem>
      <errorID>0db780e8-11c0-4a8b-9471-bcf4e8a254e9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1A4CF9A</paraID>
      <start>0</start>
      <end>2</end>
      <status>ignored</status>
      <modifiedWord/>
      <trackRevisions>false</trackRevisions>
    </reviewItem>
    <reviewItem>
      <errorID>ad4e1ae8-e661-47af-9e51-9454e1f292ad</errorID>
      <errorWord>粘合</errorWord>
      <group>L1_Word</group>
      <groupName>字词问题</groupName>
      <ability>L2_Alias</ability>
      <abilityName>也作/曾用词</abilityName>
      <candidateList>
        <item>黏合</item>
      </candidateList>
      <explain>词汇[粘合]为不规范表述或旧称，其规范书面表述为[黏合]。</explain>
      <paraID>231C3E96</paraID>
      <start>35</start>
      <end>37</end>
      <status>ignored</status>
      <modifiedWord/>
      <trackRevisions>false</trackRevisions>
    </reviewItem>
    <reviewItem>
      <errorID>ef427de8-1741-4ff1-aa2f-8128fe78e26d</errorID>
      <errorWord>~</errorWord>
      <group>L1_Format</group>
      <groupName>格式问题</groupName>
      <ability>L2_HalfPunc_CN</ability>
      <abilityName>全半角问题</abilityName>
      <candidateList>
        <item>～</item>
      </candidateList>
      <explain>文本全半角错误。</explain>
      <paraID>231C3E96</paraID>
      <start>112</start>
      <end>113</end>
      <status>modified</status>
      <modifiedWord>～</modifiedWord>
      <trackRevisions>false</trackRevisions>
    </reviewItem>
    <reviewItem>
      <errorID>3a656e56-771e-41df-bf74-40cbf98233c0</errorID>
      <errorWord>20~38%</errorWord>
      <group>L1_Knowledge</group>
      <groupName>知识性问题</groupName>
      <ability>L2_Knowledge</ability>
      <abilityName>其他知识</abilityName>
      <candidateList>
        <item>20%～38%</item>
      </candidateList>
      <explain>1. “20~38%”中的单位“%”仅出现在后一个数字上，容易引起歧义；根据《现代汉语标点符号数字用法规范手册》，数字表示范围两边需要使用统一的格式。2. 根据标点国标 4.13 中的规则，数字、时间或地域连接符应使用（视觉上更长的）“—”或“～”。</explain>
      <paraID>3C735B69</paraID>
      <start>25</start>
      <end>32</end>
      <status>modified</status>
      <modifiedWord>20%～38%</modifiedWord>
      <trackRevisions>false</trackRevisions>
    </reviewItem>
    <reviewItem>
      <errorID>08d91f14-a5a7-47d1-86f3-def4b7c686d3</errorID>
      <errorWord>50~80%</errorWord>
      <group>L1_Knowledge</group>
      <groupName>知识性问题</groupName>
      <ability>L2_Knowledge</ability>
      <abilityName>其他知识</abilityName>
      <candidateList>
        <item>50%～80%</item>
      </candidateList>
      <explain>1. “50~80%”中的单位“%”仅出现在后一个数字上，容易引起歧义；根据《现代汉语标点符号数字用法规范手册》，数字表示范围两边需要使用统一的格式。2. 根据标点国标 4.13 中的规则，数字、时间或地域连接符应使用（视觉上更长的）“—”或“～”。</explain>
      <paraID>3C735B69</paraID>
      <start>39</start>
      <end>46</end>
      <status>modified</status>
      <modifiedWord>50%～80%</modifiedWord>
      <trackRevisions>false</trackRevisions>
    </reviewItem>
    <reviewItem>
      <errorID>8bc51ff9-734d-471d-ae50-d47cac6a8ebc</errorID>
      <errorWord>0.5~3%</errorWord>
      <group>L1_Knowledge</group>
      <groupName>知识性问题</groupName>
      <ability>L2_Knowledge</ability>
      <abilityName>其他知识</abilityName>
      <candidateList>
        <item>0.5%～3%</item>
      </candidateList>
      <explain>1. “0.5~3%”中的单位“%”仅出现在后一个数字上，容易引起歧义；根据《现代汉语标点符号数字用法规范手册》，数字表示范围两边需要使用统一的格式。2. 根据标点国标 4.13 中的规则，数字、时间或地域连接符应使用（视觉上更长的）“—”或“～”。</explain>
      <paraID>3C735B69</paraID>
      <start>53</start>
      <end>60</end>
      <status>modified</status>
      <modifiedWord>0.5%～3%</modifiedWord>
      <trackRevisions>false</trackRevisions>
    </reviewItem>
    <reviewItem>
      <errorID>0d7a3c37-8d30-4210-902d-d5198096d881</errorID>
      <errorWord>胶粘剂</errorWord>
      <group>L1_Word</group>
      <groupName>字词问题</groupName>
      <ability>L2_Typo</ability>
      <abilityName>字词错误</abilityName>
      <candidateList>
        <item>胶黏剂</item>
      </candidateList>
      <explain/>
      <paraID>28A38C37</paraID>
      <start>57</start>
      <end>60</end>
      <status>ignored</status>
      <modifiedWord/>
      <trackRevisions>false</trackRevisions>
    </reviewItem>
    <reviewItem>
      <errorID>a7d02a0c-849e-4d26-8375-27864c6c7cd5</errorID>
      <errorWord>；</errorWord>
      <group>L1_Word</group>
      <groupName>字词问题</groupName>
      <ability>L2_Typo</ability>
      <abilityName>字词错误</abilityName>
      <candidateList>
        <item>；在</item>
      </candidateList>
      <explain/>
      <paraID>28A38C37</paraID>
      <start>63</start>
      <end>65</end>
      <status>modified</status>
      <modifiedWord>；在</modifiedWord>
      <trackRevisions>false</trackRevisions>
    </reviewItem>
    <reviewItem>
      <errorID>89f34d86-7464-43dc-a46d-b0bfaa888196</errorID>
      <errorWord>胶粘剂</errorWord>
      <group>L1_Word</group>
      <groupName>字词问题</groupName>
      <ability>L2_Typo</ability>
      <abilityName>字词错误</abilityName>
      <candidateList>
        <item>胶黏剂</item>
      </candidateList>
      <explain/>
      <paraID>28A38C37</paraID>
      <start>117</start>
      <end>120</end>
      <status>ignored</status>
      <modifiedWord/>
      <trackRevisions>false</trackRevisions>
    </reviewItem>
    <reviewItem>
      <errorID>ae9b45cb-588f-4f5b-adbc-32179ad7cd3c</errorID>
      <errorWord>粘性的</errorWord>
      <group>L1_Word</group>
      <groupName>字词问题</groupName>
      <ability>L2_Alias</ability>
      <abilityName>也作/曾用词</abilityName>
      <candidateList>
        <item>黏性的</item>
      </candidateList>
      <explain>词汇[粘性的]为不规范表述或旧称，其规范书面表述为[黏性的]。</explain>
      <paraID>28A38C37</paraID>
      <start>132</start>
      <end>135</end>
      <status>ignored</status>
      <modifiedWord/>
      <trackRevisions>false</trackRevisions>
    </reviewItem>
    <reviewItem>
      <errorID>e1cc6cfd-a71a-487e-9f56-8fe4eff5151e</errorID>
      <errorWord>~</errorWord>
      <group>L1_Format</group>
      <groupName>格式问题</groupName>
      <ability>L2_HalfPunc_CN</ability>
      <abilityName>全半角问题</abilityName>
      <candidateList>
        <item>～</item>
      </candidateList>
      <explain>文本全半角错误。</explain>
      <paraID>28A38C37</paraID>
      <start>342</start>
      <end>343</end>
      <status>modified</status>
      <modifiedWord>～</modifiedWord>
      <trackRevisions>false</trackRevisions>
    </reviewItem>
    <reviewItem>
      <errorID>a69f61cc-ced4-4a8b-8385-e5d7680c9cb6</errorID>
      <errorWord>作</errorWord>
      <group>L1_Word</group>
      <groupName>字词问题</groupName>
      <ability>L2_Typo</ability>
      <abilityName>字词错误</abilityName>
      <candidateList>
        <item>做</item>
      </candidateList>
      <explain>存在发音相同字词的误用。</explain>
      <paraID>7FA2E63A</paraID>
      <start>160</start>
      <end>161</end>
      <status>ignored</status>
      <modifiedWord/>
      <trackRevisions>false</trackRevisions>
    </reviewItem>
    <reviewItem>
      <errorID>21956a21-a4bb-42dd-91bd-15b42c4dceff</errorID>
      <errorWord>(</errorWord>
      <group>L1_Format</group>
      <groupName>格式问题</groupName>
      <ability>L2_HalfPunc_CN</ability>
      <abilityName>全半角问题</abilityName>
      <candidateList>
        <item>（</item>
      </candidateList>
      <explain>文本全半角错误。</explain>
      <paraID>60F8D2C9</paraID>
      <start>4</start>
      <end>5</end>
      <status>modified</status>
      <modifiedWord>（</modifiedWord>
      <trackRevisions>false</trackRevisions>
    </reviewItem>
    <reviewItem>
      <errorID>78a3f4b4-49c4-4c43-a7a6-9d1eadce970c</errorID>
      <errorWord>)</errorWord>
      <group>L1_Format</group>
      <groupName>格式问题</groupName>
      <ability>L2_HalfPunc_CN</ability>
      <abilityName>全半角问题</abilityName>
      <candidateList>
        <item>）</item>
      </candidateList>
      <explain>文本全半角错误。</explain>
      <paraID>60F8D2C9</paraID>
      <start>6</start>
      <end>7</end>
      <status>modified</status>
      <modifiedWord>）</modifiedWord>
      <trackRevisions>false</trackRevisions>
    </reviewItem>
    <reviewItem>
      <errorID>a5a98ab5-73c5-4f40-8c84-ce3e6ee68fe9</errorID>
      <errorWord>(</errorWord>
      <group>L1_Format</group>
      <groupName>格式问题</groupName>
      <ability>L2_HalfPunc_CN</ability>
      <abilityName>全半角问题</abilityName>
      <candidateList>
        <item>（</item>
      </candidateList>
      <explain>文本全半角错误。</explain>
      <paraID>280521D9</paraID>
      <start>4</start>
      <end>5</end>
      <status>modified</status>
      <modifiedWord>（</modifiedWord>
      <trackRevisions>false</trackRevisions>
    </reviewItem>
    <reviewItem>
      <errorID>17e34340-d34f-4257-9f6a-71a0e074e195</errorID>
      <errorWord>)</errorWord>
      <group>L1_Format</group>
      <groupName>格式问题</groupName>
      <ability>L2_HalfPunc_CN</ability>
      <abilityName>全半角问题</abilityName>
      <candidateList>
        <item>）</item>
      </candidateList>
      <explain>文本全半角错误。</explain>
      <paraID>280521D9</paraID>
      <start>6</start>
      <end>7</end>
      <status>modified</status>
      <modifiedWord>）</modifiedWord>
      <trackRevisions>false</trackRevisions>
    </reviewItem>
    <reviewItem>
      <errorID>15199601-af55-42fd-a4c7-05eb88fa436b</errorID>
      <errorWord>(</errorWord>
      <group>L1_Format</group>
      <groupName>格式问题</groupName>
      <ability>L2_HalfPunc_CN</ability>
      <abilityName>全半角问题</abilityName>
      <candidateList>
        <item>（</item>
      </candidateList>
      <explain>文本全半角错误。</explain>
      <paraID>19FE9F3F</paraID>
      <start>2</start>
      <end>3</end>
      <status>modified</status>
      <modifiedWord>（</modifiedWord>
      <trackRevisions>false</trackRevisions>
    </reviewItem>
    <reviewItem>
      <errorID>2a9dd774-96c0-40c4-a7bc-35e614187fde</errorID>
      <errorWord>)</errorWord>
      <group>L1_Format</group>
      <groupName>格式问题</groupName>
      <ability>L2_HalfPunc_CN</ability>
      <abilityName>全半角问题</abilityName>
      <candidateList>
        <item>）</item>
      </candidateList>
      <explain>文本全半角错误。</explain>
      <paraID>19FE9F3F</paraID>
      <start>6</start>
      <end>7</end>
      <status>modified</status>
      <modifiedWord>）</modifiedWord>
      <trackRevisions>false</trackRevisions>
    </reviewItem>
    <reviewItem>
      <errorID>3a79237c-b2b9-4071-8ebe-5c2bf10c7b9a</errorID>
      <errorWord>(</errorWord>
      <group>L1_Format</group>
      <groupName>格式问题</groupName>
      <ability>L2_HalfPunc_CN</ability>
      <abilityName>全半角问题</abilityName>
      <candidateList>
        <item>（</item>
      </candidateList>
      <explain>文本全半角错误。</explain>
      <paraID>1B4594EF</paraID>
      <start>4</start>
      <end>5</end>
      <status>modified</status>
      <modifiedWord>（</modifiedWord>
      <trackRevisions>false</trackRevisions>
    </reviewItem>
    <reviewItem>
      <errorID>239f65d8-1de4-47fe-a0db-03df080beabb</errorID>
      <errorWord>)</errorWord>
      <group>L1_Format</group>
      <groupName>格式问题</groupName>
      <ability>L2_HalfPunc_CN</ability>
      <abilityName>全半角问题</abilityName>
      <candidateList>
        <item>）</item>
      </candidateList>
      <explain>文本全半角错误。</explain>
      <paraID>1B4594EF</paraID>
      <start>9</start>
      <end>10</end>
      <status>modified</status>
      <modifiedWord>）</modifiedWord>
      <trackRevisions>false</trackRevisions>
    </reviewItem>
    <reviewItem>
      <errorID>0425c2d0-0a06-4ae3-9d1d-7dd33177b834</errorID>
      <errorWord>(</errorWord>
      <group>L1_Format</group>
      <groupName>格式问题</groupName>
      <ability>L2_HalfPunc_CN</ability>
      <abilityName>全半角问题</abilityName>
      <candidateList>
        <item>（</item>
      </candidateList>
      <explain>文本全半角错误。</explain>
      <paraID>4A7421EC</paraID>
      <start>4</start>
      <end>5</end>
      <status>modified</status>
      <modifiedWord>（</modifiedWord>
      <trackRevisions>false</trackRevisions>
    </reviewItem>
    <reviewItem>
      <errorID>3039ab31-d36f-41fb-ac9d-e8d8aa4c4baf</errorID>
      <errorWord>)</errorWord>
      <group>L1_Format</group>
      <groupName>格式问题</groupName>
      <ability>L2_HalfPunc_CN</ability>
      <abilityName>全半角问题</abilityName>
      <candidateList>
        <item>）</item>
      </candidateList>
      <explain>文本全半角错误。</explain>
      <paraID>4A7421EC</paraID>
      <start>6</start>
      <end>7</end>
      <status>modified</status>
      <modifiedWord>）</modifiedWord>
      <trackRevisions>false</trackRevisions>
    </reviewItem>
    <reviewItem>
      <errorID>141ff471-ad8e-4173-bc56-165390bf2124</errorID>
      <errorWord>(</errorWord>
      <group>L1_Format</group>
      <groupName>格式问题</groupName>
      <ability>L2_HalfPunc_CN</ability>
      <abilityName>全半角问题</abilityName>
      <candidateList>
        <item>（</item>
      </candidateList>
      <explain>文本全半角错误。</explain>
      <paraID>4154605F</paraID>
      <start>2</start>
      <end>3</end>
      <status>modified</status>
      <modifiedWord>（</modifiedWord>
      <trackRevisions>false</trackRevisions>
    </reviewItem>
    <reviewItem>
      <errorID>eeca1709-79d7-4d6c-a1d3-2d76d4e25f88</errorID>
      <errorWord>)</errorWord>
      <group>L1_Format</group>
      <groupName>格式问题</groupName>
      <ability>L2_HalfPunc_CN</ability>
      <abilityName>全半角问题</abilityName>
      <candidateList>
        <item>）</item>
      </candidateList>
      <explain>文本全半角错误。</explain>
      <paraID>4154605F</paraID>
      <start>7</start>
      <end>8</end>
      <status>modified</status>
      <modifiedWord>）</modifiedWord>
      <trackRevisions>false</trackRevisions>
    </reviewItem>
    <reviewItem>
      <errorID>09991946-e8fe-4208-b0d3-f5081f79fb63</errorID>
      <errorWord>(</errorWord>
      <group>L1_Format</group>
      <groupName>格式问题</groupName>
      <ability>L2_HalfPunc_CN</ability>
      <abilityName>全半角问题</abilityName>
      <candidateList>
        <item>（</item>
      </candidateList>
      <explain>文本全半角错误。</explain>
      <paraID>75AB3143</paraID>
      <start>3</start>
      <end>4</end>
      <status>modified</status>
      <modifiedWord>（</modifiedWord>
      <trackRevisions>false</trackRevisions>
    </reviewItem>
    <reviewItem>
      <errorID>c4509f37-c48b-4706-af68-ff308771b229</errorID>
      <errorWord>)</errorWord>
      <group>L1_Format</group>
      <groupName>格式问题</groupName>
      <ability>L2_HalfPunc_CN</ability>
      <abilityName>全半角问题</abilityName>
      <candidateList>
        <item>）</item>
      </candidateList>
      <explain>文本全半角错误。</explain>
      <paraID>75AB3143</paraID>
      <start>8</start>
      <end>9</end>
      <status>modified</status>
      <modifiedWord>）</modifiedWord>
      <trackRevisions>false</trackRevisions>
    </reviewItem>
    <reviewItem>
      <errorID>b60b30e1-f7f9-4a28-a40c-87d0063d4190</errorID>
      <errorWord>%</errorWord>
      <group>L1_Word</group>
      <groupName>字词问题</groupName>
      <ability>L2_Typo</ability>
      <abilityName>字词错误</abilityName>
      <candidateList>
        <item>%以</item>
      </candidateList>
      <explain/>
      <paraID>2BD8E187</paraID>
      <start>120</start>
      <end>122</end>
      <status>modified</status>
      <modifiedWord>%以</modifiedWord>
      <trackRevisions>false</trackRevisions>
    </reviewItem>
    <reviewItem>
      <errorID>6f39443b-8080-4237-b899-62aca11480c3</errorID>
      <errorWord>作</errorWord>
      <group>L1_Word</group>
      <groupName>字词问题</groupName>
      <ability>L2_Typo</ability>
      <abilityName>字词错误</abilityName>
      <candidateList>
        <item>做</item>
      </candidateList>
      <explain>存在发音相同字词的误用。</explain>
      <paraID>753DAD49</paraID>
      <start>90</start>
      <end>91</end>
      <status>ignored</status>
      <modifiedWord/>
      <trackRevisions>false</trackRevisions>
    </reviewItem>
    <reviewItem>
      <errorID>22c0147a-3a6d-4351-813b-f578c1639b0f</errorID>
      <errorWord>程</errorWord>
      <group>L1_Word</group>
      <groupName>字词问题</groupName>
      <ability>L2_Typo</ability>
      <abilityName>字词错误</abilityName>
      <candidateList>
        <item>程中</item>
      </candidateList>
      <explain/>
      <paraID>391FF25B</paraID>
      <start>22</start>
      <end>24</end>
      <status>modified</status>
      <modifiedWord>程中</modifiedWord>
      <trackRevisions>false</trackRevisions>
    </reviewItem>
    <reviewItem>
      <errorID>6ca6121e-8673-4aed-af78-079c1b63b48d</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391FF25B</paraID>
      <start>92</start>
      <end>97</end>
      <status>modified</status>
      <modifiedWord>3%～5%</modifiedWord>
      <trackRevisions>false</trackRevisions>
    </reviewItem>
    <reviewItem>
      <errorID>8df4e06a-416b-459e-b889-d807d30040d3</errorID>
      <errorWord>作</errorWord>
      <group>L1_Word</group>
      <groupName>字词问题</groupName>
      <ability>L2_Typo</ability>
      <abilityName>字词错误</abilityName>
      <candidateList>
        <item>做</item>
      </candidateList>
      <explain>存在发音相同字词的误用。</explain>
      <paraID>777111CE</paraID>
      <start>113</start>
      <end>114</end>
      <status>ignored</status>
      <modifiedWord/>
      <trackRevisions>false</trackRevisions>
    </reviewItem>
    <reviewItem>
      <errorID>3d747dd4-f149-4f94-8b41-4635356d29f6</errorID>
      <errorWord>1%~10%</errorWord>
      <group>L1_Knowledge</group>
      <groupName>知识性问题</groupName>
      <ability>L2_Knowledge</ability>
      <abilityName>其他知识</abilityName>
      <candidateList>
        <item>1%～10%</item>
      </candidateList>
      <explain>1. “1%~10%”中的单位“%”仅出现在后一个数字上，容易引起歧义；根据《现代汉语标点符号数字用法规范手册》，数字表示范围两边需要使用统一的格式。2. 根据标点国标 4.13 中的规则，数字、时间或地域连接符应使用（视觉上更长的）“—”或“～”。</explain>
      <paraID>39D58744</paraID>
      <start>142</start>
      <end>148</end>
      <status>modified</status>
      <modifiedWord>1%～10%</modifiedWord>
      <trackRevisions>false</trackRevisions>
    </reviewItem>
    <reviewItem>
      <errorID>d0fc133e-ed3f-4056-87ab-a5eeffef60a2</errorID>
      <errorWord>胶粘剂</errorWord>
      <group>L1_Word</group>
      <groupName>字词问题</groupName>
      <ability>L2_Typo</ability>
      <abilityName>字词错误</abilityName>
      <candidateList>
        <item>胶黏剂</item>
      </candidateList>
      <explain/>
      <paraID>101F2683</paraID>
      <start>75</start>
      <end>78</end>
      <status>ignored</status>
      <modifiedWord/>
      <trackRevisions>false</trackRevisions>
    </reviewItem>
    <reviewItem>
      <errorID>bb2acd12-af6d-479d-b6e3-35fbd7add07a</errorID>
      <errorWord>粘性的</errorWord>
      <group>L1_Word</group>
      <groupName>字词问题</groupName>
      <ability>L2_Alias</ability>
      <abilityName>也作/曾用词</abilityName>
      <candidateList>
        <item>黏性的</item>
      </candidateList>
      <explain>词汇[粘性的]为不规范表述或旧称，其规范书面表述为[黏性的]。</explain>
      <paraID>101F2683</paraID>
      <start>90</start>
      <end>93</end>
      <status>ignored</status>
      <modifiedWord/>
      <trackRevisions>false</trackRevisions>
    </reviewItem>
    <reviewItem>
      <errorID>79e3bd3c-abe0-44f2-9c74-3647b14a4923</errorID>
      <errorWord>粘合</errorWord>
      <group>L1_Word</group>
      <groupName>字词问题</groupName>
      <ability>L2_Alias</ability>
      <abilityName>也作/曾用词</abilityName>
      <candidateList>
        <item>黏合</item>
      </candidateList>
      <explain>词汇[粘合]为不规范表述或旧称，其规范书面表述为[黏合]。</explain>
      <paraID>101F2683</paraID>
      <start>99</start>
      <end>101</end>
      <status>ignored</status>
      <modifiedWord/>
      <trackRevisions>false</trackRevisions>
    </reviewItem>
    <reviewItem>
      <errorID>e2499580-1ca0-4ced-93ee-40b7e2b0b06f</errorID>
      <errorWord>胶粘剂</errorWord>
      <group>L1_Word</group>
      <groupName>字词问题</groupName>
      <ability>L2_Typo</ability>
      <abilityName>字词错误</abilityName>
      <candidateList>
        <item>胶黏剂</item>
      </candidateList>
      <explain/>
      <paraID>587DAA46</paraID>
      <start>46</start>
      <end>49</end>
      <status>ignored</status>
      <modifiedWord/>
      <trackRevisions>false</trackRevisions>
    </reviewItem>
    <reviewItem>
      <errorID>a7718467-8677-45b1-8c57-d066c39f8724</errorID>
      <errorWord>粘合</errorWord>
      <group>L1_Word</group>
      <groupName>字词问题</groupName>
      <ability>L2_Alias</ability>
      <abilityName>也作/曾用词</abilityName>
      <candidateList>
        <item>黏合</item>
      </candidateList>
      <explain>词汇[粘合]为不规范表述或旧称，其规范书面表述为[黏合]。</explain>
      <paraID>19B24933</paraID>
      <start>61</start>
      <end>63</end>
      <status>ignored</status>
      <modifiedWord/>
      <trackRevisions>false</trackRevisions>
    </reviewItem>
    <reviewItem>
      <errorID>7436d5d6-2e8a-43e9-b6ce-910a203f93aa</errorID>
      <errorWord>(</errorWord>
      <group>L1_Format</group>
      <groupName>格式问题</groupName>
      <ability>L2_HalfPunc_CN</ability>
      <abilityName>全半角问题</abilityName>
      <candidateList>
        <item>（</item>
      </candidateList>
      <explain>文本全半角错误。</explain>
      <paraID>326FD12F</paraID>
      <start>22</start>
      <end>23</end>
      <status>modified</status>
      <modifiedWord>（</modifiedWord>
      <trackRevisions>false</trackRevisions>
    </reviewItem>
    <reviewItem>
      <errorID>9f44772c-90c8-4942-9555-c263cc02673d</errorID>
      <errorWord>)</errorWord>
      <group>L1_Format</group>
      <groupName>格式问题</groupName>
      <ability>L2_HalfPunc_CN</ability>
      <abilityName>全半角问题</abilityName>
      <candidateList>
        <item>）</item>
      </candidateList>
      <explain>文本全半角错误。</explain>
      <paraID>326FD12F</paraID>
      <start>31</start>
      <end>32</end>
      <status>modified</status>
      <modifiedWord>）</modifiedWord>
      <trackRevisions>false</trackRevisions>
    </reviewItem>
    <reviewItem>
      <errorID>d8996635-afa7-4d88-a8a0-1de4bea0c180</errorID>
      <errorWord>参考参考</errorWord>
      <group>L1_Word</group>
      <groupName>字词问题</groupName>
      <ability>L2_Typo</ability>
      <abilityName>字词错误</abilityName>
      <candidateList>
        <item>参考</item>
      </candidateList>
      <explain/>
      <paraID>326FD12F</paraID>
      <start>100</start>
      <end>102</end>
      <status>modified</status>
      <modifiedWord>参考</modifiedWord>
      <trackRevisions>false</trackRevisions>
    </reviewItem>
    <reviewItem>
      <errorID>b1018970-9437-4fbc-9c46-3997de93fe22</errorID>
      <errorWord>(</errorWord>
      <group>L1_Format</group>
      <groupName>格式问题</groupName>
      <ability>L2_HalfPunc_CN</ability>
      <abilityName>全半角问题</abilityName>
      <candidateList>
        <item>（</item>
      </candidateList>
      <explain>文本全半角错误。</explain>
      <paraID>326FD12F</paraID>
      <start>114</start>
      <end>115</end>
      <status>modified</status>
      <modifiedWord>（</modifiedWord>
      <trackRevisions>false</trackRevisions>
    </reviewItem>
    <reviewItem>
      <errorID>9f3efa6a-6c1e-41dd-a014-283ccc4fc3ed</errorID>
      <errorWord>)</errorWord>
      <group>L1_Format</group>
      <groupName>格式问题</groupName>
      <ability>L2_HalfPunc_CN</ability>
      <abilityName>全半角问题</abilityName>
      <candidateList>
        <item>）</item>
      </candidateList>
      <explain>文本全半角错误。</explain>
      <paraID>326FD12F</paraID>
      <start>118</start>
      <end>119</end>
      <status>modified</status>
      <modifiedWord>）</modifiedWord>
      <trackRevisions>false</trackRevisions>
    </reviewItem>
    <reviewItem>
      <errorID>70478825-c22f-4f05-8722-13371a88ed8b</errorID>
      <errorWord>:</errorWord>
      <group>L1_Format</group>
      <groupName>格式问题</groupName>
      <ability>L2_HalfPunc_CN</ability>
      <abilityName>全半角问题</abilityName>
      <candidateList>
        <item>：</item>
      </candidateList>
      <explain>文本全半角错误。</explain>
      <paraID>326FD12F</paraID>
      <start>135</start>
      <end>136</end>
      <status>modified</status>
      <modifiedWord>：</modifiedWord>
      <trackRevisions>false</trackRevisions>
    </reviewItem>
    <reviewItem>
      <errorID>4068b9a4-eb91-49ce-92d7-0f6184ff1d33</errorID>
      <errorWord>、）</errorWord>
      <group>L1_Punc</group>
      <groupName>标点问题</groupName>
      <ability>L2_Punc_CN</ability>
      <abilityName>标点符号问题</abilityName>
      <candidateList>
        <item>）</item>
      </candidateList>
      <explain/>
      <paraID>747C2CA4</paraID>
      <start>34</start>
      <end>35</end>
      <status>modified</status>
      <modifiedWord>）</modifiedWord>
      <trackRevisions>false</trackRevisions>
    </reviewItem>
    <reviewItem>
      <errorID>fd54d661-8968-439b-9756-d9d4c3da13e3</errorID>
      <errorWord>2~4%</errorWord>
      <group>L1_Knowledge</group>
      <groupName>知识性问题</groupName>
      <ability>L2_Knowledge</ability>
      <abilityName>其他知识</abilityName>
      <candidateList>
        <item>2%～4%</item>
      </candidateList>
      <explain>1. “2~4%”中的单位“%”仅出现在后一个数字上，容易引起歧义；根据《现代汉语标点符号数字用法规范手册》，数字表示范围两边需要使用统一的格式。2. 根据标点国标 4.13 中的规则，数字、时间或地域连接符应使用（视觉上更长的）“—”或“～”。</explain>
      <paraID>5A3C7041</paraID>
      <start>80</start>
      <end>85</end>
      <status>modified</status>
      <modifiedWord>2%～4%</modifiedWord>
      <trackRevisions>false</trackRevisions>
    </reviewItem>
    <reviewItem>
      <errorID>4561cc32-b7ec-4943-ada1-f5bfc6959e1b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213624FA</paraID>
      <start>0</start>
      <end>2</end>
      <status>ignored</status>
      <modifiedWord/>
      <trackRevisions>false</trackRevisions>
    </reviewItem>
    <reviewItem>
      <errorID>50f9ee53-a041-4f68-a6b0-c6d1622ccde1</errorID>
      <errorWord>(</errorWord>
      <group>L1_Format</group>
      <groupName>格式问题</groupName>
      <ability>L2_HalfPunc_CN</ability>
      <abilityName>全半角问题</abilityName>
      <candidateList>
        <item>（</item>
      </candidateList>
      <explain>文本全半角错误。</explain>
      <paraID>5FB04A22</paraID>
      <start>69</start>
      <end>70</end>
      <status>modified</status>
      <modifiedWord>（</modifiedWord>
      <trackRevisions>false</trackRevisions>
    </reviewItem>
    <reviewItem>
      <errorID>5b2241f3-9480-4519-8a72-d09c8819fbea</errorID>
      <errorWord>)</errorWord>
      <group>L1_Format</group>
      <groupName>格式问题</groupName>
      <ability>L2_HalfPunc_CN</ability>
      <abilityName>全半角问题</abilityName>
      <candidateList>
        <item>）</item>
      </candidateList>
      <explain>文本全半角错误。</explain>
      <paraID>5FB04A22</paraID>
      <start>83</start>
      <end>84</end>
      <status>modified</status>
      <modifiedWord>）</modifiedWord>
      <trackRevisions>false</trackRevisions>
    </reviewItem>
    <reviewItem>
      <errorID>abfe4a17-f25c-4781-ad10-10787a826d9e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5E32CE9E</paraID>
      <start>0</start>
      <end>2</end>
      <status>ignored</status>
      <modifiedWord/>
      <trackRevisions>false</trackRevisions>
    </reviewItem>
    <reviewItem>
      <errorID>2003362c-0e4d-4057-8fa3-4d78ed75bd4a</errorID>
      <errorWord>程</errorWord>
      <group>L1_Word</group>
      <groupName>字词问题</groupName>
      <ability>L2_Typo</ability>
      <abilityName>字词错误</abilityName>
      <candidateList>
        <item>程中</item>
      </candidateList>
      <explain/>
      <paraID>2B9B2AFB</paraID>
      <start>22</start>
      <end>24</end>
      <status>modified</status>
      <modifiedWord>程中</modifiedWord>
      <trackRevisions>false</trackRevisions>
    </reviewItem>
    <reviewItem>
      <errorID>23df388b-d3db-40a8-9876-01c970dd71d6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70D6EECB</paraID>
      <start>0</start>
      <end>2</end>
      <status>ignored</status>
      <modifiedWord/>
      <trackRevisions>false</trackRevisions>
    </reviewItem>
    <reviewItem>
      <errorID>468418df-7768-4855-947a-3d0d1263c43b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155BA9FA</paraID>
      <start>0</start>
      <end>2</end>
      <status>ignored</status>
      <modifiedWord/>
      <trackRevisions>false</trackRevisions>
    </reviewItem>
    <reviewItem>
      <errorID>d0f8fa21-794c-40ef-9465-56e7a729b8e0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1874C08B</paraID>
      <start>0</start>
      <end>2</end>
      <status>ignored</status>
      <modifiedWord/>
      <trackRevisions>false</trackRevisions>
    </reviewItem>
    <reviewItem>
      <errorID>486f6818-20eb-4207-8c38-4f492529c315</errorID>
      <errorWord>(</errorWord>
      <group>L1_Format</group>
      <groupName>格式问题</groupName>
      <ability>L2_HalfPunc_CN</ability>
      <abilityName>全半角问题</abilityName>
      <candidateList>
        <item>（</item>
      </candidateList>
      <explain>文本全半角错误。</explain>
      <paraID>7C34BB32</paraID>
      <start>87</start>
      <end>88</end>
      <status>modified</status>
      <modifiedWord>（</modifiedWord>
      <trackRevisions>false</trackRevisions>
    </reviewItem>
    <reviewItem>
      <errorID>6a4056ef-fa71-46e3-931c-1934a83ae268</errorID>
      <errorWord>)</errorWord>
      <group>L1_Format</group>
      <groupName>格式问题</groupName>
      <ability>L2_HalfPunc_CN</ability>
      <abilityName>全半角问题</abilityName>
      <candidateList>
        <item>）</item>
      </candidateList>
      <explain>文本全半角错误。</explain>
      <paraID>7C34BB32</paraID>
      <start>100</start>
      <end>101</end>
      <status>modified</status>
      <modifiedWord>）</modifiedWord>
      <trackRevisions>false</trackRevisions>
    </reviewItem>
    <reviewItem>
      <errorID>964e218e-f030-403a-b387-80421ac24e7a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1DBDF6BB</paraID>
      <start>0</start>
      <end>2</end>
      <status>ignored</status>
      <modifiedWord/>
      <trackRevisions>false</trackRevisions>
    </reviewItem>
    <reviewItem>
      <errorID>2d22d41b-1de7-477e-bd8e-b1840482d868</errorID>
      <errorWord>充</errorWord>
      <group>L1_Word</group>
      <groupName>字词问题</groupName>
      <ability>L2_Typo</ability>
      <abilityName>字词错误</abilityName>
      <candidateList>
        <item>冲</item>
      </candidateList>
      <explain>存在发音相同字词的误用。</explain>
      <paraID>5CD45761</paraID>
      <start>178</start>
      <end>179</end>
      <status>ignored</status>
      <modifiedWord/>
      <trackRevisions>false</trackRevisions>
    </reviewItem>
    <reviewItem>
      <errorID>4d27bb4e-e9f1-4ed6-9892-05182906f6d0</errorID>
      <errorWord>已经</errorWord>
      <group>L1_Word</group>
      <groupName>字词问题</groupName>
      <ability>L2_Typo</ability>
      <abilityName>字词错误</abilityName>
      <candidateList>
        <item>已</item>
      </candidateList>
      <explain/>
      <paraID>5CD45761</paraID>
      <start>247</start>
      <end>248</end>
      <status>modified</status>
      <modifiedWord>已</modifiedWord>
      <trackRevisions>false</trackRevisions>
    </reviewItem>
    <reviewItem>
      <errorID>1682c48a-0ae0-4d93-b72a-e7556d8c7723</errorID>
      <errorWord>(</errorWord>
      <group>L1_Format</group>
      <groupName>格式问题</groupName>
      <ability>L2_HalfPunc_CN</ability>
      <abilityName>全半角问题</abilityName>
      <candidateList>
        <item>（</item>
      </candidateList>
      <explain>文本全半角错误。</explain>
      <paraID>47FE7C29</paraID>
      <start>47</start>
      <end>48</end>
      <status>modified</status>
      <modifiedWord>（</modifiedWord>
      <trackRevisions>false</trackRevisions>
    </reviewItem>
    <reviewItem>
      <errorID>fda61ac6-a20f-4f12-b02d-f81dedc5720c</errorID>
      <errorWord>)</errorWord>
      <group>L1_Format</group>
      <groupName>格式问题</groupName>
      <ability>L2_HalfPunc_CN</ability>
      <abilityName>全半角问题</abilityName>
      <candidateList>
        <item>）</item>
      </candidateList>
      <explain>文本全半角错误。</explain>
      <paraID>47FE7C29</paraID>
      <start>64</start>
      <end>65</end>
      <status>modified</status>
      <modifiedWord>）</modifiedWord>
      <trackRevisions>false</trackRevisions>
    </reviewItem>
    <reviewItem>
      <errorID>4c0f3d65-138a-40c7-9f48-315f3648e445</errorID>
      <errorWord>况</errorWord>
      <group>L1_Word</group>
      <groupName>字词问题</groupName>
      <ability>L2_Typo</ability>
      <abilityName>字词错误</abilityName>
      <candidateList>
        <item>况如</item>
      </candidateList>
      <explain/>
      <paraID>45CF3809</paraID>
      <start>7</start>
      <end>9</end>
      <status>modified</status>
      <modifiedWord>况如</modifiedWord>
      <trackRevisions>false</trackRevisions>
    </reviewItem>
    <reviewItem>
      <errorID>0c465f72-804b-48f1-b2b6-5ffe50b4b077</errorID>
      <errorWord>（</errorWord>
      <group>L1_Format</group>
      <groupName>格式问题</groupName>
      <ability>L2_HalfPunc_CN</ability>
      <abilityName>全半角问题</abilityName>
      <candidateList>
        <item>(</item>
      </candidateList>
      <explain>文本全半角错误。</explain>
      <paraID>3D6060F5</paraID>
      <start>0</start>
      <end>1</end>
      <status>modified</status>
      <modifiedWord>(</modifiedWord>
      <trackRevisions>false</trackRevisions>
    </reviewItem>
    <reviewItem>
      <errorID>c4472e21-97e9-46d1-a701-dbe635a12f71</errorID>
      <errorWord>）</errorWord>
      <group>L1_Format</group>
      <groupName>格式问题</groupName>
      <ability>L2_HalfPunc_CN</ability>
      <abilityName>全半角问题</abilityName>
      <candidateList>
        <item>)</item>
      </candidateList>
      <explain>文本全半角错误。</explain>
      <paraID>3D6060F5</paraID>
      <start>5</start>
      <end>6</end>
      <status>modified</status>
      <modifiedWord>)</modifiedWord>
      <trackRevisions>false</trackRevisions>
    </reviewItem>
    <reviewItem>
      <errorID>e2a37d19-9d04-4779-9cf2-faa397684146</errorID>
      <errorWord>（</errorWord>
      <group>L1_Format</group>
      <groupName>格式问题</groupName>
      <ability>L2_HalfPunc_CN</ability>
      <abilityName>全半角问题</abilityName>
      <candidateList>
        <item>(</item>
      </candidateList>
      <explain>文本全半角错误。</explain>
      <paraID>35746FDF</paraID>
      <start>4</start>
      <end>5</end>
      <status>modified</status>
      <modifiedWord>(</modifiedWord>
      <trackRevisions>false</trackRevisions>
    </reviewItem>
    <reviewItem>
      <errorID>5734963d-5e16-4e1c-90a3-d7c875962431</errorID>
      <errorWord>）</errorWord>
      <group>L1_Format</group>
      <groupName>格式问题</groupName>
      <ability>L2_HalfPunc_CN</ability>
      <abilityName>全半角问题</abilityName>
      <candidateList>
        <item>)</item>
      </candidateList>
      <explain>文本全半角错误。</explain>
      <paraID>35746FDF</paraID>
      <start>9</start>
      <end>10</end>
      <status>modified</status>
      <modifiedWord>)</modifiedWord>
      <trackRevisions>false</trackRevisions>
    </reviewItem>
    <reviewItem>
      <errorID>3e3cc5fa-e962-460f-b8cf-bf64b5f43e82</errorID>
      <errorWord>（</errorWord>
      <group>L1_Format</group>
      <groupName>格式问题</groupName>
      <ability>L2_HalfPunc_CN</ability>
      <abilityName>全半角问题</abilityName>
      <candidateList>
        <item>(</item>
      </candidateList>
      <explain>文本全半角错误。</explain>
      <paraID> EA0673F</paraID>
      <start>0</start>
      <end>1</end>
      <status>modified</status>
      <modifiedWord>(</modifiedWord>
      <trackRevisions>false</trackRevisions>
    </reviewItem>
    <reviewItem>
      <errorID>34e61cb0-231e-4ebe-80f5-76b5d39ef35e</errorID>
      <errorWord>）</errorWord>
      <group>L1_Format</group>
      <groupName>格式问题</groupName>
      <ability>L2_HalfPunc_CN</ability>
      <abilityName>全半角问题</abilityName>
      <candidateList>
        <item>)</item>
      </candidateList>
      <explain>文本全半角错误。</explain>
      <paraID> EA0673F</paraID>
      <start>5</start>
      <end>6</end>
      <status>modified</status>
      <modifiedWord>)</modifiedWord>
      <trackRevisions>false</trackRevisions>
    </reviewItem>
    <reviewItem>
      <errorID>107192bb-5739-46e5-9771-22ce73122c9d</errorID>
      <errorWord>（</errorWord>
      <group>L1_Format</group>
      <groupName>格式问题</groupName>
      <ability>L2_HalfPunc_CN</ability>
      <abilityName>全半角问题</abilityName>
      <candidateList>
        <item>(</item>
      </candidateList>
      <explain>文本全半角错误。</explain>
      <paraID>   BCB56</paraID>
      <start>2</start>
      <end>3</end>
      <status>modified</status>
      <modifiedWord>(</modifiedWord>
      <trackRevisions>false</trackRevisions>
    </reviewItem>
    <reviewItem>
      <errorID>d712dced-18f4-4b74-aa6b-916aa2054cfa</errorID>
      <errorWord>）</errorWord>
      <group>L1_Format</group>
      <groupName>格式问题</groupName>
      <ability>L2_HalfPunc_CN</ability>
      <abilityName>全半角问题</abilityName>
      <candidateList>
        <item>)</item>
      </candidateList>
      <explain>文本全半角错误。</explain>
      <paraID>   BCB56</paraID>
      <start>7</start>
      <end>8</end>
      <status>modified</status>
      <modifiedWord>)</modifiedWord>
      <trackRevisions>false</trackRevisions>
    </reviewItem>
    <reviewItem>
      <errorID>ad44555d-0aaf-46da-bb79-85538361cd69</errorID>
      <errorWord>其它</errorWord>
      <group>L1_Word</group>
      <groupName>字词问题</groupName>
      <ability>L2_Alias</ability>
      <abilityName>也作/曾用词</abilityName>
      <candidateList>
        <item>其他</item>
      </candidateList>
      <explain>词汇[其它]为不规范表述或旧称，其规范书面表述为[其他]。</explain>
      <paraID>46F04546</paraID>
      <start>40</start>
      <end>42</end>
      <status>modified</status>
      <modifiedWord>其他</modifiedWord>
      <trackRevisions>false</trackRevisions>
    </reviewItem>
    <reviewItem>
      <errorID>be6f315e-7bff-4c28-8077-8b3ce8edbd10</errorID>
      <errorWord>晰</errorWord>
      <group>L1_Word</group>
      <groupName>字词问题</groupName>
      <ability>L2_Typo</ability>
      <abilityName>字词错误</abilityName>
      <candidateList>
        <item>晰地</item>
      </candidateList>
      <explain/>
      <paraID>7C87D0E8</paraID>
      <start>114</start>
      <end>116</end>
      <status>modified</status>
      <modifiedWord>晰地</modifiedWord>
      <trackRevisions>false</trackRevisions>
    </reviewItem>
    <reviewItem>
      <errorID>d8b09fdb-ec9c-4a3d-a02e-bb8bce0ffac4</errorID>
      <errorWord>期间</errorWord>
      <group>L1_Word</group>
      <groupName>字词问题</groupName>
      <ability>L2_Typo</ability>
      <abilityName>字词错误</abilityName>
      <candidateList>
        <item>其间</item>
      </candidateList>
      <explain/>
      <paraID> 98B6A6E</paraID>
      <start>5</start>
      <end>7</end>
      <status>ignored</status>
      <modifiedWord/>
      <trackRevisions>false</trackRevisions>
    </reviewItem>
    <reviewItem>
      <errorID>5db6184e-3003-41cf-8b15-e963d085408a</errorID>
      <errorWord>（</errorWord>
      <group>L1_Format</group>
      <groupName>格式问题</groupName>
      <ability>L2_HalfPunc_CN</ability>
      <abilityName>全半角问题</abilityName>
      <candidateList>
        <item>(</item>
      </candidateList>
      <explain>文本全半角错误。</explain>
      <paraID>6B2565D3</paraID>
      <start>0</start>
      <end>1</end>
      <status>modified</status>
      <modifiedWord>(</modifiedWord>
      <trackRevisions>false</trackRevisions>
    </reviewItem>
    <reviewItem>
      <errorID>f34d550d-e057-40d3-8465-428910368df6</errorID>
      <errorWord>）</errorWord>
      <group>L1_Format</group>
      <groupName>格式问题</groupName>
      <ability>L2_HalfPunc_CN</ability>
      <abilityName>全半角问题</abilityName>
      <candidateList>
        <item>)</item>
      </candidateList>
      <explain>文本全半角错误。</explain>
      <paraID>6B2565D3</paraID>
      <start>5</start>
      <end>6</end>
      <status>modified</status>
      <modifiedWord>)</modifiedWord>
      <trackRevisions>false</trackRevisions>
    </reviewItem>
    <reviewItem>
      <errorID>3e7c6fe4-decd-4385-b25c-5164b617bae4</errorID>
      <errorWord>CODCr</errorWord>
      <group>L1_English</group>
      <groupName>英文问题</groupName>
      <ability>L2_Case</ability>
      <abilityName>大小写问题</abilityName>
      <candidateList>
        <item>CODcr</item>
      </candidateList>
      <explain>疑似单词大小写错误，建议将CODCr修改为CODcr</explain>
      <paraID>10215DA6</paraID>
      <start>0</start>
      <end>5</end>
      <status>modified</status>
      <modifiedWord>CODcr</modifiedWord>
      <trackRevisions>false</trackRevisions>
    </reviewItem>
    <reviewItem>
      <errorID>a6e03ace-2ecc-44fb-8491-6fb8c180c368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6D73672D</paraID>
      <start>0</start>
      <end>2</end>
      <status>ignored</status>
      <modifiedWord/>
      <trackRevisions>false</trackRevisions>
    </reviewItem>
    <reviewItem>
      <errorID>a912b6d4-6c65-4e4d-bbd1-811a4e02313a</errorID>
      <errorWord>震动</errorWord>
      <group>L1_Word</group>
      <groupName>字词问题</groupName>
      <ability>L2_Typo</ability>
      <abilityName>字词错误</abilityName>
      <candidateList>
        <item>振动</item>
      </candidateList>
      <explain>存在发音相同字词的误用。</explain>
      <paraID>25710CF9</paraID>
      <start>3</start>
      <end>5</end>
      <status>ignored</status>
      <modifiedWord/>
      <trackRevisions>false</trackRevisions>
    </reviewItem>
    <reviewItem>
      <errorID>f8cbd6c4-a366-4757-a998-5fe45911b010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2378839D</paraID>
      <start>0</start>
      <end>2</end>
      <status>ignored</status>
      <modifiedWord/>
      <trackRevisions>false</trackRevisions>
    </reviewItem>
    <reviewItem>
      <errorID>88425c4a-3b78-45d6-8f92-bdce73a1990e</errorID>
      <errorWord>)</errorWord>
      <group>L1_Format</group>
      <groupName>格式问题</groupName>
      <ability>L2_HalfPunc_CN</ability>
      <abilityName>全半角问题</abilityName>
      <candidateList>
        <item>）</item>
      </candidateList>
      <explain>文本全半角错误。</explain>
      <paraID>388CF28E</paraID>
      <start>118</start>
      <end>119</end>
      <status>modified</status>
      <modifiedWord>）</modifiedWord>
      <trackRevisions>false</trackRevisions>
    </reviewItem>
    <reviewItem>
      <errorID>22ee5e2e-ec31-45c0-8fb0-0ef515935dd0</errorID>
      <errorWord>)</errorWord>
      <group>L1_Format</group>
      <groupName>格式问题</groupName>
      <ability>L2_HalfPunc_CN</ability>
      <abilityName>全半角问题</abilityName>
      <candidateList>
        <item>）</item>
      </candidateList>
      <explain>文本全半角错误。</explain>
      <paraID> 39CDB1C</paraID>
      <start>121</start>
      <end>122</end>
      <status>modified</status>
      <modifiedWord>）</modifiedWord>
      <trackRevisions>false</trackRevisions>
    </reviewItem>
    <reviewItem>
      <errorID>7e9c6a31-9cd1-4b27-b590-2dfff252d610</errorID>
      <errorWord>)</errorWord>
      <group>L1_Format</group>
      <groupName>格式问题</groupName>
      <ability>L2_HalfPunc_CN</ability>
      <abilityName>全半角问题</abilityName>
      <candidateList>
        <item>）</item>
      </candidateList>
      <explain>文本全半角错误。</explain>
      <paraID> 39CDB1C</paraID>
      <start>133</start>
      <end>134</end>
      <status>modified</status>
      <modifiedWord>）</modifiedWord>
      <trackRevisions>false</trackRevisions>
    </reviewItem>
    <reviewItem>
      <errorID>2d274d98-f29f-429e-aac7-8c999744628b</errorID>
      <errorWord>)</errorWord>
      <group>L1_Format</group>
      <groupName>格式问题</groupName>
      <ability>L2_HalfPunc_CN</ability>
      <abilityName>全半角问题</abilityName>
      <candidateList>
        <item>）</item>
      </candidateList>
      <explain>文本全半角错误。</explain>
      <paraID>45F69744</paraID>
      <start>55</start>
      <end>56</end>
      <status>modified</status>
      <modifiedWord>）</modifiedWord>
      <trackRevisions>false</trackRevisions>
    </reviewItem>
    <reviewItem>
      <errorID>0fee6e9e-2597-4265-9770-d40f68388586</errorID>
      <errorWord>)</errorWord>
      <group>L1_Format</group>
      <groupName>格式问题</groupName>
      <ability>L2_HalfPunc_CN</ability>
      <abilityName>全半角问题</abilityName>
      <candidateList>
        <item>）</item>
      </candidateList>
      <explain>文本全半角错误。</explain>
      <paraID>45F69744</paraID>
      <start>112</start>
      <end>113</end>
      <status>modified</status>
      <modifiedWord>）</modifiedWord>
      <trackRevisions>false</trackRevisions>
    </reviewItem>
    <reviewItem>
      <errorID>3dfe1f8a-dbb9-41a1-8666-a771d326b960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77B1D98E</paraID>
      <start>0</start>
      <end>2</end>
      <status>ignored</status>
      <modifiedWord/>
      <trackRevisions>false</trackRevisions>
    </reviewItem>
    <reviewItem>
      <errorID>62f0e342-35f4-4db9-95cf-a0fbbf4df9cd</errorID>
      <errorWord>)</errorWord>
      <group>L1_Format</group>
      <groupName>格式问题</groupName>
      <ability>L2_HalfPunc_CN</ability>
      <abilityName>全半角问题</abilityName>
      <candidateList>
        <item>）</item>
      </candidateList>
      <explain>文本全半角错误。</explain>
      <paraID>71275ABA</paraID>
      <start>39</start>
      <end>40</end>
      <status>modified</status>
      <modifiedWord>）</modifiedWord>
      <trackRevisions>false</trackRevisions>
    </reviewItem>
    <reviewItem>
      <errorID>79c89762-45fa-446e-b251-f178775837ac</errorID>
      <errorWord>)</errorWord>
      <group>L1_Format</group>
      <groupName>格式问题</groupName>
      <ability>L2_HalfPunc_CN</ability>
      <abilityName>全半角问题</abilityName>
      <candidateList>
        <item>）</item>
      </candidateList>
      <explain>文本全半角错误。</explain>
      <paraID>71275ABA</paraID>
      <start>50</start>
      <end>51</end>
      <status>modified</status>
      <modifiedWord>）</modifiedWord>
      <trackRevisions>false</trackRevisions>
    </reviewItem>
    <reviewItem>
      <errorID>62bf4b19-c903-4fa9-8059-9c99350269c7</errorID>
      <errorWord>)</errorWord>
      <group>L1_Format</group>
      <groupName>格式问题</groupName>
      <ability>L2_HalfPunc_CN</ability>
      <abilityName>全半角问题</abilityName>
      <candidateList>
        <item>）</item>
      </candidateList>
      <explain>文本全半角错误。</explain>
      <paraID>71275ABA</paraID>
      <start>86</start>
      <end>87</end>
      <status>modified</status>
      <modifiedWord>）</modifiedWord>
      <trackRevisions>false</trackRevisions>
    </reviewItem>
    <reviewItem>
      <errorID>05d35e2e-fb66-4fdf-86cc-62bf28a36824</errorID>
      <errorWord>)</errorWord>
      <group>L1_Format</group>
      <groupName>格式问题</groupName>
      <ability>L2_HalfPunc_CN</ability>
      <abilityName>全半角问题</abilityName>
      <candidateList>
        <item>）</item>
      </candidateList>
      <explain>文本全半角错误。</explain>
      <paraID>71275ABA</paraID>
      <start>98</start>
      <end>99</end>
      <status>modified</status>
      <modifiedWord>）</modifiedWord>
      <trackRevisions>false</trackRevisions>
    </reviewItem>
    <reviewItem>
      <errorID>f180a6c2-116c-4113-8386-ec1917ab4829</errorID>
      <errorWord>)</errorWord>
      <group>L1_Format</group>
      <groupName>格式问题</groupName>
      <ability>L2_HalfPunc_CN</ability>
      <abilityName>全半角问题</abilityName>
      <candidateList>
        <item>）</item>
      </candidateList>
      <explain>文本全半角错误。</explain>
      <paraID>71275ABA</paraID>
      <start>127</start>
      <end>128</end>
      <status>modified</status>
      <modifiedWord>）</modifiedWord>
      <trackRevisions>false</trackRevisions>
    </reviewItem>
    <reviewItem>
      <errorID>3794529e-6719-450f-8d28-b3a1d5ea5487</errorID>
      <errorWord>（</errorWord>
      <group>L1_Punc</group>
      <groupName>标点问题</groupName>
      <ability>L2_Punc_CN</ability>
      <abilityName>标点符号问题</abilityName>
      <candidateList/>
      <explain>同一形式括号套用。</explain>
      <paraID>5BE6BA4A</paraID>
      <start>69</start>
      <end>70</end>
      <status>ignored</status>
      <modifiedWord/>
      <trackRevisions>false</trackRevisions>
    </reviewItem>
    <reviewItem>
      <errorID>9d91b652-4683-4ccf-8491-69247ce41b60</errorID>
      <errorWord>(</errorWord>
      <group>L1_Punc</group>
      <groupName>标点问题</groupName>
      <ability>L2_Punc_CN</ability>
      <abilityName>标点符号问题</abilityName>
      <candidateList/>
      <explain>同一形式括号套用。</explain>
      <paraID>5BE6BA4A</paraID>
      <start>77</start>
      <end>78</end>
      <status>ignored</status>
      <modifiedWord/>
      <trackRevisions>false</trackRevisions>
    </reviewItem>
    <reviewItem>
      <errorID>dfe2e5ee-ba2e-4e9b-924d-a637c2418099</errorID>
      <errorWord>)</errorWord>
      <group>L1_Punc</group>
      <groupName>标点问题</groupName>
      <ability>L2_Punc_CN</ability>
      <abilityName>标点符号问题</abilityName>
      <candidateList/>
      <explain>同一形式括号套用。</explain>
      <paraID>5BE6BA4A</paraID>
      <start>79</start>
      <end>80</end>
      <status>ignored</status>
      <modifiedWord/>
      <trackRevisions>false</trackRevisions>
    </reviewItem>
    <reviewItem>
      <errorID>7de2cf76-da35-4f74-bcfb-ce934f7267a9</errorID>
      <errorWord>）</errorWord>
      <group>L1_Punc</group>
      <groupName>标点问题</groupName>
      <ability>L2_Punc_CN</ability>
      <abilityName>标点符号问题</abilityName>
      <candidateList/>
      <explain>同一形式括号套用。</explain>
      <paraID>5BE6BA4A</paraID>
      <start>80</start>
      <end>81</end>
      <status>ignored</status>
      <modifiedWord/>
      <trackRevisions>false</trackRevisions>
    </reviewItem>
    <reviewItem>
      <errorID>51a13a72-9e41-4089-94ef-b452b8357c34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55E0E7BB</paraID>
      <start>0</start>
      <end>2</end>
      <status>ignored</status>
      <modifiedWord/>
      <trackRevisions>false</trackRevisions>
    </reviewItem>
    <reviewItem>
      <errorID>ae50b4ad-c683-4e99-be43-afbfd09d14a3</errorID>
      <errorWord>8%~10%</errorWord>
      <group>L1_Knowledge</group>
      <groupName>知识性问题</groupName>
      <ability>L2_Knowledge</ability>
      <abilityName>其他知识</abilityName>
      <candidateList>
        <item>8%～10%</item>
      </candidateList>
      <explain>1. “8%~10%”中的单位“%”仅出现在后一个数字上，容易引起歧义；根据《现代汉语标点符号数字用法规范手册》，数字表示范围两边需要使用统一的格式。2. 根据标点国标 4.13 中的规则，数字、时间或地域连接符应使用（视觉上更长的）“—”或“～”。</explain>
      <paraID>3A29EEB4</paraID>
      <start>60</start>
      <end>66</end>
      <status>modified</status>
      <modifiedWord>8%～10%</modifiedWord>
      <trackRevisions>false</trackRevisions>
    </reviewItem>
    <reviewItem>
      <errorID>b7f79aa6-3b41-42ef-82b1-54687a0382eb</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7570BC33</paraID>
      <start>42</start>
      <end>47</end>
      <status>modified</status>
      <modifiedWord>1%～2%</modifiedWord>
      <trackRevisions>false</trackRevisions>
    </reviewItem>
    <reviewItem>
      <errorID>25ee3d13-eebd-4ff2-ae97-ab0234d52bd4</errorID>
      <errorWord>胶粘剂</errorWord>
      <group>L1_Word</group>
      <groupName>字词问题</groupName>
      <ability>L2_Typo</ability>
      <abilityName>字词错误</abilityName>
      <candidateList>
        <item>胶黏剂</item>
      </candidateList>
      <explain/>
      <paraID>2E27378E</paraID>
      <start>6</start>
      <end>9</end>
      <status>ignored</status>
      <modifiedWord/>
      <trackRevisions>false</trackRevisions>
    </reviewItem>
    <reviewItem>
      <errorID>0874da89-803e-465b-9a40-08dc9ad37aed</errorID>
      <errorWord>胶粘剂</errorWord>
      <group>L1_Word</group>
      <groupName>字词问题</groupName>
      <ability>L2_Typo</ability>
      <abilityName>字词错误</abilityName>
      <candidateList>
        <item>胶黏剂</item>
      </candidateList>
      <explain/>
      <paraID>2E27378E</paraID>
      <start>177</start>
      <end>180</end>
      <status>ignored</status>
      <modifiedWord/>
      <trackRevisions>false</trackRevisions>
    </reviewItem>
    <reviewItem>
      <errorID>750d3e89-28fb-4db6-8034-0e2e58b1c4c1</errorID>
      <errorWord>胶粘剂</errorWord>
      <group>L1_Word</group>
      <groupName>字词问题</groupName>
      <ability>L2_Typo</ability>
      <abilityName>字词错误</abilityName>
      <candidateList>
        <item>胶黏剂</item>
      </candidateList>
      <explain/>
      <paraID>48DA2211</paraID>
      <start>5</start>
      <end>8</end>
      <status>ignored</status>
      <modifiedWord/>
      <trackRevisions>false</trackRevisions>
    </reviewItem>
    <reviewItem>
      <errorID>4892c0ee-7078-4a39-8135-b0190c828ef2</errorID>
      <errorWord>，</errorWord>
      <group>L1_Format</group>
      <groupName>格式问题</groupName>
      <ability>L2_HalfPunc_CN</ability>
      <abilityName>全半角问题</abilityName>
      <candidateList>
        <item>, </item>
      </candidateList>
      <explain>文本全半角错误。</explain>
      <paraID>7904F001</paraID>
      <start>1</start>
      <end>2</end>
      <status>ignored</status>
      <modifiedWord/>
      <trackRevisions>false</trackRevisions>
    </reviewItem>
    <reviewItem>
      <errorID>06240b72-dc8e-4d6c-aea7-0c9a53145692</errorID>
      <errorWord>，</errorWord>
      <group>L1_Format</group>
      <groupName>格式问题</groupName>
      <ability>L2_HalfPunc_CN</ability>
      <abilityName>全半角问题</abilityName>
      <candidateList>
        <item>, </item>
      </candidateList>
      <explain>文本全半角错误。</explain>
      <paraID>21E76F78</paraID>
      <start>1</start>
      <end>2</end>
      <status>ignored</status>
      <modifiedWord/>
      <trackRevisions>false</trackRevisions>
    </reviewItem>
    <reviewItem>
      <errorID>70fd342f-72d0-46b5-919b-558e1853aceb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66AE198F</paraID>
      <start>0</start>
      <end>2</end>
      <status>ignored</status>
      <modifiedWord/>
      <trackRevisions>false</trackRevisions>
    </reviewItem>
    <reviewItem>
      <errorID>f80a8ff0-e47d-430e-b222-4715773f7d3e</errorID>
      <errorWord>对于</errorWord>
      <group>L1_Word</group>
      <groupName>字词问题</groupName>
      <ability>L2_Typo</ability>
      <abilityName>字词错误</abilityName>
      <candidateList>
        <item>对</item>
      </candidateList>
      <explain/>
      <paraID>27501311</paraID>
      <start>25</start>
      <end>26</end>
      <status>modified</status>
      <modifiedWord>对</modifiedWord>
      <trackRevisions>false</trackRevisions>
    </reviewItem>
    <reviewItem>
      <errorID>571aea1e-e91a-4b51-988d-2ce617a4e0ba</errorID>
      <errorWord>胶粘剂</errorWord>
      <group>L1_Word</group>
      <groupName>字词问题</groupName>
      <ability>L2_Typo</ability>
      <abilityName>字词错误</abilityName>
      <candidateList>
        <item>胶黏剂</item>
      </candidateList>
      <explain/>
      <paraID>2F729196</paraID>
      <start>5</start>
      <end>8</end>
      <status>ignored</status>
      <modifiedWord/>
      <trackRevisions>false</trackRevisions>
    </reviewItem>
    <reviewItem>
      <errorID>b65cba18-5ccd-45a0-a56c-57991335cac5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2F1A0C9C</paraID>
      <start>0</start>
      <end>2</end>
      <status>ignored</status>
      <modifiedWord/>
      <trackRevisions>false</trackRevisions>
    </reviewItem>
    <reviewItem>
      <errorID>140d10dd-527e-45e2-82db-ab2669eb0169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51C1EBA6</paraID>
      <start>0</start>
      <end>2</end>
      <status>ignored</status>
      <modifiedWord/>
      <trackRevisions>false</trackRevisions>
    </reviewItem>
    <reviewItem>
      <errorID>203e7b34-c672-42eb-affe-a0498ae4f156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E627B5F</paraID>
      <start>0</start>
      <end>2</end>
      <status>ignored</status>
      <modifiedWord/>
      <trackRevisions>false</trackRevisions>
    </reviewItem>
    <reviewItem>
      <errorID>64241b62-10f3-40d3-9cae-0317ca5b65aa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2E6B3B72</paraID>
      <start>0</start>
      <end>2</end>
      <status>ignored</status>
      <modifiedWord/>
      <trackRevisions>false</trackRevisions>
    </reviewItem>
    <reviewItem>
      <errorID>ed004033-4776-44bc-ad5f-7c95d1fc61e1</errorID>
      <errorWord>胶粘剂</errorWord>
      <group>L1_Word</group>
      <groupName>字词问题</groupName>
      <ability>L2_Typo</ability>
      <abilityName>字词错误</abilityName>
      <candidateList>
        <item>胶黏剂</item>
      </candidateList>
      <explain/>
      <paraID>6657F323</paraID>
      <start>126</start>
      <end>129</end>
      <status>ignored</status>
      <modifiedWord/>
      <trackRevisions>false</trackRevisions>
    </reviewItem>
    <reviewItem>
      <errorID>8c4fc447-0288-47ef-9a06-a699fe857399</errorID>
      <errorWord>（</errorWord>
      <group>L1_Format</group>
      <groupName>格式问题</groupName>
      <ability>L2_HalfPunc_CN</ability>
      <abilityName>全半角问题</abilityName>
      <candidateList>
        <item>(</item>
      </candidateList>
      <explain>文本全半角错误。</explain>
      <paraID>31EFEC68</paraID>
      <start>1</start>
      <end>2</end>
      <status>modified</status>
      <modifiedWord>(</modifiedWord>
      <trackRevisions>false</trackRevisions>
    </reviewItem>
    <reviewItem>
      <errorID>55fdffd8-cdcb-4275-b643-630ab67a9852</errorID>
      <errorWord>）</errorWord>
      <group>L1_Format</group>
      <groupName>格式问题</groupName>
      <ability>L2_HalfPunc_CN</ability>
      <abilityName>全半角问题</abilityName>
      <candidateList>
        <item>)</item>
      </candidateList>
      <explain>文本全半角错误。</explain>
      <paraID>31EFEC68</paraID>
      <start>5</start>
      <end>6</end>
      <status>modified</status>
      <modifiedWord>)</modifiedWord>
      <trackRevisions>false</trackRevisions>
    </reviewItem>
    <reviewItem>
      <errorID>a46fbc50-8db9-4de6-ab6b-d9dfb01e6831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44BC354F</paraID>
      <start>0</start>
      <end>2</end>
      <status>ignored</status>
      <modifiedWord/>
      <trackRevisions>false</trackRevisions>
    </reviewItem>
    <reviewItem>
      <errorID>4fdabf4e-19cd-4a18-a2ae-d2d265d7b0ae</errorID>
      <errorWord>胶粘剂</errorWord>
      <group>L1_Word</group>
      <groupName>字词问题</groupName>
      <ability>L2_Typo</ability>
      <abilityName>字词错误</abilityName>
      <candidateList>
        <item>胶黏剂</item>
      </candidateList>
      <explain/>
      <paraID>4C4CE149</paraID>
      <start>16</start>
      <end>19</end>
      <status>ignored</status>
      <modifiedWord/>
      <trackRevisions>false</trackRevisions>
    </reviewItem>
    <reviewItem>
      <errorID>1acff364-be9f-46a7-8671-a81469c4fb2d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58714EC4</paraID>
      <start>0</start>
      <end>2</end>
      <status>ignored</status>
      <modifiedWord/>
      <trackRevisions>false</trackRevisions>
    </reviewItem>
    <reviewItem>
      <errorID>6ae3eeb1-4223-4703-ab46-885d624058c8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52C3FFC2</paraID>
      <start>0</start>
      <end>2</end>
      <status>ignored</status>
      <modifiedWord/>
      <trackRevisions>false</trackRevisions>
    </reviewItem>
    <reviewItem>
      <errorID>41d273db-593f-4742-8f8b-9160cc631d37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129E6E7D</paraID>
      <start>37</start>
      <end>38</end>
      <status>ignored</status>
      <modifiedWord/>
      <trackRevisions>false</trackRevisions>
    </reviewItem>
    <reviewItem>
      <errorID>e1c3ad14-56d7-4a28-b1e3-818bdd3e3d8f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53EF9DC2</paraID>
      <start>0</start>
      <end>2</end>
      <status>ignored</status>
      <modifiedWord/>
      <trackRevisions>false</trackRevisions>
    </reviewItem>
    <reviewItem>
      <errorID>0a120712-9ba6-4784-9a14-dea93af97544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2EB3AF6A</paraID>
      <start>0</start>
      <end>2</end>
      <status>ignored</status>
      <modifiedWord/>
      <trackRevisions>false</trackRevisions>
    </reviewItem>
    <reviewItem>
      <errorID>6cfef49e-2b8d-48b4-a0af-1371add3847d</errorID>
      <errorWord>(</errorWord>
      <group>L1_Format</group>
      <groupName>格式问题</groupName>
      <ability>L2_HalfPunc_CN</ability>
      <abilityName>全半角问题</abilityName>
      <candidateList>
        <item>（</item>
      </candidateList>
      <explain>文本全半角错误。</explain>
      <paraID>44B3889A</paraID>
      <start>3</start>
      <end>4</end>
      <status>modified</status>
      <modifiedWord>（</modifiedWord>
      <trackRevisions>false</trackRevisions>
    </reviewItem>
    <reviewItem>
      <errorID>daa11e2a-2431-4d51-af24-ca1f3f093094</errorID>
      <errorWord>)</errorWord>
      <group>L1_Format</group>
      <groupName>格式问题</groupName>
      <ability>L2_HalfPunc_CN</ability>
      <abilityName>全半角问题</abilityName>
      <candidateList>
        <item>）</item>
      </candidateList>
      <explain>文本全半角错误。</explain>
      <paraID>44B3889A</paraID>
      <start>9</start>
      <end>10</end>
      <status>modified</status>
      <modifiedWord>）</modifiedWord>
      <trackRevisions>false</trackRevisions>
    </reviewItem>
    <reviewItem>
      <errorID>9be8df4e-f828-471e-83cf-97752cdfa250</errorID>
      <errorWord>程</errorWord>
      <group>L1_Word</group>
      <groupName>字词问题</groupName>
      <ability>L2_Typo</ability>
      <abilityName>字词错误</abilityName>
      <candidateList>
        <item>程中</item>
      </candidateList>
      <explain/>
      <paraID>25938F19</paraID>
      <start>48</start>
      <end>50</end>
      <status>modified</status>
      <modifiedWord>程中</modifiedWord>
      <trackRevisions>false</trackRevisions>
    </reviewItem>
    <reviewItem>
      <errorID>a2007521-f293-4780-8b26-71b7e6cd7334</errorID>
      <errorWord>（</errorWord>
      <group>L1_Punc</group>
      <groupName>标点问题</groupName>
      <ability>L2_Punc_CN</ability>
      <abilityName>标点符号问题</abilityName>
      <candidateList/>
      <explain>同一形式括号套用。</explain>
      <paraID>5867678C</paraID>
      <start>34</start>
      <end>35</end>
      <status>ignored</status>
      <modifiedWord/>
      <trackRevisions>false</trackRevisions>
    </reviewItem>
    <reviewItem>
      <errorID>80403ff8-94d4-4f81-9489-a10a3b4ed32b</errorID>
      <errorWord>(</errorWord>
      <group>L1_Punc</group>
      <groupName>标点问题</groupName>
      <ability>L2_Punc_CN</ability>
      <abilityName>标点符号问题</abilityName>
      <candidateList/>
      <explain>同一形式括号套用。</explain>
      <paraID>5867678C</paraID>
      <start>42</start>
      <end>43</end>
      <status>ignored</status>
      <modifiedWord/>
      <trackRevisions>false</trackRevisions>
    </reviewItem>
    <reviewItem>
      <errorID>40fd13a8-3e26-4d5e-b6b8-38c36dbcc4d3</errorID>
      <errorWord>)</errorWord>
      <group>L1_Punc</group>
      <groupName>标点问题</groupName>
      <ability>L2_Punc_CN</ability>
      <abilityName>标点符号问题</abilityName>
      <candidateList/>
      <explain>同一形式括号套用。</explain>
      <paraID>5867678C</paraID>
      <start>44</start>
      <end>45</end>
      <status>ignored</status>
      <modifiedWord/>
      <trackRevisions>false</trackRevisions>
    </reviewItem>
    <reviewItem>
      <errorID>e2bc8e5b-dd28-4dc8-97be-5cec42cb4bc6</errorID>
      <errorWord>胶粘剂</errorWord>
      <group>L1_Word</group>
      <groupName>字词问题</groupName>
      <ability>L2_Typo</ability>
      <abilityName>字词错误</abilityName>
      <candidateList>
        <item>胶黏剂</item>
      </candidateList>
      <explain/>
      <paraID>24D2FCEE</paraID>
      <start>5</start>
      <end>8</end>
      <status>ignored</status>
      <modifiedWord/>
      <trackRevisions>false</trackRevisions>
    </reviewItem>
    <reviewItem>
      <errorID>43412e9c-2d1d-43ef-af94-b3da5cc1e1fc</errorID>
      <errorWord>胶粘剂</errorWord>
      <group>L1_Word</group>
      <groupName>字词问题</groupName>
      <ability>L2_Typo</ability>
      <abilityName>字词错误</abilityName>
      <candidateList>
        <item>胶黏剂</item>
      </candidateList>
      <explain/>
      <paraID>40F63BCE</paraID>
      <start>148</start>
      <end>151</end>
      <status>ignored</status>
      <modifiedWord/>
      <trackRevisions>false</trackRevisions>
    </reviewItem>
    <reviewItem>
      <errorID>e1810e69-7d4c-4565-8652-cce3b67196c6</errorID>
      <errorWord>胶粘剂</errorWord>
      <group>L1_Word</group>
      <groupName>字词问题</groupName>
      <ability>L2_Typo</ability>
      <abilityName>字词错误</abilityName>
      <candidateList>
        <item>胶黏剂</item>
      </candidateList>
      <explain/>
      <paraID> DBFFA79</paraID>
      <start>5</start>
      <end>8</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3AD0BF-CC13-4DF3-8997-218A11A12367}">
  <ds:schemaRefs/>
</ds:datastoreItem>
</file>

<file path=customXml/itemProps3.xml><?xml version="1.0" encoding="utf-8"?>
<ds:datastoreItem xmlns:ds="http://schemas.openxmlformats.org/officeDocument/2006/customXml" ds:itemID="{07b7c322-c3a4-4b12-ab75-b6a6f8be3e62}">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81</Pages>
  <Words>509</Words>
  <Characters>551</Characters>
  <Lines>3464</Lines>
  <Paragraphs>2914</Paragraphs>
  <TotalTime>101</TotalTime>
  <ScaleCrop>false</ScaleCrop>
  <LinksUpToDate>false</LinksUpToDate>
  <CharactersWithSpaces>588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2022-08-17T01:31:00Z</dcterms:created>
  <dc:creator>KK</dc:creator>
  <cp:lastModifiedBy>越峰</cp:lastModifiedBy>
  <cp:lastPrinted>2026-09-09T05:50:00Z</cp:lastPrinted>
  <dcterms:modified xsi:type="dcterms:W3CDTF">2026-09-17T01:20:04Z</dcterms:modified>
  <dc:title>建设项目环境影响报告表</dc:title>
  <cp:revision>111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DD63BDD309074280A56DCA779D4BD98F_13</vt:lpwstr>
  </property>
  <property fmtid="{D5CDD505-2E9C-101B-9397-08002B2CF9AE}" pid="4" name="KSOTemplateDocerSaveRecord">
    <vt:lpwstr>eyJoZGlkIjoiZGNkMzQyOTczODFjOWY5OTQyOWE0MGQ0NWVjMTg2MmYiLCJ1c2VySWQiOiIzNjM1NDI0NDgifQ==</vt:lpwstr>
  </property>
</Properties>
</file>